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p>
    <w:p>
      <w:pPr>
        <w:rPr>
          <w:sz w:val="36"/>
          <w:szCs w:val="36"/>
        </w:rPr>
      </w:pPr>
    </w:p>
    <w:p>
      <w:pPr>
        <w:rPr>
          <w:sz w:val="36"/>
          <w:szCs w:val="36"/>
        </w:rPr>
      </w:pPr>
    </w:p>
    <w:p>
      <w:pPr>
        <w:rPr>
          <w:sz w:val="36"/>
          <w:szCs w:val="36"/>
        </w:rPr>
      </w:pPr>
    </w:p>
    <w:p>
      <w:pPr>
        <w:adjustRightInd w:val="0"/>
        <w:snapToGrid w:val="0"/>
        <w:jc w:val="center"/>
        <w:outlineLvl w:val="0"/>
        <w:rPr>
          <w:bCs/>
          <w:sz w:val="72"/>
          <w:szCs w:val="72"/>
        </w:rPr>
      </w:pPr>
      <w:r>
        <w:rPr>
          <w:bCs/>
          <w:sz w:val="72"/>
          <w:szCs w:val="72"/>
        </w:rPr>
        <w:t>建设项目环境影响报告表</w:t>
      </w:r>
    </w:p>
    <w:p>
      <w:pPr>
        <w:adjustRightInd w:val="0"/>
        <w:snapToGrid w:val="0"/>
        <w:spacing w:beforeLines="80"/>
        <w:jc w:val="center"/>
        <w:rPr>
          <w:bCs/>
          <w:sz w:val="48"/>
          <w:szCs w:val="48"/>
        </w:rPr>
      </w:pPr>
      <w:r>
        <w:rPr>
          <w:bCs/>
          <w:sz w:val="48"/>
          <w:szCs w:val="48"/>
        </w:rPr>
        <w:t>（污染影响类）</w:t>
      </w:r>
    </w:p>
    <w:p>
      <w:pPr>
        <w:jc w:val="left"/>
        <w:rPr>
          <w:sz w:val="36"/>
          <w:szCs w:val="36"/>
        </w:rPr>
      </w:pPr>
    </w:p>
    <w:p>
      <w:pPr>
        <w:jc w:val="left"/>
        <w:rPr>
          <w:sz w:val="36"/>
          <w:szCs w:val="36"/>
        </w:rPr>
      </w:pPr>
    </w:p>
    <w:p>
      <w:pPr>
        <w:jc w:val="left"/>
        <w:rPr>
          <w:sz w:val="36"/>
          <w:szCs w:val="36"/>
        </w:rPr>
      </w:pPr>
    </w:p>
    <w:p>
      <w:pPr>
        <w:jc w:val="left"/>
        <w:rPr>
          <w:sz w:val="36"/>
          <w:szCs w:val="36"/>
        </w:rPr>
      </w:pPr>
    </w:p>
    <w:p>
      <w:pPr>
        <w:adjustRightInd w:val="0"/>
        <w:snapToGrid w:val="0"/>
        <w:spacing w:line="360" w:lineRule="auto"/>
        <w:rPr>
          <w:sz w:val="32"/>
          <w:szCs w:val="36"/>
          <w:u w:val="single"/>
        </w:rPr>
      </w:pPr>
      <w:r>
        <w:rPr>
          <w:sz w:val="32"/>
          <w:szCs w:val="36"/>
        </w:rPr>
        <w:t>项目名称</w:t>
      </w:r>
      <w:r>
        <w:rPr>
          <w:sz w:val="32"/>
          <w:szCs w:val="36"/>
          <w:u w:val="single"/>
        </w:rPr>
        <w:t xml:space="preserve">：              </w:t>
      </w:r>
      <w:r>
        <w:rPr>
          <w:rFonts w:hint="eastAsia"/>
          <w:sz w:val="32"/>
          <w:szCs w:val="36"/>
          <w:u w:val="single"/>
          <w:lang w:eastAsia="zh-CN"/>
        </w:rPr>
        <w:t>供热系统提升改造项目</w:t>
      </w:r>
      <w:r>
        <w:rPr>
          <w:sz w:val="32"/>
          <w:szCs w:val="36"/>
          <w:u w:val="single"/>
        </w:rPr>
        <w:t xml:space="preserve">           </w:t>
      </w:r>
    </w:p>
    <w:p>
      <w:pPr>
        <w:adjustRightInd w:val="0"/>
        <w:snapToGrid w:val="0"/>
        <w:spacing w:line="360" w:lineRule="auto"/>
        <w:rPr>
          <w:sz w:val="28"/>
          <w:szCs w:val="32"/>
          <w:u w:val="single"/>
        </w:rPr>
      </w:pPr>
      <w:r>
        <w:rPr>
          <w:sz w:val="32"/>
          <w:szCs w:val="36"/>
        </w:rPr>
        <w:t>建设单位（盖章）：</w:t>
      </w:r>
      <w:r>
        <w:rPr>
          <w:sz w:val="32"/>
          <w:szCs w:val="36"/>
          <w:u w:val="single"/>
        </w:rPr>
        <w:t xml:space="preserve">    常州市江南塑料有限公司       </w:t>
      </w:r>
    </w:p>
    <w:p>
      <w:pPr>
        <w:adjustRightInd w:val="0"/>
        <w:snapToGrid w:val="0"/>
        <w:spacing w:line="360" w:lineRule="auto"/>
        <w:rPr>
          <w:sz w:val="28"/>
          <w:szCs w:val="32"/>
          <w:u w:val="single"/>
        </w:rPr>
      </w:pPr>
      <w:r>
        <w:rPr>
          <w:sz w:val="32"/>
          <w:szCs w:val="36"/>
        </w:rPr>
        <w:t>编制日期：</w:t>
      </w:r>
      <w:r>
        <w:rPr>
          <w:sz w:val="32"/>
          <w:szCs w:val="36"/>
          <w:u w:val="single"/>
        </w:rPr>
        <w:t xml:space="preserve">                2022年1月         </w:t>
      </w:r>
      <w:r>
        <w:rPr>
          <w:w w:val="90"/>
          <w:sz w:val="32"/>
          <w:szCs w:val="36"/>
          <w:u w:val="single"/>
        </w:rPr>
        <w:t xml:space="preserve">     </w:t>
      </w:r>
      <w:r>
        <w:rPr>
          <w:sz w:val="32"/>
          <w:szCs w:val="36"/>
          <w:u w:val="single"/>
        </w:rPr>
        <w:t xml:space="preserve"> </w:t>
      </w:r>
    </w:p>
    <w:p>
      <w:pPr>
        <w:adjustRightInd w:val="0"/>
        <w:snapToGrid w:val="0"/>
        <w:spacing w:line="288" w:lineRule="auto"/>
        <w:rPr>
          <w:sz w:val="36"/>
          <w:szCs w:val="36"/>
          <w:u w:val="single"/>
        </w:rPr>
      </w:pPr>
      <w:bookmarkStart w:id="0" w:name="_Hlk57884087"/>
    </w:p>
    <w:p>
      <w:pPr>
        <w:adjustRightInd w:val="0"/>
        <w:snapToGrid w:val="0"/>
        <w:spacing w:line="288" w:lineRule="auto"/>
        <w:rPr>
          <w:sz w:val="36"/>
          <w:szCs w:val="36"/>
          <w:u w:val="single"/>
        </w:rPr>
      </w:pPr>
    </w:p>
    <w:p>
      <w:pPr>
        <w:adjustRightInd w:val="0"/>
        <w:snapToGrid w:val="0"/>
        <w:spacing w:line="288" w:lineRule="auto"/>
        <w:rPr>
          <w:sz w:val="36"/>
          <w:szCs w:val="36"/>
          <w:u w:val="single"/>
        </w:rPr>
      </w:pPr>
    </w:p>
    <w:p>
      <w:pPr>
        <w:adjustRightInd w:val="0"/>
        <w:snapToGrid w:val="0"/>
        <w:spacing w:line="288" w:lineRule="auto"/>
        <w:rPr>
          <w:sz w:val="36"/>
          <w:szCs w:val="36"/>
          <w:u w:val="single"/>
        </w:rPr>
      </w:pPr>
    </w:p>
    <w:p>
      <w:pPr>
        <w:adjustRightInd w:val="0"/>
        <w:snapToGrid w:val="0"/>
        <w:spacing w:line="288" w:lineRule="auto"/>
        <w:rPr>
          <w:sz w:val="36"/>
          <w:szCs w:val="36"/>
          <w:u w:val="single"/>
        </w:rPr>
      </w:pPr>
    </w:p>
    <w:p>
      <w:pPr>
        <w:adjustRightInd w:val="0"/>
        <w:snapToGrid w:val="0"/>
        <w:spacing w:line="288" w:lineRule="auto"/>
        <w:rPr>
          <w:sz w:val="36"/>
          <w:szCs w:val="36"/>
          <w:u w:val="single"/>
        </w:rPr>
      </w:pPr>
    </w:p>
    <w:bookmarkEnd w:id="0"/>
    <w:p>
      <w:pPr>
        <w:adjustRightInd w:val="0"/>
        <w:snapToGrid w:val="0"/>
        <w:spacing w:line="288" w:lineRule="auto"/>
        <w:jc w:val="center"/>
        <w:rPr>
          <w:sz w:val="36"/>
          <w:szCs w:val="36"/>
        </w:rPr>
      </w:pPr>
      <w:r>
        <w:rPr>
          <w:sz w:val="36"/>
          <w:szCs w:val="36"/>
        </w:rPr>
        <w:t>中华人民共和国生态环境部制</w:t>
      </w:r>
    </w:p>
    <w:p>
      <w:pPr>
        <w:rPr>
          <w:color w:val="0000FF"/>
          <w:sz w:val="36"/>
          <w:szCs w:val="36"/>
        </w:rPr>
      </w:pPr>
      <w:r>
        <w:rPr>
          <w:color w:val="0000FF"/>
          <w:sz w:val="36"/>
          <w:szCs w:val="36"/>
        </w:rPr>
        <w:br w:type="page"/>
      </w:r>
    </w:p>
    <w:p>
      <w:pPr>
        <w:pStyle w:val="8"/>
        <w:ind w:left="1470" w:right="1470"/>
        <w:rPr>
          <w:rFonts w:ascii="Times New Roman" w:hAnsi="Times New Roman"/>
          <w:color w:val="0000FF"/>
        </w:rPr>
      </w:pPr>
    </w:p>
    <w:p>
      <w:pPr>
        <w:adjustRightInd w:val="0"/>
        <w:snapToGrid w:val="0"/>
        <w:spacing w:line="288" w:lineRule="auto"/>
        <w:rPr>
          <w:color w:val="0000FF"/>
          <w:sz w:val="36"/>
          <w:szCs w:val="36"/>
        </w:rPr>
        <w:sectPr>
          <w:footerReference r:id="rId5" w:type="first"/>
          <w:footerReference r:id="rId3" w:type="default"/>
          <w:footerReference r:id="rId4" w:type="even"/>
          <w:pgSz w:w="11906" w:h="16838"/>
          <w:pgMar w:top="1701" w:right="1531" w:bottom="1701" w:left="1531" w:header="851" w:footer="1077" w:gutter="0"/>
          <w:pgNumType w:start="3"/>
          <w:cols w:space="720" w:num="1"/>
          <w:titlePg/>
          <w:docGrid w:linePitch="312" w:charSpace="0"/>
        </w:sectPr>
      </w:pPr>
    </w:p>
    <w:p>
      <w:pPr>
        <w:pStyle w:val="18"/>
        <w:spacing w:before="0" w:beforeAutospacing="0" w:after="0" w:afterAutospacing="0"/>
        <w:contextualSpacing/>
        <w:jc w:val="center"/>
        <w:outlineLvl w:val="0"/>
        <w:rPr>
          <w:rFonts w:ascii="Times New Roman" w:hAnsi="Times New Roman"/>
          <w:snapToGrid w:val="0"/>
          <w:sz w:val="30"/>
          <w:szCs w:val="30"/>
        </w:rPr>
      </w:pPr>
      <w:r>
        <w:rPr>
          <w:rFonts w:ascii="Times New Roman" w:hAnsi="Times New Roman"/>
          <w:snapToGrid w:val="0"/>
          <w:sz w:val="30"/>
          <w:szCs w:val="30"/>
        </w:rPr>
        <w:t>一、建设项目基本情况</w:t>
      </w:r>
    </w:p>
    <w:tbl>
      <w:tblPr>
        <w:tblStyle w:val="21"/>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7"/>
        <w:gridCol w:w="1301"/>
        <w:gridCol w:w="2131"/>
        <w:gridCol w:w="1869"/>
        <w:gridCol w:w="2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88" w:type="dxa"/>
            <w:gridSpan w:val="2"/>
            <w:tcMar>
              <w:top w:w="16" w:type="dxa"/>
              <w:left w:w="16" w:type="dxa"/>
              <w:right w:w="16" w:type="dxa"/>
            </w:tcMar>
            <w:vAlign w:val="center"/>
          </w:tcPr>
          <w:p>
            <w:pPr>
              <w:adjustRightInd w:val="0"/>
              <w:snapToGrid w:val="0"/>
              <w:jc w:val="center"/>
              <w:rPr>
                <w:sz w:val="24"/>
                <w:szCs w:val="24"/>
              </w:rPr>
            </w:pPr>
            <w:r>
              <w:rPr>
                <w:sz w:val="24"/>
                <w:szCs w:val="24"/>
              </w:rPr>
              <w:t>建设项目名称</w:t>
            </w:r>
          </w:p>
        </w:tc>
        <w:tc>
          <w:tcPr>
            <w:tcW w:w="6982" w:type="dxa"/>
            <w:gridSpan w:val="3"/>
            <w:vAlign w:val="center"/>
          </w:tcPr>
          <w:p>
            <w:pPr>
              <w:adjustRightInd w:val="0"/>
              <w:snapToGrid w:val="0"/>
              <w:jc w:val="center"/>
              <w:rPr>
                <w:rFonts w:hint="eastAsia" w:eastAsia="宋体"/>
                <w:sz w:val="24"/>
                <w:szCs w:val="24"/>
                <w:lang w:eastAsia="zh-CN"/>
              </w:rPr>
            </w:pPr>
            <w:r>
              <w:rPr>
                <w:rFonts w:hint="eastAsia"/>
                <w:sz w:val="24"/>
                <w:szCs w:val="24"/>
                <w:lang w:eastAsia="zh-CN"/>
              </w:rPr>
              <w:t>供热系统提升改造项目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88" w:type="dxa"/>
            <w:gridSpan w:val="2"/>
            <w:tcMar>
              <w:top w:w="16" w:type="dxa"/>
              <w:left w:w="16" w:type="dxa"/>
              <w:right w:w="16" w:type="dxa"/>
            </w:tcMar>
            <w:vAlign w:val="center"/>
          </w:tcPr>
          <w:p>
            <w:pPr>
              <w:adjustRightInd w:val="0"/>
              <w:snapToGrid w:val="0"/>
              <w:jc w:val="center"/>
              <w:rPr>
                <w:sz w:val="24"/>
                <w:szCs w:val="24"/>
              </w:rPr>
            </w:pPr>
            <w:r>
              <w:rPr>
                <w:sz w:val="24"/>
                <w:szCs w:val="24"/>
              </w:rPr>
              <w:t>项目代码</w:t>
            </w:r>
          </w:p>
        </w:tc>
        <w:tc>
          <w:tcPr>
            <w:tcW w:w="6982" w:type="dxa"/>
            <w:gridSpan w:val="3"/>
            <w:vAlign w:val="center"/>
          </w:tcPr>
          <w:p>
            <w:pPr>
              <w:adjustRightInd w:val="0"/>
              <w:snapToGrid w:val="0"/>
              <w:jc w:val="center"/>
              <w:rPr>
                <w:sz w:val="24"/>
                <w:szCs w:val="24"/>
              </w:rPr>
            </w:pPr>
            <w:r>
              <w:rPr>
                <w:sz w:val="24"/>
                <w:szCs w:val="24"/>
              </w:rPr>
              <w:t>2112-320412-89-02-790272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88" w:type="dxa"/>
            <w:gridSpan w:val="2"/>
            <w:tcMar>
              <w:top w:w="16" w:type="dxa"/>
              <w:left w:w="16" w:type="dxa"/>
              <w:right w:w="16" w:type="dxa"/>
            </w:tcMar>
            <w:vAlign w:val="center"/>
          </w:tcPr>
          <w:p>
            <w:pPr>
              <w:adjustRightInd w:val="0"/>
              <w:snapToGrid w:val="0"/>
              <w:jc w:val="center"/>
              <w:rPr>
                <w:sz w:val="24"/>
                <w:szCs w:val="24"/>
              </w:rPr>
            </w:pPr>
            <w:r>
              <w:rPr>
                <w:sz w:val="24"/>
                <w:szCs w:val="24"/>
              </w:rPr>
              <w:t>建设单位联系人</w:t>
            </w:r>
          </w:p>
        </w:tc>
        <w:tc>
          <w:tcPr>
            <w:tcW w:w="2131" w:type="dxa"/>
            <w:vAlign w:val="center"/>
          </w:tcPr>
          <w:p>
            <w:pPr>
              <w:adjustRightInd w:val="0"/>
              <w:snapToGrid w:val="0"/>
              <w:jc w:val="center"/>
              <w:rPr>
                <w:sz w:val="24"/>
                <w:szCs w:val="24"/>
              </w:rPr>
            </w:pPr>
            <w:r>
              <w:rPr>
                <w:sz w:val="24"/>
                <w:szCs w:val="24"/>
              </w:rPr>
              <w:t>王凤兴</w:t>
            </w:r>
          </w:p>
        </w:tc>
        <w:tc>
          <w:tcPr>
            <w:tcW w:w="1869" w:type="dxa"/>
            <w:vAlign w:val="center"/>
          </w:tcPr>
          <w:p>
            <w:pPr>
              <w:adjustRightInd w:val="0"/>
              <w:snapToGrid w:val="0"/>
              <w:jc w:val="center"/>
              <w:rPr>
                <w:sz w:val="24"/>
                <w:szCs w:val="24"/>
              </w:rPr>
            </w:pPr>
            <w:r>
              <w:rPr>
                <w:sz w:val="24"/>
                <w:szCs w:val="24"/>
              </w:rPr>
              <w:t>联系方式</w:t>
            </w:r>
          </w:p>
        </w:tc>
        <w:tc>
          <w:tcPr>
            <w:tcW w:w="2982" w:type="dxa"/>
            <w:vAlign w:val="center"/>
          </w:tcPr>
          <w:p>
            <w:pPr>
              <w:adjustRightInd w:val="0"/>
              <w:snapToGrid w:val="0"/>
              <w:jc w:val="center"/>
              <w:rPr>
                <w:sz w:val="24"/>
                <w:szCs w:val="24"/>
              </w:rPr>
            </w:pPr>
            <w:r>
              <w:rPr>
                <w:sz w:val="24"/>
                <w:szCs w:val="24"/>
              </w:rPr>
              <w:t>13775192707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88" w:type="dxa"/>
            <w:gridSpan w:val="2"/>
            <w:tcMar>
              <w:top w:w="16" w:type="dxa"/>
              <w:left w:w="16" w:type="dxa"/>
              <w:right w:w="16" w:type="dxa"/>
            </w:tcMar>
            <w:vAlign w:val="center"/>
          </w:tcPr>
          <w:p>
            <w:pPr>
              <w:adjustRightInd w:val="0"/>
              <w:snapToGrid w:val="0"/>
              <w:jc w:val="center"/>
              <w:rPr>
                <w:sz w:val="24"/>
                <w:szCs w:val="24"/>
              </w:rPr>
            </w:pPr>
            <w:r>
              <w:rPr>
                <w:sz w:val="24"/>
                <w:szCs w:val="24"/>
              </w:rPr>
              <w:t>建设地点</w:t>
            </w:r>
          </w:p>
        </w:tc>
        <w:tc>
          <w:tcPr>
            <w:tcW w:w="6982" w:type="dxa"/>
            <w:gridSpan w:val="3"/>
            <w:vAlign w:val="center"/>
          </w:tcPr>
          <w:p>
            <w:pPr>
              <w:adjustRightInd w:val="0"/>
              <w:snapToGrid w:val="0"/>
              <w:jc w:val="center"/>
              <w:rPr>
                <w:sz w:val="24"/>
                <w:szCs w:val="24"/>
              </w:rPr>
            </w:pPr>
            <w:r>
              <w:rPr>
                <w:sz w:val="24"/>
                <w:szCs w:val="24"/>
              </w:rPr>
              <w:t>江苏省常州市武进区礼嘉镇工业集中区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88" w:type="dxa"/>
            <w:gridSpan w:val="2"/>
            <w:tcMar>
              <w:top w:w="16" w:type="dxa"/>
              <w:left w:w="16" w:type="dxa"/>
              <w:right w:w="16" w:type="dxa"/>
            </w:tcMar>
            <w:vAlign w:val="center"/>
          </w:tcPr>
          <w:p>
            <w:pPr>
              <w:adjustRightInd w:val="0"/>
              <w:snapToGrid w:val="0"/>
              <w:jc w:val="center"/>
              <w:rPr>
                <w:sz w:val="24"/>
                <w:szCs w:val="24"/>
              </w:rPr>
            </w:pPr>
            <w:r>
              <w:rPr>
                <w:sz w:val="24"/>
                <w:szCs w:val="24"/>
              </w:rPr>
              <w:t>地理坐标</w:t>
            </w:r>
          </w:p>
        </w:tc>
        <w:tc>
          <w:tcPr>
            <w:tcW w:w="6982" w:type="dxa"/>
            <w:gridSpan w:val="3"/>
            <w:vAlign w:val="center"/>
          </w:tcPr>
          <w:p>
            <w:pPr>
              <w:jc w:val="center"/>
              <w:rPr>
                <w:sz w:val="24"/>
                <w:szCs w:val="24"/>
              </w:rPr>
            </w:pPr>
            <w:r>
              <w:rPr>
                <w:sz w:val="24"/>
                <w:szCs w:val="24"/>
              </w:rPr>
              <w:t>（</w:t>
            </w:r>
            <w:r>
              <w:rPr>
                <w:sz w:val="24"/>
                <w:szCs w:val="24"/>
                <w:u w:val="single"/>
              </w:rPr>
              <w:t>119</w:t>
            </w:r>
            <w:r>
              <w:rPr>
                <w:sz w:val="24"/>
                <w:szCs w:val="24"/>
              </w:rPr>
              <w:t>度</w:t>
            </w:r>
            <w:r>
              <w:rPr>
                <w:sz w:val="24"/>
                <w:szCs w:val="24"/>
                <w:u w:val="single"/>
              </w:rPr>
              <w:t>59</w:t>
            </w:r>
            <w:r>
              <w:rPr>
                <w:sz w:val="24"/>
                <w:szCs w:val="24"/>
              </w:rPr>
              <w:t>分</w:t>
            </w:r>
            <w:r>
              <w:rPr>
                <w:sz w:val="24"/>
                <w:szCs w:val="24"/>
                <w:u w:val="single"/>
              </w:rPr>
              <w:t>20.399</w:t>
            </w:r>
            <w:r>
              <w:rPr>
                <w:sz w:val="24"/>
                <w:szCs w:val="24"/>
              </w:rPr>
              <w:t>秒，</w:t>
            </w:r>
            <w:r>
              <w:rPr>
                <w:sz w:val="24"/>
                <w:szCs w:val="24"/>
                <w:u w:val="single"/>
              </w:rPr>
              <w:t>31</w:t>
            </w:r>
            <w:r>
              <w:rPr>
                <w:sz w:val="24"/>
                <w:szCs w:val="24"/>
              </w:rPr>
              <w:t>度</w:t>
            </w:r>
            <w:r>
              <w:rPr>
                <w:sz w:val="24"/>
                <w:szCs w:val="24"/>
                <w:u w:val="single"/>
              </w:rPr>
              <w:t>38</w:t>
            </w:r>
            <w:r>
              <w:rPr>
                <w:sz w:val="24"/>
                <w:szCs w:val="24"/>
              </w:rPr>
              <w:t>分</w:t>
            </w:r>
            <w:r>
              <w:rPr>
                <w:sz w:val="24"/>
                <w:szCs w:val="24"/>
                <w:u w:val="single"/>
              </w:rPr>
              <w:t>0.384</w:t>
            </w:r>
            <w:r>
              <w:rPr>
                <w:sz w:val="24"/>
                <w:szCs w:val="24"/>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888" w:type="dxa"/>
            <w:gridSpan w:val="2"/>
            <w:tcMar>
              <w:top w:w="16" w:type="dxa"/>
              <w:left w:w="16" w:type="dxa"/>
              <w:right w:w="16" w:type="dxa"/>
            </w:tcMar>
            <w:vAlign w:val="center"/>
          </w:tcPr>
          <w:p>
            <w:pPr>
              <w:adjustRightInd w:val="0"/>
              <w:snapToGrid w:val="0"/>
              <w:jc w:val="center"/>
              <w:rPr>
                <w:sz w:val="24"/>
                <w:szCs w:val="24"/>
              </w:rPr>
            </w:pPr>
            <w:r>
              <w:rPr>
                <w:sz w:val="24"/>
                <w:szCs w:val="24"/>
              </w:rPr>
              <w:t>国民经济</w:t>
            </w:r>
          </w:p>
          <w:p>
            <w:pPr>
              <w:adjustRightInd w:val="0"/>
              <w:snapToGrid w:val="0"/>
              <w:jc w:val="center"/>
              <w:rPr>
                <w:sz w:val="24"/>
                <w:szCs w:val="24"/>
              </w:rPr>
            </w:pPr>
            <w:r>
              <w:rPr>
                <w:sz w:val="24"/>
                <w:szCs w:val="24"/>
              </w:rPr>
              <w:t>行业类别</w:t>
            </w:r>
          </w:p>
        </w:tc>
        <w:tc>
          <w:tcPr>
            <w:tcW w:w="2131" w:type="dxa"/>
            <w:vAlign w:val="center"/>
          </w:tcPr>
          <w:p>
            <w:pPr>
              <w:adjustRightInd w:val="0"/>
              <w:snapToGrid w:val="0"/>
              <w:jc w:val="center"/>
              <w:rPr>
                <w:sz w:val="24"/>
                <w:szCs w:val="24"/>
              </w:rPr>
            </w:pPr>
            <w:r>
              <w:rPr>
                <w:sz w:val="24"/>
                <w:szCs w:val="24"/>
              </w:rPr>
              <w:t>D4430热力生产和供应</w:t>
            </w:r>
          </w:p>
        </w:tc>
        <w:tc>
          <w:tcPr>
            <w:tcW w:w="1869" w:type="dxa"/>
            <w:vAlign w:val="center"/>
          </w:tcPr>
          <w:p>
            <w:pPr>
              <w:adjustRightInd w:val="0"/>
              <w:snapToGrid w:val="0"/>
              <w:jc w:val="center"/>
              <w:rPr>
                <w:sz w:val="24"/>
                <w:szCs w:val="24"/>
              </w:rPr>
            </w:pPr>
            <w:bookmarkStart w:id="1" w:name="_Hlk49843745"/>
            <w:r>
              <w:rPr>
                <w:sz w:val="24"/>
                <w:szCs w:val="24"/>
              </w:rPr>
              <w:t>建设项目</w:t>
            </w:r>
          </w:p>
          <w:p>
            <w:pPr>
              <w:adjustRightInd w:val="0"/>
              <w:snapToGrid w:val="0"/>
              <w:jc w:val="center"/>
              <w:rPr>
                <w:sz w:val="24"/>
                <w:szCs w:val="24"/>
              </w:rPr>
            </w:pPr>
            <w:r>
              <w:rPr>
                <w:sz w:val="24"/>
                <w:szCs w:val="24"/>
              </w:rPr>
              <w:t>行业类别</w:t>
            </w:r>
            <w:bookmarkEnd w:id="1"/>
          </w:p>
        </w:tc>
        <w:tc>
          <w:tcPr>
            <w:tcW w:w="2982" w:type="dxa"/>
            <w:vAlign w:val="center"/>
          </w:tcPr>
          <w:p>
            <w:pPr>
              <w:adjustRightInd w:val="0"/>
              <w:snapToGrid w:val="0"/>
              <w:jc w:val="center"/>
              <w:rPr>
                <w:sz w:val="24"/>
                <w:szCs w:val="24"/>
              </w:rPr>
            </w:pPr>
            <w:r>
              <w:rPr>
                <w:sz w:val="24"/>
                <w:szCs w:val="24"/>
              </w:rPr>
              <w:t>91热力生产和供应工程（包括建设单位自建自用的供热工程）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8" w:hRule="atLeast"/>
          <w:jc w:val="center"/>
        </w:trPr>
        <w:tc>
          <w:tcPr>
            <w:tcW w:w="1888" w:type="dxa"/>
            <w:gridSpan w:val="2"/>
            <w:tcMar>
              <w:top w:w="16" w:type="dxa"/>
              <w:left w:w="16" w:type="dxa"/>
              <w:right w:w="16" w:type="dxa"/>
            </w:tcMar>
            <w:vAlign w:val="center"/>
          </w:tcPr>
          <w:p>
            <w:pPr>
              <w:adjustRightInd w:val="0"/>
              <w:snapToGrid w:val="0"/>
              <w:jc w:val="center"/>
              <w:rPr>
                <w:sz w:val="24"/>
                <w:szCs w:val="24"/>
              </w:rPr>
            </w:pPr>
            <w:r>
              <w:rPr>
                <w:sz w:val="24"/>
                <w:szCs w:val="24"/>
              </w:rPr>
              <w:t>建设性质</w:t>
            </w:r>
          </w:p>
        </w:tc>
        <w:tc>
          <w:tcPr>
            <w:tcW w:w="2131" w:type="dxa"/>
            <w:vAlign w:val="center"/>
          </w:tcPr>
          <w:p>
            <w:pPr>
              <w:jc w:val="left"/>
              <w:rPr>
                <w:sz w:val="24"/>
                <w:szCs w:val="24"/>
              </w:rPr>
            </w:pPr>
            <w:r>
              <w:rPr>
                <w:sz w:val="24"/>
                <w:szCs w:val="24"/>
              </w:rPr>
              <w:sym w:font="Wingdings 2" w:char="00A3"/>
            </w:r>
            <w:r>
              <w:rPr>
                <w:sz w:val="24"/>
                <w:szCs w:val="24"/>
              </w:rPr>
              <w:t>新建（迁建）</w:t>
            </w:r>
          </w:p>
          <w:p>
            <w:pPr>
              <w:jc w:val="left"/>
              <w:rPr>
                <w:sz w:val="24"/>
                <w:szCs w:val="24"/>
              </w:rPr>
            </w:pPr>
            <w:r>
              <w:rPr>
                <w:sz w:val="24"/>
                <w:szCs w:val="24"/>
              </w:rPr>
              <w:sym w:font="Wingdings 2" w:char="0052"/>
            </w:r>
            <w:r>
              <w:rPr>
                <w:sz w:val="24"/>
                <w:szCs w:val="24"/>
              </w:rPr>
              <w:t>改建</w:t>
            </w:r>
          </w:p>
          <w:p>
            <w:pPr>
              <w:jc w:val="left"/>
              <w:rPr>
                <w:sz w:val="24"/>
                <w:szCs w:val="24"/>
              </w:rPr>
            </w:pPr>
            <w:r>
              <w:rPr>
                <w:sz w:val="24"/>
                <w:szCs w:val="24"/>
              </w:rPr>
              <w:sym w:font="Wingdings 2" w:char="00A3"/>
            </w:r>
            <w:r>
              <w:rPr>
                <w:sz w:val="24"/>
                <w:szCs w:val="24"/>
              </w:rPr>
              <w:t>扩建</w:t>
            </w:r>
          </w:p>
          <w:p>
            <w:pPr>
              <w:jc w:val="left"/>
              <w:rPr>
                <w:sz w:val="24"/>
                <w:szCs w:val="24"/>
              </w:rPr>
            </w:pPr>
            <w:r>
              <w:rPr>
                <w:sz w:val="24"/>
                <w:szCs w:val="24"/>
              </w:rPr>
              <w:sym w:font="Wingdings 2" w:char="00A3"/>
            </w:r>
            <w:r>
              <w:rPr>
                <w:sz w:val="24"/>
                <w:szCs w:val="24"/>
              </w:rPr>
              <w:t>技术改造</w:t>
            </w:r>
          </w:p>
        </w:tc>
        <w:tc>
          <w:tcPr>
            <w:tcW w:w="1869" w:type="dxa"/>
            <w:vAlign w:val="center"/>
          </w:tcPr>
          <w:p>
            <w:pPr>
              <w:adjustRightInd w:val="0"/>
              <w:snapToGrid w:val="0"/>
              <w:jc w:val="center"/>
              <w:rPr>
                <w:sz w:val="24"/>
                <w:szCs w:val="24"/>
              </w:rPr>
            </w:pPr>
            <w:r>
              <w:rPr>
                <w:sz w:val="24"/>
                <w:szCs w:val="24"/>
              </w:rPr>
              <w:t>建设项目</w:t>
            </w:r>
          </w:p>
          <w:p>
            <w:pPr>
              <w:adjustRightInd w:val="0"/>
              <w:snapToGrid w:val="0"/>
              <w:jc w:val="center"/>
              <w:rPr>
                <w:sz w:val="24"/>
                <w:szCs w:val="24"/>
              </w:rPr>
            </w:pPr>
            <w:r>
              <w:rPr>
                <w:sz w:val="24"/>
                <w:szCs w:val="24"/>
              </w:rPr>
              <w:t>申报情形</w:t>
            </w:r>
          </w:p>
        </w:tc>
        <w:tc>
          <w:tcPr>
            <w:tcW w:w="2982" w:type="dxa"/>
            <w:vAlign w:val="center"/>
          </w:tcPr>
          <w:p>
            <w:pPr>
              <w:jc w:val="left"/>
              <w:rPr>
                <w:sz w:val="24"/>
                <w:szCs w:val="24"/>
              </w:rPr>
            </w:pPr>
            <w:r>
              <w:rPr>
                <w:sz w:val="24"/>
                <w:szCs w:val="24"/>
              </w:rPr>
              <w:sym w:font="Wingdings 2" w:char="0052"/>
            </w:r>
            <w:r>
              <w:rPr>
                <w:sz w:val="24"/>
                <w:szCs w:val="24"/>
              </w:rPr>
              <w:t xml:space="preserve">首次申报项目             </w:t>
            </w:r>
          </w:p>
          <w:p>
            <w:pPr>
              <w:jc w:val="left"/>
              <w:rPr>
                <w:sz w:val="24"/>
                <w:szCs w:val="24"/>
              </w:rPr>
            </w:pPr>
            <w:r>
              <w:rPr>
                <w:sz w:val="24"/>
                <w:szCs w:val="24"/>
              </w:rPr>
              <w:sym w:font="Wingdings 2" w:char="00A3"/>
            </w:r>
            <w:r>
              <w:rPr>
                <w:sz w:val="24"/>
                <w:szCs w:val="24"/>
              </w:rPr>
              <w:t>不予批准后再次申报项目</w:t>
            </w:r>
          </w:p>
          <w:p>
            <w:pPr>
              <w:jc w:val="left"/>
              <w:rPr>
                <w:sz w:val="24"/>
                <w:szCs w:val="24"/>
              </w:rPr>
            </w:pPr>
            <w:r>
              <w:rPr>
                <w:sz w:val="24"/>
                <w:szCs w:val="24"/>
              </w:rPr>
              <w:sym w:font="Wingdings 2" w:char="00A3"/>
            </w:r>
            <w:r>
              <w:rPr>
                <w:sz w:val="24"/>
                <w:szCs w:val="24"/>
              </w:rPr>
              <w:t xml:space="preserve">超五年重新审核项目     </w:t>
            </w:r>
          </w:p>
          <w:p>
            <w:pPr>
              <w:jc w:val="left"/>
              <w:rPr>
                <w:sz w:val="24"/>
                <w:szCs w:val="24"/>
              </w:rPr>
            </w:pPr>
            <w:r>
              <w:rPr>
                <w:sz w:val="24"/>
                <w:szCs w:val="24"/>
              </w:rPr>
              <w:sym w:font="Wingdings 2" w:char="00A3"/>
            </w:r>
            <w:r>
              <w:rPr>
                <w:sz w:val="24"/>
                <w:szCs w:val="24"/>
              </w:rPr>
              <w:t>重大变动重新报批项目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1888" w:type="dxa"/>
            <w:gridSpan w:val="2"/>
            <w:tcMar>
              <w:top w:w="16" w:type="dxa"/>
              <w:left w:w="16" w:type="dxa"/>
              <w:right w:w="16" w:type="dxa"/>
            </w:tcMar>
            <w:vAlign w:val="center"/>
          </w:tcPr>
          <w:p>
            <w:pPr>
              <w:adjustRightInd w:val="0"/>
              <w:snapToGrid w:val="0"/>
              <w:jc w:val="center"/>
              <w:rPr>
                <w:sz w:val="24"/>
                <w:szCs w:val="24"/>
              </w:rPr>
            </w:pPr>
            <w:r>
              <w:rPr>
                <w:sz w:val="24"/>
                <w:szCs w:val="24"/>
              </w:rPr>
              <w:t>项目审批（核准/</w:t>
            </w:r>
          </w:p>
          <w:p>
            <w:pPr>
              <w:adjustRightInd w:val="0"/>
              <w:snapToGrid w:val="0"/>
              <w:jc w:val="center"/>
              <w:rPr>
                <w:sz w:val="24"/>
                <w:szCs w:val="24"/>
              </w:rPr>
            </w:pPr>
            <w:r>
              <w:rPr>
                <w:sz w:val="24"/>
                <w:szCs w:val="24"/>
              </w:rPr>
              <w:t>备案）部门（选填）</w:t>
            </w:r>
          </w:p>
        </w:tc>
        <w:tc>
          <w:tcPr>
            <w:tcW w:w="2131" w:type="dxa"/>
            <w:vAlign w:val="center"/>
          </w:tcPr>
          <w:p>
            <w:pPr>
              <w:adjustRightInd w:val="0"/>
              <w:snapToGrid w:val="0"/>
              <w:jc w:val="center"/>
              <w:rPr>
                <w:sz w:val="24"/>
                <w:szCs w:val="24"/>
              </w:rPr>
            </w:pPr>
            <w:r>
              <w:rPr>
                <w:sz w:val="24"/>
                <w:szCs w:val="24"/>
              </w:rPr>
              <w:t>常州市武进区行政审批局</w:t>
            </w:r>
          </w:p>
        </w:tc>
        <w:tc>
          <w:tcPr>
            <w:tcW w:w="1869" w:type="dxa"/>
            <w:vAlign w:val="center"/>
          </w:tcPr>
          <w:p>
            <w:pPr>
              <w:adjustRightInd w:val="0"/>
              <w:snapToGrid w:val="0"/>
              <w:jc w:val="center"/>
              <w:rPr>
                <w:sz w:val="24"/>
                <w:szCs w:val="24"/>
              </w:rPr>
            </w:pPr>
            <w:r>
              <w:rPr>
                <w:sz w:val="24"/>
                <w:szCs w:val="24"/>
              </w:rPr>
              <w:t>项目审批（核准/</w:t>
            </w:r>
          </w:p>
          <w:p>
            <w:pPr>
              <w:adjustRightInd w:val="0"/>
              <w:snapToGrid w:val="0"/>
              <w:jc w:val="center"/>
              <w:rPr>
                <w:sz w:val="24"/>
                <w:szCs w:val="24"/>
              </w:rPr>
            </w:pPr>
            <w:r>
              <w:rPr>
                <w:sz w:val="24"/>
                <w:szCs w:val="24"/>
              </w:rPr>
              <w:t>备案）文号（选填）</w:t>
            </w:r>
          </w:p>
        </w:tc>
        <w:tc>
          <w:tcPr>
            <w:tcW w:w="2982" w:type="dxa"/>
            <w:vAlign w:val="center"/>
          </w:tcPr>
          <w:p>
            <w:pPr>
              <w:adjustRightInd w:val="0"/>
              <w:snapToGrid w:val="0"/>
              <w:jc w:val="center"/>
              <w:rPr>
                <w:sz w:val="24"/>
                <w:szCs w:val="24"/>
              </w:rPr>
            </w:pPr>
            <w:r>
              <w:rPr>
                <w:sz w:val="24"/>
                <w:szCs w:val="24"/>
              </w:rPr>
              <w:t>武行审技备〔2022〕4号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jc w:val="center"/>
        </w:trPr>
        <w:tc>
          <w:tcPr>
            <w:tcW w:w="1888" w:type="dxa"/>
            <w:gridSpan w:val="2"/>
            <w:tcMar>
              <w:top w:w="16" w:type="dxa"/>
              <w:left w:w="16" w:type="dxa"/>
              <w:right w:w="16" w:type="dxa"/>
            </w:tcMar>
            <w:vAlign w:val="center"/>
          </w:tcPr>
          <w:p>
            <w:pPr>
              <w:adjustRightInd w:val="0"/>
              <w:snapToGrid w:val="0"/>
              <w:jc w:val="center"/>
              <w:rPr>
                <w:sz w:val="24"/>
                <w:szCs w:val="24"/>
              </w:rPr>
            </w:pPr>
            <w:r>
              <w:rPr>
                <w:sz w:val="24"/>
                <w:szCs w:val="24"/>
              </w:rPr>
              <w:t>总投资（万元）</w:t>
            </w:r>
          </w:p>
        </w:tc>
        <w:tc>
          <w:tcPr>
            <w:tcW w:w="2131" w:type="dxa"/>
            <w:vAlign w:val="center"/>
          </w:tcPr>
          <w:p>
            <w:pPr>
              <w:adjustRightInd w:val="0"/>
              <w:snapToGrid w:val="0"/>
              <w:jc w:val="center"/>
              <w:rPr>
                <w:sz w:val="24"/>
                <w:szCs w:val="24"/>
              </w:rPr>
            </w:pPr>
            <w:r>
              <w:rPr>
                <w:sz w:val="24"/>
                <w:szCs w:val="24"/>
              </w:rPr>
              <w:t>300</w:t>
            </w:r>
          </w:p>
        </w:tc>
        <w:tc>
          <w:tcPr>
            <w:tcW w:w="1869" w:type="dxa"/>
            <w:tcMar>
              <w:top w:w="16" w:type="dxa"/>
              <w:left w:w="16" w:type="dxa"/>
              <w:right w:w="16" w:type="dxa"/>
            </w:tcMar>
            <w:vAlign w:val="center"/>
          </w:tcPr>
          <w:p>
            <w:pPr>
              <w:adjustRightInd w:val="0"/>
              <w:snapToGrid w:val="0"/>
              <w:jc w:val="center"/>
              <w:rPr>
                <w:sz w:val="24"/>
                <w:szCs w:val="24"/>
              </w:rPr>
            </w:pPr>
            <w:r>
              <w:rPr>
                <w:sz w:val="24"/>
                <w:szCs w:val="24"/>
              </w:rPr>
              <w:t>环保投资（万元）</w:t>
            </w:r>
          </w:p>
        </w:tc>
        <w:tc>
          <w:tcPr>
            <w:tcW w:w="2982" w:type="dxa"/>
            <w:vAlign w:val="center"/>
          </w:tcPr>
          <w:p>
            <w:pPr>
              <w:adjustRightInd w:val="0"/>
              <w:snapToGrid w:val="0"/>
              <w:jc w:val="center"/>
              <w:rPr>
                <w:sz w:val="24"/>
                <w:szCs w:val="24"/>
              </w:rPr>
            </w:pPr>
            <w:r>
              <w:rPr>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1888" w:type="dxa"/>
            <w:gridSpan w:val="2"/>
            <w:tcMar>
              <w:top w:w="16" w:type="dxa"/>
              <w:left w:w="16" w:type="dxa"/>
              <w:right w:w="16" w:type="dxa"/>
            </w:tcMar>
            <w:vAlign w:val="center"/>
          </w:tcPr>
          <w:p>
            <w:pPr>
              <w:adjustRightInd w:val="0"/>
              <w:snapToGrid w:val="0"/>
              <w:jc w:val="center"/>
              <w:rPr>
                <w:sz w:val="24"/>
                <w:szCs w:val="24"/>
              </w:rPr>
            </w:pPr>
            <w:r>
              <w:rPr>
                <w:sz w:val="24"/>
                <w:szCs w:val="24"/>
              </w:rPr>
              <w:t>环保投资占比（%）</w:t>
            </w:r>
          </w:p>
        </w:tc>
        <w:tc>
          <w:tcPr>
            <w:tcW w:w="2131" w:type="dxa"/>
            <w:vAlign w:val="center"/>
          </w:tcPr>
          <w:p>
            <w:pPr>
              <w:adjustRightInd w:val="0"/>
              <w:snapToGrid w:val="0"/>
              <w:jc w:val="center"/>
              <w:rPr>
                <w:sz w:val="24"/>
                <w:szCs w:val="24"/>
              </w:rPr>
            </w:pPr>
            <w:r>
              <w:rPr>
                <w:sz w:val="24"/>
                <w:szCs w:val="24"/>
              </w:rPr>
              <w:t>10</w:t>
            </w:r>
          </w:p>
        </w:tc>
        <w:tc>
          <w:tcPr>
            <w:tcW w:w="1869" w:type="dxa"/>
            <w:tcMar>
              <w:top w:w="16" w:type="dxa"/>
              <w:left w:w="16" w:type="dxa"/>
              <w:right w:w="16" w:type="dxa"/>
            </w:tcMar>
            <w:vAlign w:val="center"/>
          </w:tcPr>
          <w:p>
            <w:pPr>
              <w:adjustRightInd w:val="0"/>
              <w:snapToGrid w:val="0"/>
              <w:jc w:val="center"/>
              <w:rPr>
                <w:sz w:val="24"/>
                <w:szCs w:val="24"/>
              </w:rPr>
            </w:pPr>
            <w:r>
              <w:rPr>
                <w:sz w:val="24"/>
                <w:szCs w:val="24"/>
              </w:rPr>
              <w:t>施工工期</w:t>
            </w:r>
          </w:p>
        </w:tc>
        <w:tc>
          <w:tcPr>
            <w:tcW w:w="2982" w:type="dxa"/>
            <w:vAlign w:val="center"/>
          </w:tcPr>
          <w:p>
            <w:pPr>
              <w:adjustRightInd w:val="0"/>
              <w:snapToGrid w:val="0"/>
              <w:jc w:val="center"/>
              <w:rPr>
                <w:sz w:val="24"/>
                <w:szCs w:val="24"/>
              </w:rPr>
            </w:pPr>
            <w:r>
              <w:rPr>
                <w:sz w:val="24"/>
                <w:szCs w:val="24"/>
              </w:rPr>
              <w:t>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9" w:hRule="atLeast"/>
          <w:jc w:val="center"/>
        </w:trPr>
        <w:tc>
          <w:tcPr>
            <w:tcW w:w="1888" w:type="dxa"/>
            <w:gridSpan w:val="2"/>
            <w:tcMar>
              <w:top w:w="16" w:type="dxa"/>
              <w:left w:w="16" w:type="dxa"/>
              <w:right w:w="16" w:type="dxa"/>
            </w:tcMar>
            <w:vAlign w:val="center"/>
          </w:tcPr>
          <w:p>
            <w:pPr>
              <w:adjustRightInd w:val="0"/>
              <w:snapToGrid w:val="0"/>
              <w:jc w:val="center"/>
              <w:rPr>
                <w:sz w:val="24"/>
                <w:szCs w:val="24"/>
              </w:rPr>
            </w:pPr>
            <w:r>
              <w:rPr>
                <w:sz w:val="24"/>
                <w:szCs w:val="24"/>
              </w:rPr>
              <w:t>是否开工建设</w:t>
            </w:r>
          </w:p>
        </w:tc>
        <w:tc>
          <w:tcPr>
            <w:tcW w:w="2131" w:type="dxa"/>
            <w:vAlign w:val="center"/>
          </w:tcPr>
          <w:p>
            <w:pPr>
              <w:adjustRightInd w:val="0"/>
              <w:snapToGrid w:val="0"/>
              <w:rPr>
                <w:sz w:val="24"/>
                <w:szCs w:val="24"/>
              </w:rPr>
            </w:pPr>
            <w:r>
              <w:rPr>
                <w:sz w:val="24"/>
                <w:szCs w:val="24"/>
              </w:rPr>
              <w:sym w:font="Wingdings 2" w:char="00A3"/>
            </w:r>
            <w:r>
              <w:rPr>
                <w:sz w:val="24"/>
                <w:szCs w:val="24"/>
              </w:rPr>
              <w:t>否</w:t>
            </w:r>
          </w:p>
          <w:p>
            <w:pPr>
              <w:adjustRightInd w:val="0"/>
              <w:snapToGrid w:val="0"/>
              <w:rPr>
                <w:sz w:val="24"/>
                <w:szCs w:val="24"/>
              </w:rPr>
            </w:pPr>
            <w:r>
              <w:rPr>
                <w:sz w:val="24"/>
                <w:szCs w:val="24"/>
              </w:rPr>
              <w:sym w:font="Wingdings 2" w:char="0052"/>
            </w:r>
            <w:r>
              <w:rPr>
                <w:sz w:val="24"/>
                <w:szCs w:val="24"/>
              </w:rPr>
              <w:t>是：</w:t>
            </w:r>
            <w:r>
              <w:rPr>
                <w:sz w:val="24"/>
                <w:szCs w:val="24"/>
                <w:u w:val="single"/>
              </w:rPr>
              <w:t>2021年11月31日在常州市大气强化督察时要求企业补充编制燃气锅炉报告表。</w:t>
            </w:r>
          </w:p>
        </w:tc>
        <w:tc>
          <w:tcPr>
            <w:tcW w:w="1869" w:type="dxa"/>
            <w:tcMar>
              <w:top w:w="16" w:type="dxa"/>
              <w:left w:w="16" w:type="dxa"/>
              <w:right w:w="16" w:type="dxa"/>
            </w:tcMar>
            <w:vAlign w:val="center"/>
          </w:tcPr>
          <w:p>
            <w:pPr>
              <w:adjustRightInd w:val="0"/>
              <w:snapToGrid w:val="0"/>
              <w:jc w:val="center"/>
              <w:rPr>
                <w:spacing w:val="-6"/>
                <w:sz w:val="24"/>
                <w:szCs w:val="24"/>
              </w:rPr>
            </w:pPr>
            <w:r>
              <w:rPr>
                <w:spacing w:val="-6"/>
                <w:sz w:val="24"/>
                <w:szCs w:val="24"/>
              </w:rPr>
              <w:t>用地面积（m</w:t>
            </w:r>
            <w:r>
              <w:rPr>
                <w:spacing w:val="-6"/>
                <w:sz w:val="24"/>
                <w:szCs w:val="24"/>
                <w:vertAlign w:val="superscript"/>
              </w:rPr>
              <w:t>2</w:t>
            </w:r>
            <w:r>
              <w:rPr>
                <w:spacing w:val="-6"/>
                <w:sz w:val="24"/>
                <w:szCs w:val="24"/>
              </w:rPr>
              <w:t>）</w:t>
            </w:r>
          </w:p>
        </w:tc>
        <w:tc>
          <w:tcPr>
            <w:tcW w:w="2982" w:type="dxa"/>
            <w:vAlign w:val="center"/>
          </w:tcPr>
          <w:p>
            <w:pPr>
              <w:adjustRightInd w:val="0"/>
              <w:snapToGrid w:val="0"/>
              <w:jc w:val="center"/>
              <w:rPr>
                <w:sz w:val="24"/>
                <w:szCs w:val="24"/>
              </w:rPr>
            </w:pPr>
            <w:r>
              <w:rPr>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888" w:type="dxa"/>
            <w:gridSpan w:val="2"/>
            <w:vAlign w:val="center"/>
          </w:tcPr>
          <w:p>
            <w:pPr>
              <w:autoSpaceDE w:val="0"/>
              <w:autoSpaceDN w:val="0"/>
              <w:adjustRightInd w:val="0"/>
              <w:snapToGrid w:val="0"/>
              <w:jc w:val="center"/>
              <w:rPr>
                <w:kern w:val="0"/>
                <w:sz w:val="24"/>
                <w:szCs w:val="24"/>
              </w:rPr>
            </w:pPr>
            <w:r>
              <w:rPr>
                <w:kern w:val="0"/>
                <w:sz w:val="24"/>
                <w:szCs w:val="24"/>
              </w:rPr>
              <w:t>专项评价设置情况</w:t>
            </w:r>
          </w:p>
        </w:tc>
        <w:tc>
          <w:tcPr>
            <w:tcW w:w="6982" w:type="dxa"/>
            <w:gridSpan w:val="3"/>
            <w:vAlign w:val="center"/>
          </w:tcPr>
          <w:p>
            <w:pPr>
              <w:autoSpaceDE w:val="0"/>
              <w:autoSpaceDN w:val="0"/>
              <w:adjustRightInd w:val="0"/>
              <w:snapToGrid w:val="0"/>
              <w:jc w:val="center"/>
              <w:rPr>
                <w:kern w:val="0"/>
                <w:sz w:val="24"/>
                <w:szCs w:val="24"/>
              </w:rPr>
            </w:pPr>
            <w:r>
              <w:rPr>
                <w:kern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8" w:type="dxa"/>
            <w:gridSpan w:val="2"/>
            <w:vAlign w:val="center"/>
          </w:tcPr>
          <w:p>
            <w:pPr>
              <w:autoSpaceDE w:val="0"/>
              <w:autoSpaceDN w:val="0"/>
              <w:adjustRightInd w:val="0"/>
              <w:snapToGrid w:val="0"/>
              <w:jc w:val="center"/>
              <w:rPr>
                <w:kern w:val="0"/>
                <w:sz w:val="24"/>
                <w:szCs w:val="24"/>
              </w:rPr>
            </w:pPr>
            <w:r>
              <w:rPr>
                <w:sz w:val="24"/>
                <w:szCs w:val="24"/>
              </w:rPr>
              <w:t>规划情况</w:t>
            </w:r>
          </w:p>
        </w:tc>
        <w:tc>
          <w:tcPr>
            <w:tcW w:w="6982"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sz w:val="24"/>
                <w:szCs w:val="24"/>
              </w:rPr>
              <w:t>规划名称：《常州市武进区礼嘉镇控制性详细规划》</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sz w:val="24"/>
                <w:szCs w:val="24"/>
              </w:rPr>
            </w:pPr>
            <w:r>
              <w:rPr>
                <w:sz w:val="24"/>
                <w:szCs w:val="24"/>
              </w:rPr>
              <w:t>审批机关：常州市人民政府</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sz w:val="24"/>
                <w:szCs w:val="24"/>
                <w:lang w:val="en-US" w:eastAsia="zh-CN"/>
              </w:rPr>
            </w:pPr>
            <w:r>
              <w:rPr>
                <w:sz w:val="24"/>
                <w:szCs w:val="24"/>
              </w:rPr>
              <w:t>审批文件名称及文号：常政复[2016]90号</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sz w:val="24"/>
                <w:szCs w:val="24"/>
              </w:rPr>
              <w:t>规划名称：《</w:t>
            </w:r>
            <w:r>
              <w:rPr>
                <w:rFonts w:hint="eastAsia"/>
                <w:sz w:val="24"/>
                <w:szCs w:val="24"/>
              </w:rPr>
              <w:t>市政府关于扩大高污染燃料禁燃区的通告</w:t>
            </w:r>
            <w:r>
              <w:rPr>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sz w:val="24"/>
                <w:szCs w:val="24"/>
              </w:rPr>
            </w:pPr>
            <w:r>
              <w:rPr>
                <w:sz w:val="24"/>
                <w:szCs w:val="24"/>
              </w:rPr>
              <w:t>审批机关：常州市人民政府</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lang w:val="en-US" w:eastAsia="zh-CN"/>
              </w:rPr>
            </w:pPr>
            <w:r>
              <w:rPr>
                <w:sz w:val="24"/>
                <w:szCs w:val="24"/>
              </w:rPr>
              <w:t>审批文件</w:t>
            </w:r>
            <w:r>
              <w:rPr>
                <w:rFonts w:hint="eastAsia"/>
                <w:sz w:val="24"/>
                <w:szCs w:val="24"/>
              </w:rPr>
              <w:t>名称及文号：常政发〔2016〕151号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888" w:type="dxa"/>
            <w:gridSpan w:val="2"/>
            <w:vAlign w:val="center"/>
          </w:tcPr>
          <w:p>
            <w:pPr>
              <w:adjustRightInd w:val="0"/>
              <w:snapToGrid w:val="0"/>
              <w:jc w:val="center"/>
              <w:rPr>
                <w:sz w:val="24"/>
                <w:szCs w:val="24"/>
              </w:rPr>
            </w:pPr>
            <w:r>
              <w:rPr>
                <w:sz w:val="24"/>
                <w:szCs w:val="24"/>
              </w:rPr>
              <w:t>规划环境影响</w:t>
            </w:r>
          </w:p>
          <w:p>
            <w:pPr>
              <w:adjustRightInd w:val="0"/>
              <w:snapToGrid w:val="0"/>
              <w:jc w:val="center"/>
              <w:rPr>
                <w:kern w:val="0"/>
                <w:sz w:val="24"/>
                <w:szCs w:val="24"/>
              </w:rPr>
            </w:pPr>
            <w:r>
              <w:rPr>
                <w:sz w:val="24"/>
                <w:szCs w:val="24"/>
              </w:rPr>
              <w:t>评价情况</w:t>
            </w:r>
          </w:p>
        </w:tc>
        <w:tc>
          <w:tcPr>
            <w:tcW w:w="6982" w:type="dxa"/>
            <w:gridSpan w:val="3"/>
            <w:vAlign w:val="center"/>
          </w:tcPr>
          <w:p>
            <w:pPr>
              <w:autoSpaceDE w:val="0"/>
              <w:autoSpaceDN w:val="0"/>
              <w:adjustRightInd w:val="0"/>
              <w:snapToGrid w:val="0"/>
              <w:jc w:val="left"/>
              <w:rPr>
                <w:sz w:val="24"/>
                <w:szCs w:val="24"/>
              </w:rPr>
            </w:pP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888" w:type="dxa"/>
            <w:gridSpan w:val="2"/>
            <w:vAlign w:val="center"/>
          </w:tcPr>
          <w:p>
            <w:pPr>
              <w:autoSpaceDE w:val="0"/>
              <w:autoSpaceDN w:val="0"/>
              <w:adjustRightInd w:val="0"/>
              <w:snapToGrid w:val="0"/>
              <w:jc w:val="center"/>
              <w:rPr>
                <w:kern w:val="0"/>
                <w:sz w:val="24"/>
                <w:szCs w:val="24"/>
              </w:rPr>
            </w:pPr>
            <w:r>
              <w:rPr>
                <w:kern w:val="0"/>
                <w:sz w:val="24"/>
                <w:szCs w:val="24"/>
              </w:rPr>
              <w:t>规划及规划环境影响评价符合性分析</w:t>
            </w:r>
          </w:p>
        </w:tc>
        <w:tc>
          <w:tcPr>
            <w:tcW w:w="698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eastAsia="宋体"/>
                <w:b/>
                <w:bCs/>
                <w:kern w:val="0"/>
                <w:sz w:val="24"/>
                <w:szCs w:val="24"/>
                <w:lang w:val="en-US" w:eastAsia="zh-CN"/>
              </w:rPr>
            </w:pPr>
            <w:r>
              <w:rPr>
                <w:rFonts w:hint="eastAsia"/>
                <w:b/>
                <w:bCs/>
                <w:sz w:val="24"/>
                <w:szCs w:val="24"/>
                <w:lang w:eastAsia="zh-CN"/>
              </w:rPr>
              <w:t>（</w:t>
            </w:r>
            <w:r>
              <w:rPr>
                <w:rFonts w:hint="eastAsia"/>
                <w:b/>
                <w:bCs/>
                <w:sz w:val="24"/>
                <w:szCs w:val="24"/>
                <w:lang w:val="en-US" w:eastAsia="zh-CN"/>
              </w:rPr>
              <w:t>1</w:t>
            </w:r>
            <w:r>
              <w:rPr>
                <w:rFonts w:hint="eastAsia"/>
                <w:b/>
                <w:bCs/>
                <w:sz w:val="24"/>
                <w:szCs w:val="24"/>
                <w:lang w:eastAsia="zh-CN"/>
              </w:rPr>
              <w:t>）</w:t>
            </w:r>
            <w:r>
              <w:rPr>
                <w:b/>
                <w:bCs/>
                <w:sz w:val="24"/>
                <w:szCs w:val="24"/>
              </w:rPr>
              <w:t>《常州市武进区礼嘉镇控制性详细规划》</w:t>
            </w:r>
            <w:r>
              <w:rPr>
                <w:rFonts w:hint="eastAsia"/>
                <w:b/>
                <w:bCs/>
                <w:sz w:val="24"/>
                <w:szCs w:val="24"/>
                <w:lang w:val="en-US" w:eastAsia="zh-CN"/>
              </w:rPr>
              <w:t>符合性分析</w:t>
            </w:r>
          </w:p>
          <w:p>
            <w:pPr>
              <w:adjustRightInd w:val="0"/>
              <w:snapToGrid w:val="0"/>
              <w:spacing w:line="360" w:lineRule="auto"/>
              <w:ind w:firstLine="480" w:firstLineChars="200"/>
              <w:rPr>
                <w:rFonts w:hint="eastAsia" w:ascii="宋体" w:hAnsi="宋体" w:cs="宋体"/>
                <w:sz w:val="24"/>
              </w:rPr>
            </w:pPr>
            <w:r>
              <w:rPr>
                <w:rFonts w:hint="eastAsia" w:ascii="宋体" w:hAnsi="宋体" w:eastAsia="宋体" w:cs="宋体"/>
                <w:sz w:val="24"/>
              </w:rPr>
              <w:t>根据《常州市武进区礼嘉镇控制性详细规划》可知：礼嘉镇工业用地以武进大道为界，将礼嘉镇工业园区规划为南北两片，规划用地总面积317.72公顷。</w:t>
            </w:r>
          </w:p>
          <w:p>
            <w:pPr>
              <w:adjustRightInd w:val="0"/>
              <w:snapToGrid w:val="0"/>
              <w:spacing w:line="360" w:lineRule="auto"/>
              <w:ind w:firstLine="480" w:firstLineChars="200"/>
              <w:rPr>
                <w:rFonts w:hint="eastAsia" w:ascii="宋体" w:hAnsi="宋体" w:cs="宋体"/>
                <w:sz w:val="24"/>
              </w:rPr>
            </w:pPr>
            <w:r>
              <w:rPr>
                <w:rFonts w:hint="eastAsia" w:ascii="宋体" w:hAnsi="宋体" w:cs="宋体"/>
                <w:b w:val="0"/>
                <w:bCs w:val="0"/>
                <w:sz w:val="24"/>
              </w:rPr>
              <w:t>南片工业园：</w:t>
            </w:r>
            <w:r>
              <w:rPr>
                <w:rFonts w:hint="eastAsia" w:ascii="宋体" w:hAnsi="宋体" w:cs="宋体"/>
                <w:sz w:val="24"/>
              </w:rPr>
              <w:t>位于武进大道南侧，东至大明路，西至夏城路。主要功能：以农机动力、制冷器材等产业为主的工业集中区，引导培育激光设备、仪表仪器等高端产品，积极培育机械领域产业相关的新兴的高技术产业。禁止发展钢铁、冶金、印染、化工等产业。南区要重点发展，关键是要发展五大产业和科技含量比较高、发展后劲足的企业和项目，另外规划留有一定的发展空间，主动接收高新区大企业、大项目的配套辐射作用。</w:t>
            </w:r>
          </w:p>
          <w:p>
            <w:pPr>
              <w:adjustRightInd w:val="0"/>
              <w:snapToGrid w:val="0"/>
              <w:spacing w:line="360" w:lineRule="auto"/>
              <w:ind w:firstLine="480" w:firstLineChars="200"/>
              <w:rPr>
                <w:rFonts w:hint="eastAsia" w:ascii="宋体" w:hAnsi="宋体" w:cs="宋体"/>
                <w:sz w:val="24"/>
              </w:rPr>
            </w:pPr>
            <w:r>
              <w:rPr>
                <w:rFonts w:hint="eastAsia" w:ascii="宋体" w:hAnsi="宋体" w:cs="宋体"/>
                <w:b w:val="0"/>
                <w:bCs w:val="0"/>
                <w:sz w:val="24"/>
              </w:rPr>
              <w:t>北片工业园：</w:t>
            </w:r>
            <w:r>
              <w:rPr>
                <w:rFonts w:hint="eastAsia" w:ascii="宋体" w:hAnsi="宋体" w:cs="宋体"/>
                <w:sz w:val="24"/>
              </w:rPr>
              <w:t>位于武进大道北侧，东至礼坂路，西至行政边界。主要功能：以建材、轻工塑料、电子电器为主的工业集中区。靠近生活区规划布局一类工业，对原有低技术，污染产业进行技术升级和产业调整，引导电子电气设备、激光设备、仪表仪器等高端产品。积极培育电子领域产业相关的新兴的高技术产业。禁止发展钢铁、冶金、印染、化工等产业。北区发展空间小，主要任务是巩固、整合、提升和提高区内企业的投资密度和产出密度。</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
                <w:bCs/>
                <w:kern w:val="0"/>
                <w:sz w:val="24"/>
                <w:szCs w:val="24"/>
              </w:rPr>
            </w:pPr>
            <w:r>
              <w:rPr>
                <w:rFonts w:hint="eastAsia" w:ascii="宋体" w:hAnsi="宋体" w:eastAsia="宋体" w:cs="宋体"/>
                <w:b/>
                <w:bCs/>
                <w:sz w:val="24"/>
                <w:szCs w:val="24"/>
                <w:lang w:val="en-US" w:eastAsia="zh-CN"/>
              </w:rPr>
              <w:t>分析：</w:t>
            </w:r>
            <w:r>
              <w:rPr>
                <w:rFonts w:ascii="宋体" w:hAnsi="宋体" w:eastAsia="宋体" w:cs="宋体"/>
                <w:b/>
                <w:bCs/>
                <w:sz w:val="24"/>
                <w:szCs w:val="24"/>
              </w:rPr>
              <w:t>本项目位于</w:t>
            </w:r>
            <w:r>
              <w:rPr>
                <w:b/>
                <w:bCs/>
                <w:sz w:val="24"/>
                <w:szCs w:val="24"/>
              </w:rPr>
              <w:t>常州市武进区礼嘉镇工业集中区</w:t>
            </w:r>
            <w:r>
              <w:rPr>
                <w:rFonts w:ascii="宋体" w:hAnsi="宋体" w:eastAsia="宋体" w:cs="宋体"/>
                <w:b/>
                <w:bCs/>
                <w:sz w:val="24"/>
                <w:szCs w:val="24"/>
              </w:rPr>
              <w:t>，属于北片工业园内，</w:t>
            </w:r>
            <w:r>
              <w:rPr>
                <w:rFonts w:hint="eastAsia" w:ascii="宋体" w:hAnsi="宋体" w:eastAsia="宋体" w:cs="宋体"/>
                <w:b/>
                <w:bCs/>
                <w:sz w:val="24"/>
                <w:szCs w:val="24"/>
                <w:lang w:val="en-US" w:eastAsia="zh-CN"/>
              </w:rPr>
              <w:t>本项目属于</w:t>
            </w:r>
            <w:r>
              <w:rPr>
                <w:b/>
                <w:bCs/>
                <w:sz w:val="24"/>
                <w:szCs w:val="24"/>
              </w:rPr>
              <w:t>热力生产和供应</w:t>
            </w:r>
            <w:r>
              <w:rPr>
                <w:rFonts w:hint="eastAsia"/>
                <w:b/>
                <w:bCs/>
                <w:sz w:val="24"/>
                <w:szCs w:val="24"/>
                <w:lang w:val="en-US" w:eastAsia="zh-CN"/>
              </w:rPr>
              <w:t>行业</w:t>
            </w:r>
            <w:r>
              <w:rPr>
                <w:rFonts w:ascii="宋体" w:hAnsi="宋体" w:eastAsia="宋体" w:cs="宋体"/>
                <w:b/>
                <w:bCs/>
                <w:sz w:val="24"/>
                <w:szCs w:val="24"/>
              </w:rPr>
              <w:t>，不属于北片工业园禁止发展的钢铁、冶金、印染、化工等产业，符合北片工业园的产业定位</w:t>
            </w:r>
            <w:r>
              <w:rPr>
                <w:rFonts w:hint="eastAsia" w:ascii="宋体" w:hAnsi="宋体" w:eastAsia="宋体" w:cs="宋体"/>
                <w:b/>
                <w:bCs/>
                <w:sz w:val="24"/>
                <w:szCs w:val="24"/>
                <w:lang w:eastAsia="zh-CN"/>
              </w:rPr>
              <w:t>；</w:t>
            </w:r>
            <w:r>
              <w:rPr>
                <w:rFonts w:ascii="宋体" w:hAnsi="宋体" w:eastAsia="宋体" w:cs="宋体"/>
                <w:b/>
                <w:bCs/>
                <w:sz w:val="24"/>
                <w:szCs w:val="24"/>
              </w:rPr>
              <w:t>根据出租方提供的不动产权证书（</w:t>
            </w:r>
            <w:r>
              <w:rPr>
                <w:b/>
                <w:bCs/>
                <w:kern w:val="0"/>
                <w:sz w:val="24"/>
                <w:szCs w:val="24"/>
              </w:rPr>
              <w:t>苏（2017）常州市不动产权第2024107号</w:t>
            </w:r>
            <w:r>
              <w:rPr>
                <w:rFonts w:ascii="宋体" w:hAnsi="宋体" w:eastAsia="宋体" w:cs="宋体"/>
                <w:b/>
                <w:bCs/>
                <w:sz w:val="24"/>
                <w:szCs w:val="24"/>
              </w:rPr>
              <w:t>）及礼嘉镇总体规划，土地类型为工业用地，符合礼嘉镇总体规划的要求。</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eastAsia="宋体"/>
                <w:b/>
                <w:bCs/>
                <w:kern w:val="0"/>
                <w:sz w:val="24"/>
                <w:szCs w:val="24"/>
                <w:lang w:val="en-US" w:eastAsia="zh-CN"/>
              </w:rPr>
            </w:pPr>
            <w:r>
              <w:rPr>
                <w:rFonts w:hint="eastAsia"/>
                <w:b/>
                <w:bCs/>
                <w:sz w:val="24"/>
                <w:szCs w:val="24"/>
                <w:lang w:eastAsia="zh-CN"/>
              </w:rPr>
              <w:t>（</w:t>
            </w:r>
            <w:r>
              <w:rPr>
                <w:rFonts w:hint="eastAsia"/>
                <w:b/>
                <w:bCs/>
                <w:sz w:val="24"/>
                <w:szCs w:val="24"/>
                <w:lang w:val="en-US" w:eastAsia="zh-CN"/>
              </w:rPr>
              <w:t>2</w:t>
            </w:r>
            <w:r>
              <w:rPr>
                <w:rFonts w:hint="eastAsia"/>
                <w:b/>
                <w:bCs/>
                <w:sz w:val="24"/>
                <w:szCs w:val="24"/>
                <w:lang w:eastAsia="zh-CN"/>
              </w:rPr>
              <w:t>）</w:t>
            </w:r>
            <w:r>
              <w:rPr>
                <w:b/>
                <w:bCs/>
                <w:sz w:val="24"/>
                <w:szCs w:val="24"/>
              </w:rPr>
              <w:t>《</w:t>
            </w:r>
            <w:r>
              <w:rPr>
                <w:rFonts w:hint="eastAsia"/>
                <w:b/>
                <w:bCs/>
                <w:sz w:val="24"/>
                <w:szCs w:val="24"/>
              </w:rPr>
              <w:t>市政府关于扩大高污染燃料禁燃区的通告</w:t>
            </w:r>
            <w:r>
              <w:rPr>
                <w:b/>
                <w:bCs/>
                <w:sz w:val="24"/>
                <w:szCs w:val="24"/>
              </w:rPr>
              <w:t>》</w:t>
            </w:r>
            <w:r>
              <w:rPr>
                <w:rFonts w:hint="eastAsia"/>
                <w:b/>
                <w:bCs/>
                <w:sz w:val="24"/>
                <w:szCs w:val="24"/>
                <w:lang w:val="en-US" w:eastAsia="zh-CN"/>
              </w:rPr>
              <w:t>符合性分析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cs="宋体"/>
                <w:sz w:val="24"/>
                <w:lang w:val="en-US" w:eastAsia="zh-CN"/>
              </w:rPr>
              <w:t>根据</w:t>
            </w:r>
            <w:r>
              <w:rPr>
                <w:rFonts w:hint="eastAsia" w:ascii="宋体" w:hAnsi="宋体" w:eastAsia="宋体" w:cs="宋体"/>
                <w:sz w:val="24"/>
              </w:rPr>
              <w:t>《</w:t>
            </w:r>
            <w:r>
              <w:rPr>
                <w:rFonts w:hint="eastAsia"/>
                <w:sz w:val="24"/>
                <w:szCs w:val="24"/>
              </w:rPr>
              <w:t>市政府关于扩大高污染燃料禁燃区的通告</w:t>
            </w:r>
            <w:r>
              <w:rPr>
                <w:rFonts w:hint="eastAsia" w:ascii="宋体" w:hAnsi="宋体" w:eastAsia="宋体" w:cs="宋体"/>
                <w:sz w:val="24"/>
              </w:rPr>
              <w:t>》</w:t>
            </w:r>
            <w:r>
              <w:rPr>
                <w:rFonts w:hint="eastAsia" w:ascii="宋体" w:hAnsi="宋体" w:cs="宋体"/>
                <w:sz w:val="24"/>
                <w:lang w:val="en-US" w:eastAsia="zh-CN"/>
              </w:rPr>
              <w:t>可知：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①</w:t>
            </w:r>
            <w:r>
              <w:rPr>
                <w:rFonts w:hint="eastAsia" w:ascii="宋体" w:hAnsi="宋体" w:eastAsia="宋体" w:cs="宋体"/>
                <w:b w:val="0"/>
                <w:bCs w:val="0"/>
                <w:sz w:val="24"/>
                <w:szCs w:val="24"/>
                <w:lang w:val="en-US" w:eastAsia="zh-CN"/>
              </w:rPr>
              <w:t>扩大后的高污染燃料禁燃区范围如下：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b w:val="0"/>
                <w:bCs w:val="0"/>
                <w:sz w:val="24"/>
                <w:szCs w:val="24"/>
              </w:rPr>
            </w:pPr>
            <w:r>
              <w:rPr>
                <w:rFonts w:ascii="宋体" w:hAnsi="宋体" w:eastAsia="宋体" w:cs="宋体"/>
                <w:b w:val="0"/>
                <w:bCs w:val="0"/>
                <w:sz w:val="24"/>
                <w:szCs w:val="24"/>
                <w:lang w:val="en-US" w:eastAsia="zh-CN"/>
              </w:rPr>
              <w:t>（一）金坛区：东至S240</w:t>
            </w:r>
            <w:r>
              <w:rPr>
                <w:rFonts w:hint="eastAsia" w:ascii="宋体" w:hAnsi="宋体" w:eastAsia="宋体" w:cs="宋体"/>
                <w:b w:val="0"/>
                <w:bCs w:val="0"/>
                <w:sz w:val="24"/>
                <w:szCs w:val="24"/>
                <w:lang w:val="en-US" w:eastAsia="zh-CN"/>
              </w:rPr>
              <w:t>，南至</w:t>
            </w:r>
            <w:r>
              <w:rPr>
                <w:rFonts w:hint="default" w:ascii="宋体" w:hAnsi="宋体" w:eastAsia="宋体" w:cs="宋体"/>
                <w:b w:val="0"/>
                <w:bCs w:val="0"/>
                <w:sz w:val="24"/>
                <w:szCs w:val="24"/>
                <w:lang w:val="en-US" w:eastAsia="zh-CN"/>
              </w:rPr>
              <w:t>S38</w:t>
            </w:r>
            <w:r>
              <w:rPr>
                <w:rFonts w:hint="eastAsia" w:ascii="宋体" w:hAnsi="宋体" w:eastAsia="宋体" w:cs="宋体"/>
                <w:b w:val="0"/>
                <w:bCs w:val="0"/>
                <w:sz w:val="24"/>
                <w:szCs w:val="24"/>
                <w:lang w:val="en-US" w:eastAsia="zh-CN"/>
              </w:rPr>
              <w:t>，西至</w:t>
            </w:r>
            <w:r>
              <w:rPr>
                <w:rFonts w:hint="default" w:ascii="宋体" w:hAnsi="宋体" w:eastAsia="宋体" w:cs="宋体"/>
                <w:b w:val="0"/>
                <w:bCs w:val="0"/>
                <w:sz w:val="24"/>
                <w:szCs w:val="24"/>
                <w:lang w:val="en-US" w:eastAsia="zh-CN"/>
              </w:rPr>
              <w:t>S241</w:t>
            </w:r>
            <w:r>
              <w:rPr>
                <w:rFonts w:hint="eastAsia" w:ascii="宋体" w:hAnsi="宋体" w:eastAsia="宋体" w:cs="宋体"/>
                <w:b w:val="0"/>
                <w:bCs w:val="0"/>
                <w:sz w:val="24"/>
                <w:szCs w:val="24"/>
                <w:lang w:val="en-US" w:eastAsia="zh-CN"/>
              </w:rPr>
              <w:t>，北至</w:t>
            </w:r>
            <w:r>
              <w:rPr>
                <w:rFonts w:hint="default" w:ascii="宋体" w:hAnsi="宋体" w:eastAsia="宋体" w:cs="宋体"/>
                <w:b w:val="0"/>
                <w:bCs w:val="0"/>
                <w:sz w:val="24"/>
                <w:szCs w:val="24"/>
                <w:lang w:val="en-US" w:eastAsia="zh-CN"/>
              </w:rPr>
              <w:t>S3400</w:t>
            </w:r>
            <w:r>
              <w:rPr>
                <w:rFonts w:hint="eastAsia" w:ascii="宋体" w:hAnsi="宋体" w:eastAsia="宋体" w:cs="宋体"/>
                <w:b w:val="0"/>
                <w:bCs w:val="0"/>
                <w:sz w:val="24"/>
                <w:szCs w:val="24"/>
                <w:lang w:val="en-US" w:eastAsia="zh-CN"/>
              </w:rPr>
              <w:t>扩大后的禁燃区面积为</w:t>
            </w:r>
            <w:r>
              <w:rPr>
                <w:rFonts w:ascii="宋体" w:hAnsi="宋体" w:eastAsia="宋体" w:cs="宋体"/>
                <w:b w:val="0"/>
                <w:bCs w:val="0"/>
                <w:sz w:val="24"/>
                <w:szCs w:val="24"/>
                <w:lang w:val="en-US" w:eastAsia="zh-CN"/>
              </w:rPr>
              <w:t>60</w:t>
            </w:r>
            <w:r>
              <w:rPr>
                <w:rFonts w:hint="eastAsia" w:ascii="宋体" w:hAnsi="宋体" w:eastAsia="宋体" w:cs="宋体"/>
                <w:b w:val="0"/>
                <w:bCs w:val="0"/>
                <w:sz w:val="24"/>
                <w:szCs w:val="24"/>
                <w:lang w:val="en-US" w:eastAsia="zh-CN"/>
              </w:rPr>
              <w:t>平方公里。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（二）武进区、新北区、天宁区、钟楼区：东至新北区通江路、通江路与</w:t>
            </w:r>
            <w:r>
              <w:rPr>
                <w:rFonts w:hint="default" w:ascii="宋体" w:hAnsi="宋体" w:eastAsia="宋体" w:cs="宋体"/>
                <w:b w:val="0"/>
                <w:bCs w:val="0"/>
                <w:sz w:val="24"/>
                <w:szCs w:val="24"/>
                <w:lang w:val="en-US" w:eastAsia="zh-CN"/>
              </w:rPr>
              <w:t>S122</w:t>
            </w:r>
            <w:r>
              <w:rPr>
                <w:rFonts w:hint="eastAsia" w:ascii="宋体" w:hAnsi="宋体" w:eastAsia="宋体" w:cs="宋体"/>
                <w:b w:val="0"/>
                <w:bCs w:val="0"/>
                <w:sz w:val="24"/>
                <w:szCs w:val="24"/>
                <w:lang w:val="en-US" w:eastAsia="zh-CN"/>
              </w:rPr>
              <w:t>交汇后沿</w:t>
            </w:r>
            <w:r>
              <w:rPr>
                <w:rFonts w:hint="default" w:ascii="宋体" w:hAnsi="宋体" w:eastAsia="宋体" w:cs="宋体"/>
                <w:b w:val="0"/>
                <w:bCs w:val="0"/>
                <w:sz w:val="24"/>
                <w:szCs w:val="24"/>
                <w:lang w:val="en-US" w:eastAsia="zh-CN"/>
              </w:rPr>
              <w:t>S122</w:t>
            </w:r>
            <w:r>
              <w:rPr>
                <w:rFonts w:hint="eastAsia" w:ascii="宋体" w:hAnsi="宋体" w:eastAsia="宋体" w:cs="宋体"/>
                <w:b w:val="0"/>
                <w:bCs w:val="0"/>
                <w:sz w:val="24"/>
                <w:szCs w:val="24"/>
                <w:lang w:val="en-US" w:eastAsia="zh-CN"/>
              </w:rPr>
              <w:t>至新北区东边界；天宁区和武进区经开区、洛阳镇东边界，南至武进区洛阳镇全部、</w:t>
            </w:r>
            <w:r>
              <w:rPr>
                <w:rFonts w:hint="default" w:ascii="宋体" w:hAnsi="宋体" w:eastAsia="宋体" w:cs="宋体"/>
                <w:b w:val="0"/>
                <w:bCs w:val="0"/>
                <w:sz w:val="24"/>
                <w:szCs w:val="24"/>
                <w:lang w:val="en-US" w:eastAsia="zh-CN"/>
              </w:rPr>
              <w:t>S38</w:t>
            </w:r>
            <w:r>
              <w:rPr>
                <w:rFonts w:hint="eastAsia" w:ascii="宋体" w:hAnsi="宋体" w:eastAsia="宋体" w:cs="宋体"/>
                <w:b w:val="0"/>
                <w:bCs w:val="0"/>
                <w:sz w:val="24"/>
                <w:szCs w:val="24"/>
                <w:lang w:val="en-US" w:eastAsia="zh-CN"/>
              </w:rPr>
              <w:t>、南夏墅街道全部和</w:t>
            </w:r>
            <w:r>
              <w:rPr>
                <w:rFonts w:hint="default" w:ascii="宋体" w:hAnsi="宋体" w:eastAsia="宋体" w:cs="宋体"/>
                <w:b w:val="0"/>
                <w:bCs w:val="0"/>
                <w:sz w:val="24"/>
                <w:szCs w:val="24"/>
                <w:lang w:val="en-US" w:eastAsia="zh-CN"/>
              </w:rPr>
              <w:t>S38</w:t>
            </w:r>
            <w:r>
              <w:rPr>
                <w:rFonts w:hint="eastAsia" w:ascii="宋体" w:hAnsi="宋体" w:eastAsia="宋体" w:cs="宋体"/>
                <w:b w:val="0"/>
                <w:bCs w:val="0"/>
                <w:sz w:val="24"/>
                <w:szCs w:val="24"/>
                <w:lang w:val="en-US" w:eastAsia="zh-CN"/>
              </w:rPr>
              <w:t>，西至扁担河、钟楼区邹区镇全部和</w:t>
            </w:r>
            <w:r>
              <w:rPr>
                <w:rFonts w:hint="default" w:ascii="宋体" w:hAnsi="宋体" w:eastAsia="宋体" w:cs="宋体"/>
                <w:b w:val="0"/>
                <w:bCs w:val="0"/>
                <w:sz w:val="24"/>
                <w:szCs w:val="24"/>
                <w:lang w:val="en-US" w:eastAsia="zh-CN"/>
              </w:rPr>
              <w:t>S39;</w:t>
            </w:r>
            <w:r>
              <w:rPr>
                <w:rFonts w:hint="eastAsia" w:ascii="宋体" w:hAnsi="宋体" w:eastAsia="宋体" w:cs="宋体"/>
                <w:b w:val="0"/>
                <w:bCs w:val="0"/>
                <w:sz w:val="24"/>
                <w:szCs w:val="24"/>
                <w:lang w:val="en-US" w:eastAsia="zh-CN"/>
              </w:rPr>
              <w:t>北至新北区北边界。扩大后的禁燃区面积为</w:t>
            </w:r>
            <w:r>
              <w:rPr>
                <w:rFonts w:hint="default" w:ascii="宋体" w:hAnsi="宋体" w:eastAsia="宋体" w:cs="宋体"/>
                <w:b w:val="0"/>
                <w:bCs w:val="0"/>
                <w:sz w:val="24"/>
                <w:szCs w:val="24"/>
                <w:lang w:val="en-US" w:eastAsia="zh-CN"/>
              </w:rPr>
              <w:t>995</w:t>
            </w:r>
            <w:r>
              <w:rPr>
                <w:rFonts w:hint="eastAsia" w:ascii="宋体" w:hAnsi="宋体" w:eastAsia="宋体" w:cs="宋体"/>
                <w:b w:val="0"/>
                <w:bCs w:val="0"/>
                <w:sz w:val="24"/>
                <w:szCs w:val="24"/>
                <w:lang w:val="en-US" w:eastAsia="zh-CN"/>
              </w:rPr>
              <w:t>平方公里。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②</w:t>
            </w:r>
            <w:r>
              <w:rPr>
                <w:rFonts w:hint="eastAsia" w:ascii="宋体" w:hAnsi="宋体" w:eastAsia="宋体" w:cs="宋体"/>
                <w:b w:val="0"/>
                <w:bCs w:val="0"/>
                <w:sz w:val="24"/>
                <w:szCs w:val="24"/>
                <w:lang w:val="en-US" w:eastAsia="zh-CN"/>
              </w:rPr>
              <w:t>禁燃区</w:t>
            </w:r>
            <w:r>
              <w:rPr>
                <w:rFonts w:hint="eastAsia" w:ascii="宋体" w:hAnsi="宋体" w:cs="宋体"/>
                <w:b w:val="0"/>
                <w:bCs w:val="0"/>
                <w:sz w:val="24"/>
                <w:szCs w:val="24"/>
                <w:lang w:val="en-US" w:eastAsia="zh-CN"/>
              </w:rPr>
              <w:t>内具体要求：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（1）禁燃区内使用高污染燃料锅炉及各类炉窑、炉灶等60％的燃烧设施（集中供热、电厂锅炉、钢铁烧结、高炉除外）</w:t>
            </w:r>
            <w:r>
              <w:rPr>
                <w:rFonts w:hint="default" w:ascii="宋体" w:hAnsi="宋体" w:eastAsia="宋体" w:cs="宋体"/>
                <w:b w:val="0"/>
                <w:bCs w:val="0"/>
                <w:sz w:val="24"/>
                <w:szCs w:val="24"/>
                <w:lang w:val="en-US" w:eastAsia="zh-CN"/>
              </w:rPr>
              <w:t>,</w:t>
            </w:r>
            <w:r>
              <w:rPr>
                <w:rFonts w:hint="eastAsia" w:ascii="宋体" w:hAnsi="宋体" w:eastAsia="宋体" w:cs="宋体"/>
                <w:b w:val="0"/>
                <w:bCs w:val="0"/>
                <w:sz w:val="24"/>
                <w:szCs w:val="24"/>
                <w:lang w:val="en-US" w:eastAsia="zh-CN"/>
              </w:rPr>
              <w:t>应当在</w:t>
            </w:r>
            <w:r>
              <w:rPr>
                <w:rFonts w:hint="default" w:ascii="宋体" w:hAnsi="宋体" w:eastAsia="宋体" w:cs="宋体"/>
                <w:b w:val="0"/>
                <w:bCs w:val="0"/>
                <w:sz w:val="24"/>
                <w:szCs w:val="24"/>
                <w:lang w:val="en-US" w:eastAsia="zh-CN"/>
              </w:rPr>
              <w:t>2017</w:t>
            </w:r>
            <w:r>
              <w:rPr>
                <w:rFonts w:hint="eastAsia" w:ascii="宋体" w:hAnsi="宋体" w:eastAsia="宋体" w:cs="宋体"/>
                <w:b w:val="0"/>
                <w:bCs w:val="0"/>
                <w:sz w:val="24"/>
                <w:szCs w:val="24"/>
                <w:lang w:val="en-US" w:eastAsia="zh-CN"/>
              </w:rPr>
              <w:t>年</w:t>
            </w:r>
            <w:r>
              <w:rPr>
                <w:rFonts w:hint="default" w:ascii="宋体" w:hAnsi="宋体" w:eastAsia="宋体" w:cs="宋体"/>
                <w:b w:val="0"/>
                <w:bCs w:val="0"/>
                <w:sz w:val="24"/>
                <w:szCs w:val="24"/>
                <w:lang w:val="en-US" w:eastAsia="zh-CN"/>
              </w:rPr>
              <w:t>12</w:t>
            </w:r>
            <w:r>
              <w:rPr>
                <w:rFonts w:hint="eastAsia" w:ascii="宋体" w:hAnsi="宋体" w:eastAsia="宋体" w:cs="宋体"/>
                <w:b w:val="0"/>
                <w:bCs w:val="0"/>
                <w:sz w:val="24"/>
                <w:szCs w:val="24"/>
                <w:lang w:val="en-US" w:eastAsia="zh-CN"/>
              </w:rPr>
              <w:t>月</w:t>
            </w:r>
            <w:r>
              <w:rPr>
                <w:rFonts w:hint="default" w:ascii="宋体" w:hAnsi="宋体" w:eastAsia="宋体" w:cs="宋体"/>
                <w:b w:val="0"/>
                <w:bCs w:val="0"/>
                <w:sz w:val="24"/>
                <w:szCs w:val="24"/>
                <w:lang w:val="en-US" w:eastAsia="zh-CN"/>
              </w:rPr>
              <w:t>31</w:t>
            </w:r>
            <w:r>
              <w:rPr>
                <w:rFonts w:hint="eastAsia" w:ascii="宋体" w:hAnsi="宋体" w:eastAsia="宋体" w:cs="宋体"/>
                <w:b w:val="0"/>
                <w:bCs w:val="0"/>
                <w:sz w:val="24"/>
                <w:szCs w:val="24"/>
                <w:lang w:val="en-US" w:eastAsia="zh-CN"/>
              </w:rPr>
              <w:t>日前完成天然气、液化石油气、电、其他清洁能源或者集中供热替代改造；其余燃烧设施在</w:t>
            </w:r>
            <w:r>
              <w:rPr>
                <w:rFonts w:hint="default" w:ascii="宋体" w:hAnsi="宋体" w:eastAsia="宋体" w:cs="宋体"/>
                <w:b w:val="0"/>
                <w:bCs w:val="0"/>
                <w:sz w:val="24"/>
                <w:szCs w:val="24"/>
                <w:lang w:val="en-US" w:eastAsia="zh-CN"/>
              </w:rPr>
              <w:t>2018</w:t>
            </w:r>
            <w:r>
              <w:rPr>
                <w:rFonts w:hint="eastAsia" w:ascii="宋体" w:hAnsi="宋体" w:eastAsia="宋体" w:cs="宋体"/>
                <w:b w:val="0"/>
                <w:bCs w:val="0"/>
                <w:sz w:val="24"/>
                <w:szCs w:val="24"/>
                <w:lang w:val="en-US" w:eastAsia="zh-CN"/>
              </w:rPr>
              <w:t>年</w:t>
            </w:r>
            <w:r>
              <w:rPr>
                <w:rFonts w:hint="default" w:ascii="宋体" w:hAnsi="宋体" w:eastAsia="宋体" w:cs="宋体"/>
                <w:b w:val="0"/>
                <w:bCs w:val="0"/>
                <w:sz w:val="24"/>
                <w:szCs w:val="24"/>
                <w:lang w:val="en-US" w:eastAsia="zh-CN"/>
              </w:rPr>
              <w:t>12</w:t>
            </w:r>
            <w:r>
              <w:rPr>
                <w:rFonts w:hint="eastAsia" w:ascii="宋体" w:hAnsi="宋体" w:eastAsia="宋体" w:cs="宋体"/>
                <w:b w:val="0"/>
                <w:bCs w:val="0"/>
                <w:sz w:val="24"/>
                <w:szCs w:val="24"/>
                <w:lang w:val="en-US" w:eastAsia="zh-CN"/>
              </w:rPr>
              <w:t>月</w:t>
            </w:r>
            <w:r>
              <w:rPr>
                <w:rFonts w:hint="default" w:ascii="宋体" w:hAnsi="宋体" w:eastAsia="宋体" w:cs="宋体"/>
                <w:b w:val="0"/>
                <w:bCs w:val="0"/>
                <w:sz w:val="24"/>
                <w:szCs w:val="24"/>
                <w:lang w:val="en-US" w:eastAsia="zh-CN"/>
              </w:rPr>
              <w:t>31</w:t>
            </w:r>
            <w:r>
              <w:rPr>
                <w:rFonts w:hint="eastAsia" w:ascii="宋体" w:hAnsi="宋体" w:eastAsia="宋体" w:cs="宋体"/>
                <w:b w:val="0"/>
                <w:bCs w:val="0"/>
                <w:sz w:val="24"/>
                <w:szCs w:val="24"/>
                <w:lang w:val="en-US" w:eastAsia="zh-CN"/>
              </w:rPr>
              <w:t>日前完成。逾期未完成的，不得继续使用。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（2）禁燃区内禁止新建、扩建燃用高污染燃料的锅炉、炉窑、炉灶等燃烧设施（集中供热、电厂锅炉、钢铁烧结、高炉除外）。</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cs="宋体"/>
                <w:b/>
                <w:bCs/>
                <w:sz w:val="24"/>
                <w:szCs w:val="24"/>
              </w:rPr>
            </w:pPr>
            <w:r>
              <w:rPr>
                <w:rFonts w:hint="eastAsia" w:ascii="宋体" w:hAnsi="宋体" w:eastAsia="宋体" w:cs="宋体"/>
                <w:b/>
                <w:bCs/>
                <w:sz w:val="24"/>
                <w:szCs w:val="24"/>
                <w:lang w:val="en-US" w:eastAsia="zh-CN"/>
              </w:rPr>
              <w:t>分析：</w:t>
            </w:r>
            <w:r>
              <w:rPr>
                <w:rFonts w:ascii="宋体" w:hAnsi="宋体" w:eastAsia="宋体" w:cs="宋体"/>
                <w:b/>
                <w:bCs/>
                <w:sz w:val="24"/>
                <w:szCs w:val="24"/>
              </w:rPr>
              <w:t>本项目位于</w:t>
            </w:r>
            <w:r>
              <w:rPr>
                <w:b/>
                <w:bCs/>
                <w:sz w:val="24"/>
                <w:szCs w:val="24"/>
              </w:rPr>
              <w:t>常州市武进区礼嘉镇工业集中区</w:t>
            </w:r>
            <w:r>
              <w:rPr>
                <w:rFonts w:ascii="宋体" w:hAnsi="宋体" w:eastAsia="宋体" w:cs="宋体"/>
                <w:b/>
                <w:bCs/>
                <w:sz w:val="24"/>
                <w:szCs w:val="24"/>
              </w:rPr>
              <w:t>，</w:t>
            </w:r>
            <w:r>
              <w:rPr>
                <w:rFonts w:hint="eastAsia" w:ascii="宋体" w:hAnsi="宋体" w:cs="宋体"/>
                <w:b/>
                <w:bCs/>
                <w:sz w:val="24"/>
                <w:szCs w:val="24"/>
                <w:lang w:val="en-US" w:eastAsia="zh-CN"/>
              </w:rPr>
              <w:t>不属于</w:t>
            </w:r>
            <w:r>
              <w:rPr>
                <w:rFonts w:hint="eastAsia"/>
                <w:b/>
                <w:bCs/>
                <w:sz w:val="24"/>
                <w:szCs w:val="24"/>
                <w:lang w:val="en-US" w:eastAsia="zh-CN"/>
              </w:rPr>
              <w:t>禁燃区范围，且本项目锅炉使用天然气作为能源，天然气不属于高污染燃料，</w:t>
            </w:r>
            <w:r>
              <w:rPr>
                <w:rFonts w:ascii="宋体" w:hAnsi="宋体" w:eastAsia="宋体" w:cs="宋体"/>
                <w:b/>
                <w:bCs/>
                <w:sz w:val="24"/>
                <w:szCs w:val="24"/>
              </w:rPr>
              <w:t>符合</w:t>
            </w:r>
            <w:r>
              <w:rPr>
                <w:rFonts w:hint="eastAsia" w:ascii="宋体" w:hAnsi="宋体" w:eastAsia="宋体" w:cs="宋体"/>
                <w:b/>
                <w:bCs/>
                <w:sz w:val="24"/>
                <w:szCs w:val="24"/>
              </w:rPr>
              <w:t>《市政府关于扩大高污染燃料禁燃区的通告》</w:t>
            </w:r>
            <w:r>
              <w:rPr>
                <w:rFonts w:ascii="宋体" w:hAnsi="宋体" w:eastAsia="宋体" w:cs="宋体"/>
                <w:b/>
                <w:bCs/>
                <w:sz w:val="24"/>
                <w:szCs w:val="24"/>
              </w:rPr>
              <w:t>规划要求。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cs="宋体"/>
                <w:b/>
                <w:bCs/>
                <w:sz w:val="24"/>
                <w:szCs w:val="24"/>
              </w:rPr>
            </w:pPr>
          </w:p>
          <w:p>
            <w:pPr>
              <w:pStyle w:val="2"/>
              <w:rPr>
                <w:rFonts w:hint="default"/>
                <w:lang w:val="en-US" w:eastAsia="zh-CN"/>
              </w:rPr>
            </w:pPr>
          </w:p>
          <w:p>
            <w:pPr>
              <w:ind w:firstLine="482" w:firstLineChars="200"/>
              <w:rPr>
                <w:b/>
                <w:kern w:val="0"/>
                <w:sz w:val="24"/>
                <w:szCs w:val="24"/>
              </w:rPr>
            </w:pPr>
          </w:p>
          <w:p>
            <w:pPr>
              <w:ind w:firstLine="482" w:firstLineChars="200"/>
              <w:rPr>
                <w:b/>
                <w:kern w:val="0"/>
                <w:sz w:val="24"/>
                <w:szCs w:val="24"/>
              </w:rPr>
            </w:pPr>
          </w:p>
          <w:p>
            <w:pPr>
              <w:ind w:firstLine="482" w:firstLineChars="200"/>
              <w:rPr>
                <w:b/>
                <w:kern w:val="0"/>
                <w:sz w:val="24"/>
                <w:szCs w:val="24"/>
              </w:rPr>
            </w:pPr>
          </w:p>
          <w:p>
            <w:pPr>
              <w:ind w:firstLine="482" w:firstLineChars="200"/>
              <w:rPr>
                <w:b/>
                <w:kern w:val="0"/>
                <w:sz w:val="24"/>
                <w:szCs w:val="24"/>
              </w:rPr>
            </w:pPr>
          </w:p>
          <w:p>
            <w:pPr>
              <w:ind w:firstLine="482" w:firstLineChars="200"/>
              <w:rPr>
                <w:b/>
                <w:kern w:val="0"/>
                <w:sz w:val="24"/>
                <w:szCs w:val="24"/>
              </w:rPr>
            </w:pPr>
          </w:p>
          <w:p>
            <w:pPr>
              <w:ind w:firstLine="482" w:firstLineChars="200"/>
              <w:rPr>
                <w:b/>
                <w:kern w:val="0"/>
                <w:sz w:val="24"/>
                <w:szCs w:val="24"/>
              </w:rPr>
            </w:pPr>
          </w:p>
          <w:p>
            <w:pPr>
              <w:ind w:firstLine="482" w:firstLineChars="200"/>
              <w:rPr>
                <w:b/>
                <w:kern w:val="0"/>
                <w:sz w:val="24"/>
                <w:szCs w:val="24"/>
              </w:rPr>
            </w:pPr>
          </w:p>
          <w:p>
            <w:pPr>
              <w:rPr>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3" w:hRule="atLeast"/>
          <w:jc w:val="center"/>
        </w:trPr>
        <w:tc>
          <w:tcPr>
            <w:tcW w:w="587" w:type="dxa"/>
            <w:vAlign w:val="center"/>
          </w:tcPr>
          <w:p>
            <w:pPr>
              <w:autoSpaceDE w:val="0"/>
              <w:autoSpaceDN w:val="0"/>
              <w:adjustRightInd w:val="0"/>
              <w:snapToGrid w:val="0"/>
              <w:jc w:val="center"/>
              <w:rPr>
                <w:color w:val="0000FF"/>
                <w:kern w:val="0"/>
                <w:szCs w:val="21"/>
              </w:rPr>
            </w:pPr>
            <w:r>
              <w:rPr>
                <w:kern w:val="0"/>
                <w:szCs w:val="21"/>
              </w:rPr>
              <w:t>其他符合性分析</w:t>
            </w:r>
          </w:p>
        </w:tc>
        <w:tc>
          <w:tcPr>
            <w:tcW w:w="8283" w:type="dxa"/>
            <w:gridSpan w:val="4"/>
            <w:vAlign w:val="center"/>
          </w:tcPr>
          <w:p>
            <w:pPr>
              <w:autoSpaceDE w:val="0"/>
              <w:autoSpaceDN w:val="0"/>
              <w:adjustRightInd w:val="0"/>
              <w:snapToGrid w:val="0"/>
              <w:spacing w:line="360" w:lineRule="auto"/>
              <w:rPr>
                <w:rFonts w:hint="eastAsia" w:ascii="宋体" w:hAnsi="宋体" w:cs="宋体"/>
                <w:b/>
                <w:bCs/>
                <w:sz w:val="24"/>
              </w:rPr>
            </w:pPr>
            <w:r>
              <w:rPr>
                <w:rFonts w:hint="eastAsia" w:ascii="宋体" w:hAnsi="宋体" w:cs="宋体"/>
                <w:b/>
                <w:bCs/>
                <w:sz w:val="24"/>
                <w:lang w:val="en-US" w:eastAsia="zh-CN"/>
              </w:rPr>
              <w:t>1</w:t>
            </w:r>
            <w:r>
              <w:rPr>
                <w:rFonts w:hint="eastAsia" w:ascii="宋体" w:hAnsi="宋体" w:cs="宋体"/>
                <w:b/>
                <w:bCs/>
                <w:sz w:val="24"/>
              </w:rPr>
              <w:t>、产业政策相符性分析</w:t>
            </w:r>
          </w:p>
          <w:p>
            <w:pPr>
              <w:autoSpaceDE w:val="0"/>
              <w:autoSpaceDN w:val="0"/>
              <w:adjustRightInd w:val="0"/>
              <w:snapToGrid w:val="0"/>
              <w:spacing w:line="360" w:lineRule="auto"/>
              <w:ind w:firstLine="480" w:firstLineChars="200"/>
              <w:rPr>
                <w:rFonts w:hint="eastAsia" w:ascii="宋体" w:hAnsi="宋体" w:cs="宋体"/>
                <w:sz w:val="24"/>
              </w:rPr>
            </w:pPr>
            <w:r>
              <w:rPr>
                <w:rFonts w:ascii="宋体" w:hAnsi="宋体" w:eastAsia="宋体" w:cs="宋体"/>
                <w:sz w:val="24"/>
                <w:szCs w:val="24"/>
              </w:rPr>
              <w:t>本项目产业政策相符性分析具体见表1-1</w:t>
            </w:r>
            <w:r>
              <w:rPr>
                <w:rFonts w:hint="eastAsia" w:ascii="宋体" w:hAnsi="宋体" w:cs="宋体"/>
                <w:sz w:val="24"/>
              </w:rPr>
              <w:t>。</w:t>
            </w:r>
          </w:p>
          <w:p>
            <w:pPr>
              <w:widowControl/>
              <w:jc w:val="center"/>
              <w:rPr>
                <w:rFonts w:hint="eastAsia" w:eastAsia="宋体"/>
                <w:b/>
                <w:bCs/>
                <w:lang w:val="en-US" w:eastAsia="zh-CN"/>
              </w:rPr>
            </w:pPr>
            <w:r>
              <w:rPr>
                <w:rFonts w:hint="eastAsia" w:ascii="宋体" w:hAnsi="宋体" w:cs="宋体"/>
                <w:b/>
                <w:bCs/>
                <w:color w:val="000000"/>
                <w:kern w:val="0"/>
                <w:sz w:val="24"/>
                <w:lang w:bidi="ar"/>
              </w:rPr>
              <w:t>表</w:t>
            </w:r>
            <w:r>
              <w:rPr>
                <w:b/>
                <w:bCs/>
                <w:color w:val="000000"/>
                <w:kern w:val="0"/>
                <w:sz w:val="24"/>
                <w:lang w:bidi="ar"/>
              </w:rPr>
              <w:t>1-1</w:t>
            </w:r>
            <w:r>
              <w:rPr>
                <w:rFonts w:hint="eastAsia"/>
                <w:b/>
                <w:bCs/>
                <w:color w:val="000000"/>
                <w:kern w:val="0"/>
                <w:sz w:val="24"/>
                <w:lang w:bidi="ar"/>
              </w:rPr>
              <w:t xml:space="preserve">  </w:t>
            </w:r>
            <w:r>
              <w:rPr>
                <w:rFonts w:ascii="宋体" w:hAnsi="宋体" w:eastAsia="宋体" w:cs="宋体"/>
                <w:b/>
                <w:bCs/>
                <w:sz w:val="24"/>
                <w:szCs w:val="24"/>
              </w:rPr>
              <w:t>本项目产业政策相符性</w:t>
            </w:r>
            <w:r>
              <w:rPr>
                <w:rFonts w:hint="eastAsia" w:ascii="宋体" w:hAnsi="宋体" w:cs="宋体"/>
                <w:b/>
                <w:bCs/>
                <w:sz w:val="24"/>
                <w:szCs w:val="24"/>
                <w:lang w:val="en-US" w:eastAsia="zh-CN"/>
              </w:rPr>
              <w:t>分析</w:t>
            </w:r>
          </w:p>
          <w:tbl>
            <w:tblPr>
              <w:tblStyle w:val="21"/>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65"/>
              <w:gridCol w:w="786"/>
              <w:gridCol w:w="6057"/>
              <w:gridCol w:w="75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8" w:type="pct"/>
                  <w:noWrap w:val="0"/>
                  <w:vAlign w:val="center"/>
                </w:tcPr>
                <w:p>
                  <w:pPr>
                    <w:autoSpaceDE w:val="0"/>
                    <w:autoSpaceDN w:val="0"/>
                    <w:snapToGrid w:val="0"/>
                    <w:jc w:val="center"/>
                    <w:rPr>
                      <w:rFonts w:hint="eastAsia" w:ascii="宋体" w:hAnsi="宋体" w:cs="宋体"/>
                      <w:b/>
                      <w:bCs/>
                      <w:sz w:val="21"/>
                      <w:szCs w:val="21"/>
                    </w:rPr>
                  </w:pPr>
                  <w:r>
                    <w:rPr>
                      <w:rFonts w:hint="eastAsia" w:ascii="宋体" w:hAnsi="宋体" w:cs="宋体"/>
                      <w:b/>
                      <w:bCs/>
                      <w:sz w:val="21"/>
                      <w:szCs w:val="21"/>
                    </w:rPr>
                    <w:t>序号</w:t>
                  </w:r>
                </w:p>
              </w:tc>
              <w:tc>
                <w:tcPr>
                  <w:tcW w:w="487" w:type="pct"/>
                  <w:noWrap w:val="0"/>
                  <w:vAlign w:val="center"/>
                </w:tcPr>
                <w:p>
                  <w:pPr>
                    <w:autoSpaceDE w:val="0"/>
                    <w:autoSpaceDN w:val="0"/>
                    <w:snapToGrid w:val="0"/>
                    <w:jc w:val="center"/>
                    <w:rPr>
                      <w:rFonts w:hint="eastAsia" w:ascii="宋体" w:hAnsi="宋体" w:cs="宋体"/>
                      <w:b/>
                      <w:bCs/>
                      <w:sz w:val="21"/>
                      <w:szCs w:val="21"/>
                    </w:rPr>
                  </w:pPr>
                  <w:r>
                    <w:rPr>
                      <w:rFonts w:hint="eastAsia" w:ascii="宋体" w:hAnsi="宋体" w:cs="宋体"/>
                      <w:b/>
                      <w:bCs/>
                      <w:sz w:val="21"/>
                      <w:szCs w:val="21"/>
                    </w:rPr>
                    <w:t>判断类型</w:t>
                  </w:r>
                </w:p>
              </w:tc>
              <w:tc>
                <w:tcPr>
                  <w:tcW w:w="3754" w:type="pct"/>
                  <w:noWrap w:val="0"/>
                  <w:vAlign w:val="center"/>
                </w:tcPr>
                <w:p>
                  <w:pPr>
                    <w:autoSpaceDE w:val="0"/>
                    <w:autoSpaceDN w:val="0"/>
                    <w:snapToGrid w:val="0"/>
                    <w:jc w:val="center"/>
                    <w:rPr>
                      <w:rFonts w:hint="eastAsia" w:ascii="宋体" w:hAnsi="宋体" w:cs="宋体"/>
                      <w:b/>
                      <w:bCs/>
                      <w:sz w:val="21"/>
                      <w:szCs w:val="21"/>
                    </w:rPr>
                  </w:pPr>
                  <w:r>
                    <w:rPr>
                      <w:rFonts w:hint="eastAsia" w:ascii="宋体" w:hAnsi="宋体" w:cs="宋体"/>
                      <w:b/>
                      <w:bCs/>
                      <w:sz w:val="21"/>
                      <w:szCs w:val="21"/>
                    </w:rPr>
                    <w:t>对照分析</w:t>
                  </w:r>
                </w:p>
              </w:tc>
              <w:tc>
                <w:tcPr>
                  <w:tcW w:w="469" w:type="pct"/>
                  <w:noWrap w:val="0"/>
                  <w:vAlign w:val="center"/>
                </w:tcPr>
                <w:p>
                  <w:pPr>
                    <w:autoSpaceDE w:val="0"/>
                    <w:autoSpaceDN w:val="0"/>
                    <w:snapToGrid w:val="0"/>
                    <w:jc w:val="center"/>
                    <w:rPr>
                      <w:rFonts w:hint="eastAsia" w:ascii="宋体" w:hAnsi="宋体" w:eastAsia="宋体" w:cs="宋体"/>
                      <w:b/>
                      <w:bCs/>
                      <w:sz w:val="21"/>
                      <w:szCs w:val="21"/>
                      <w:lang w:eastAsia="zh-CN"/>
                    </w:rPr>
                  </w:pPr>
                  <w:r>
                    <w:rPr>
                      <w:rFonts w:hint="eastAsia" w:ascii="宋体" w:hAnsi="宋体" w:cs="宋体"/>
                      <w:b/>
                      <w:bCs/>
                      <w:sz w:val="21"/>
                      <w:szCs w:val="21"/>
                    </w:rPr>
                    <w:t>是否</w:t>
                  </w:r>
                  <w:r>
                    <w:rPr>
                      <w:rFonts w:hint="eastAsia" w:ascii="宋体" w:hAnsi="宋体" w:cs="宋体"/>
                      <w:b/>
                      <w:bCs/>
                      <w:sz w:val="21"/>
                      <w:szCs w:val="21"/>
                      <w:lang w:val="en-US" w:eastAsia="zh-CN"/>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88" w:type="pct"/>
                  <w:noWrap w:val="0"/>
                  <w:vAlign w:val="center"/>
                </w:tcPr>
                <w:p>
                  <w:pPr>
                    <w:autoSpaceDE w:val="0"/>
                    <w:autoSpaceDN w:val="0"/>
                    <w:snapToGrid w:val="0"/>
                    <w:jc w:val="center"/>
                    <w:rPr>
                      <w:rFonts w:ascii="宋体" w:hAnsi="宋体" w:cs="宋体"/>
                      <w:sz w:val="21"/>
                      <w:szCs w:val="21"/>
                    </w:rPr>
                  </w:pPr>
                  <w:r>
                    <w:rPr>
                      <w:rFonts w:hint="eastAsia" w:ascii="宋体" w:hAnsi="宋体" w:cs="宋体"/>
                      <w:sz w:val="21"/>
                      <w:szCs w:val="21"/>
                    </w:rPr>
                    <w:t>1</w:t>
                  </w:r>
                </w:p>
              </w:tc>
              <w:tc>
                <w:tcPr>
                  <w:tcW w:w="487" w:type="pct"/>
                  <w:vMerge w:val="restart"/>
                  <w:noWrap w:val="0"/>
                  <w:vAlign w:val="center"/>
                </w:tcPr>
                <w:p>
                  <w:pPr>
                    <w:autoSpaceDE w:val="0"/>
                    <w:autoSpaceDN w:val="0"/>
                    <w:snapToGrid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产业政策</w:t>
                  </w:r>
                </w:p>
              </w:tc>
              <w:tc>
                <w:tcPr>
                  <w:tcW w:w="3754" w:type="pct"/>
                  <w:noWrap w:val="0"/>
                  <w:vAlign w:val="center"/>
                </w:tcPr>
                <w:p>
                  <w:pPr>
                    <w:autoSpaceDE w:val="0"/>
                    <w:autoSpaceDN w:val="0"/>
                    <w:snapToGrid w:val="0"/>
                    <w:ind w:firstLine="420" w:firstLineChars="200"/>
                    <w:jc w:val="left"/>
                    <w:rPr>
                      <w:rFonts w:hint="eastAsia" w:ascii="宋体" w:hAnsi="宋体" w:eastAsia="宋体" w:cs="宋体"/>
                      <w:sz w:val="21"/>
                      <w:szCs w:val="21"/>
                      <w:lang w:val="en-US" w:eastAsia="zh-CN"/>
                    </w:rPr>
                  </w:pPr>
                  <w:r>
                    <w:rPr>
                      <w:rFonts w:ascii="宋体" w:hAnsi="宋体" w:eastAsia="宋体" w:cs="宋体"/>
                      <w:sz w:val="21"/>
                      <w:szCs w:val="21"/>
                    </w:rPr>
                    <w:t>本项目属于</w:t>
                  </w:r>
                  <w:r>
                    <w:rPr>
                      <w:sz w:val="21"/>
                      <w:szCs w:val="21"/>
                    </w:rPr>
                    <w:t>热力生产和供应</w:t>
                  </w:r>
                  <w:r>
                    <w:rPr>
                      <w:rFonts w:ascii="宋体" w:hAnsi="宋体" w:eastAsia="宋体" w:cs="宋体"/>
                      <w:sz w:val="21"/>
                      <w:szCs w:val="21"/>
                    </w:rPr>
                    <w:t>项目，不属于《产业结构调整指导目录（</w:t>
                  </w:r>
                  <w:r>
                    <w:rPr>
                      <w:rFonts w:hint="eastAsia" w:ascii="宋体" w:hAnsi="宋体" w:cs="宋体"/>
                      <w:sz w:val="21"/>
                      <w:szCs w:val="21"/>
                      <w:lang w:val="en-US" w:eastAsia="zh-CN"/>
                    </w:rPr>
                    <w:t>2021年修改</w:t>
                  </w:r>
                  <w:r>
                    <w:rPr>
                      <w:rFonts w:ascii="宋体" w:hAnsi="宋体" w:eastAsia="宋体" w:cs="宋体"/>
                      <w:sz w:val="21"/>
                      <w:szCs w:val="21"/>
                    </w:rPr>
                    <w:t>）》中的限制及淘汰类</w:t>
                  </w:r>
                </w:p>
              </w:tc>
              <w:tc>
                <w:tcPr>
                  <w:tcW w:w="469" w:type="pct"/>
                  <w:noWrap w:val="0"/>
                  <w:vAlign w:val="center"/>
                </w:tcPr>
                <w:p>
                  <w:pPr>
                    <w:autoSpaceDE w:val="0"/>
                    <w:autoSpaceDN w:val="0"/>
                    <w:snapToGrid w:val="0"/>
                    <w:jc w:val="center"/>
                    <w:rPr>
                      <w:rFonts w:ascii="宋体" w:hAnsi="宋体" w:cs="宋体"/>
                      <w:sz w:val="21"/>
                      <w:szCs w:val="21"/>
                    </w:rPr>
                  </w:pPr>
                  <w:r>
                    <w:rPr>
                      <w:rFonts w:hint="eastAsia" w:ascii="宋体" w:hAnsi="宋体" w:cs="宋体"/>
                      <w:sz w:val="21"/>
                      <w:szCs w:val="21"/>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88" w:type="pct"/>
                  <w:noWrap w:val="0"/>
                  <w:vAlign w:val="center"/>
                </w:tcPr>
                <w:p>
                  <w:pPr>
                    <w:autoSpaceDE w:val="0"/>
                    <w:autoSpaceDN w:val="0"/>
                    <w:snapToGrid w:val="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487" w:type="pct"/>
                  <w:vMerge w:val="continue"/>
                  <w:noWrap w:val="0"/>
                  <w:vAlign w:val="center"/>
                </w:tcPr>
                <w:p>
                  <w:pPr>
                    <w:autoSpaceDE w:val="0"/>
                    <w:autoSpaceDN w:val="0"/>
                    <w:snapToGrid w:val="0"/>
                    <w:jc w:val="center"/>
                    <w:rPr>
                      <w:rFonts w:hint="eastAsia" w:ascii="宋体" w:hAnsi="宋体" w:cs="宋体"/>
                      <w:sz w:val="21"/>
                      <w:szCs w:val="21"/>
                    </w:rPr>
                  </w:pPr>
                </w:p>
              </w:tc>
              <w:tc>
                <w:tcPr>
                  <w:tcW w:w="3754" w:type="pct"/>
                  <w:noWrap w:val="0"/>
                  <w:vAlign w:val="center"/>
                </w:tcPr>
                <w:p>
                  <w:pPr>
                    <w:autoSpaceDE w:val="0"/>
                    <w:autoSpaceDN w:val="0"/>
                    <w:snapToGrid w:val="0"/>
                    <w:ind w:firstLine="420" w:firstLineChars="200"/>
                    <w:jc w:val="left"/>
                    <w:rPr>
                      <w:rFonts w:hint="eastAsia" w:ascii="宋体" w:hAnsi="宋体" w:eastAsia="宋体" w:cs="宋体"/>
                      <w:sz w:val="21"/>
                      <w:szCs w:val="21"/>
                      <w:lang w:val="en-US" w:eastAsia="zh-CN"/>
                    </w:rPr>
                  </w:pPr>
                  <w:r>
                    <w:rPr>
                      <w:rFonts w:ascii="宋体" w:hAnsi="宋体" w:eastAsia="宋体" w:cs="宋体"/>
                      <w:sz w:val="21"/>
                      <w:szCs w:val="21"/>
                    </w:rPr>
                    <w:t>本项目属于</w:t>
                  </w:r>
                  <w:r>
                    <w:rPr>
                      <w:sz w:val="21"/>
                      <w:szCs w:val="21"/>
                    </w:rPr>
                    <w:t>热力生产和供应</w:t>
                  </w:r>
                  <w:r>
                    <w:rPr>
                      <w:rFonts w:ascii="宋体" w:hAnsi="宋体" w:eastAsia="宋体" w:cs="宋体"/>
                      <w:sz w:val="21"/>
                      <w:szCs w:val="21"/>
                    </w:rPr>
                    <w:t>项目，不属于《江苏省产业结构调整限制、淘汰和禁止目录（2018年本）》中的限制、淘汰及禁止类</w:t>
                  </w:r>
                </w:p>
              </w:tc>
              <w:tc>
                <w:tcPr>
                  <w:tcW w:w="469" w:type="pct"/>
                  <w:noWrap w:val="0"/>
                  <w:vAlign w:val="center"/>
                </w:tcPr>
                <w:p>
                  <w:pPr>
                    <w:autoSpaceDE w:val="0"/>
                    <w:autoSpaceDN w:val="0"/>
                    <w:snapToGrid w:val="0"/>
                    <w:jc w:val="center"/>
                    <w:rPr>
                      <w:rFonts w:hint="eastAsia" w:ascii="宋体" w:hAnsi="宋体" w:cs="宋体"/>
                      <w:sz w:val="21"/>
                      <w:szCs w:val="21"/>
                    </w:rPr>
                  </w:pPr>
                  <w:r>
                    <w:rPr>
                      <w:rFonts w:hint="eastAsia" w:ascii="宋体" w:hAnsi="宋体" w:cs="宋体"/>
                      <w:sz w:val="21"/>
                      <w:szCs w:val="21"/>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88" w:type="pct"/>
                  <w:noWrap w:val="0"/>
                  <w:vAlign w:val="center"/>
                </w:tcPr>
                <w:p>
                  <w:pPr>
                    <w:autoSpaceDE w:val="0"/>
                    <w:autoSpaceDN w:val="0"/>
                    <w:snapToGrid w:val="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487" w:type="pct"/>
                  <w:vMerge w:val="continue"/>
                  <w:noWrap w:val="0"/>
                  <w:vAlign w:val="center"/>
                </w:tcPr>
                <w:p>
                  <w:pPr>
                    <w:autoSpaceDE w:val="0"/>
                    <w:autoSpaceDN w:val="0"/>
                    <w:snapToGrid w:val="0"/>
                    <w:jc w:val="center"/>
                    <w:rPr>
                      <w:rFonts w:hint="eastAsia" w:ascii="宋体" w:hAnsi="宋体" w:cs="宋体"/>
                      <w:sz w:val="21"/>
                      <w:szCs w:val="21"/>
                    </w:rPr>
                  </w:pPr>
                </w:p>
              </w:tc>
              <w:tc>
                <w:tcPr>
                  <w:tcW w:w="3754" w:type="pct"/>
                  <w:noWrap w:val="0"/>
                  <w:vAlign w:val="center"/>
                </w:tcPr>
                <w:p>
                  <w:pPr>
                    <w:autoSpaceDE w:val="0"/>
                    <w:autoSpaceDN w:val="0"/>
                    <w:snapToGrid w:val="0"/>
                    <w:ind w:firstLine="420" w:firstLineChars="200"/>
                    <w:jc w:val="left"/>
                    <w:rPr>
                      <w:rFonts w:hint="eastAsia" w:ascii="宋体" w:hAnsi="宋体" w:eastAsia="宋体" w:cs="宋体"/>
                      <w:sz w:val="21"/>
                      <w:szCs w:val="21"/>
                      <w:lang w:val="en-US" w:eastAsia="zh-CN"/>
                    </w:rPr>
                  </w:pPr>
                  <w:r>
                    <w:rPr>
                      <w:rFonts w:ascii="宋体" w:hAnsi="宋体" w:eastAsia="宋体" w:cs="宋体"/>
                      <w:sz w:val="21"/>
                      <w:szCs w:val="21"/>
                    </w:rPr>
                    <w:t>本项目属于</w:t>
                  </w:r>
                  <w:r>
                    <w:rPr>
                      <w:sz w:val="21"/>
                      <w:szCs w:val="21"/>
                    </w:rPr>
                    <w:t>热力生产和供应</w:t>
                  </w:r>
                  <w:r>
                    <w:rPr>
                      <w:rFonts w:ascii="宋体" w:hAnsi="宋体" w:eastAsia="宋体" w:cs="宋体"/>
                      <w:sz w:val="21"/>
                      <w:szCs w:val="21"/>
                    </w:rPr>
                    <w:t>项目，不属于《江苏省工业和信息产业结构调整限制淘汰目录和能耗限额》（2015年本）中限制类目录中的项目，不涉及淘汰类目录中的落后工艺装备和产品</w:t>
                  </w:r>
                </w:p>
              </w:tc>
              <w:tc>
                <w:tcPr>
                  <w:tcW w:w="469" w:type="pct"/>
                  <w:noWrap w:val="0"/>
                  <w:vAlign w:val="center"/>
                </w:tcPr>
                <w:p>
                  <w:pPr>
                    <w:autoSpaceDE w:val="0"/>
                    <w:autoSpaceDN w:val="0"/>
                    <w:snapToGrid w:val="0"/>
                    <w:jc w:val="center"/>
                    <w:rPr>
                      <w:rFonts w:hint="eastAsia" w:ascii="宋体" w:hAnsi="宋体" w:cs="宋体"/>
                      <w:sz w:val="21"/>
                      <w:szCs w:val="21"/>
                    </w:rPr>
                  </w:pPr>
                  <w:r>
                    <w:rPr>
                      <w:rFonts w:hint="eastAsia" w:ascii="宋体" w:hAnsi="宋体" w:cs="宋体"/>
                      <w:sz w:val="21"/>
                      <w:szCs w:val="21"/>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88" w:type="pct"/>
                  <w:noWrap w:val="0"/>
                  <w:vAlign w:val="center"/>
                </w:tcPr>
                <w:p>
                  <w:pPr>
                    <w:autoSpaceDE w:val="0"/>
                    <w:autoSpaceDN w:val="0"/>
                    <w:snapToGrid w:val="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4</w:t>
                  </w:r>
                </w:p>
              </w:tc>
              <w:tc>
                <w:tcPr>
                  <w:tcW w:w="487" w:type="pct"/>
                  <w:vMerge w:val="continue"/>
                  <w:noWrap w:val="0"/>
                  <w:vAlign w:val="center"/>
                </w:tcPr>
                <w:p>
                  <w:pPr>
                    <w:autoSpaceDE w:val="0"/>
                    <w:autoSpaceDN w:val="0"/>
                    <w:snapToGrid w:val="0"/>
                    <w:jc w:val="center"/>
                    <w:rPr>
                      <w:rFonts w:hint="eastAsia" w:ascii="宋体" w:hAnsi="宋体" w:cs="宋体"/>
                      <w:sz w:val="21"/>
                      <w:szCs w:val="21"/>
                    </w:rPr>
                  </w:pPr>
                </w:p>
              </w:tc>
              <w:tc>
                <w:tcPr>
                  <w:tcW w:w="3754" w:type="pct"/>
                  <w:noWrap w:val="0"/>
                  <w:vAlign w:val="center"/>
                </w:tcPr>
                <w:p>
                  <w:pPr>
                    <w:autoSpaceDE w:val="0"/>
                    <w:autoSpaceDN w:val="0"/>
                    <w:snapToGrid w:val="0"/>
                    <w:ind w:firstLine="420" w:firstLineChars="200"/>
                    <w:jc w:val="left"/>
                    <w:rPr>
                      <w:rFonts w:hint="eastAsia" w:ascii="宋体" w:hAnsi="宋体" w:eastAsia="宋体" w:cs="宋体"/>
                      <w:sz w:val="21"/>
                      <w:szCs w:val="21"/>
                      <w:lang w:val="en-US" w:eastAsia="zh-CN"/>
                    </w:rPr>
                  </w:pPr>
                  <w:r>
                    <w:rPr>
                      <w:rFonts w:ascii="宋体" w:hAnsi="宋体" w:eastAsia="宋体" w:cs="宋体"/>
                      <w:sz w:val="21"/>
                      <w:szCs w:val="21"/>
                    </w:rPr>
                    <w:t>本项目属于</w:t>
                  </w:r>
                  <w:r>
                    <w:rPr>
                      <w:sz w:val="21"/>
                      <w:szCs w:val="21"/>
                    </w:rPr>
                    <w:t>热力生产和供应</w:t>
                  </w:r>
                  <w:r>
                    <w:rPr>
                      <w:rFonts w:ascii="宋体" w:hAnsi="宋体" w:eastAsia="宋体" w:cs="宋体"/>
                      <w:sz w:val="21"/>
                      <w:szCs w:val="21"/>
                    </w:rPr>
                    <w:t>项目，不属于《长江经济带发展负面清单指南》中的禁止类项目；不属于《市场准入负面清单（2020年版）》中的禁止类项目</w:t>
                  </w:r>
                </w:p>
              </w:tc>
              <w:tc>
                <w:tcPr>
                  <w:tcW w:w="469" w:type="pct"/>
                  <w:noWrap w:val="0"/>
                  <w:vAlign w:val="center"/>
                </w:tcPr>
                <w:p>
                  <w:pPr>
                    <w:autoSpaceDE w:val="0"/>
                    <w:autoSpaceDN w:val="0"/>
                    <w:snapToGrid w:val="0"/>
                    <w:jc w:val="center"/>
                    <w:rPr>
                      <w:rFonts w:hint="eastAsia" w:ascii="宋体" w:hAnsi="宋体" w:cs="宋体"/>
                      <w:sz w:val="21"/>
                      <w:szCs w:val="21"/>
                    </w:rPr>
                  </w:pPr>
                  <w:r>
                    <w:rPr>
                      <w:rFonts w:hint="eastAsia" w:ascii="宋体" w:hAnsi="宋体" w:cs="宋体"/>
                      <w:sz w:val="21"/>
                      <w:szCs w:val="21"/>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88" w:type="pct"/>
                  <w:noWrap w:val="0"/>
                  <w:vAlign w:val="center"/>
                </w:tcPr>
                <w:p>
                  <w:pPr>
                    <w:autoSpaceDE w:val="0"/>
                    <w:autoSpaceDN w:val="0"/>
                    <w:snapToGrid w:val="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5</w:t>
                  </w:r>
                </w:p>
              </w:tc>
              <w:tc>
                <w:tcPr>
                  <w:tcW w:w="487" w:type="pct"/>
                  <w:vMerge w:val="continue"/>
                  <w:noWrap w:val="0"/>
                  <w:vAlign w:val="center"/>
                </w:tcPr>
                <w:p>
                  <w:pPr>
                    <w:autoSpaceDE w:val="0"/>
                    <w:autoSpaceDN w:val="0"/>
                    <w:snapToGrid w:val="0"/>
                    <w:jc w:val="center"/>
                    <w:rPr>
                      <w:rFonts w:hint="eastAsia" w:ascii="宋体" w:hAnsi="宋体" w:cs="宋体"/>
                      <w:sz w:val="21"/>
                      <w:szCs w:val="21"/>
                    </w:rPr>
                  </w:pPr>
                </w:p>
              </w:tc>
              <w:tc>
                <w:tcPr>
                  <w:tcW w:w="3754" w:type="pct"/>
                  <w:noWrap w:val="0"/>
                  <w:vAlign w:val="center"/>
                </w:tcPr>
                <w:p>
                  <w:pPr>
                    <w:autoSpaceDE w:val="0"/>
                    <w:autoSpaceDN w:val="0"/>
                    <w:snapToGrid w:val="0"/>
                    <w:ind w:firstLine="420" w:firstLineChars="200"/>
                    <w:jc w:val="left"/>
                    <w:rPr>
                      <w:rFonts w:hint="eastAsia" w:ascii="宋体" w:hAnsi="宋体" w:eastAsia="宋体" w:cs="宋体"/>
                      <w:sz w:val="21"/>
                      <w:szCs w:val="21"/>
                      <w:lang w:val="en-US" w:eastAsia="zh-CN"/>
                    </w:rPr>
                  </w:pPr>
                  <w:r>
                    <w:rPr>
                      <w:rFonts w:ascii="宋体" w:hAnsi="宋体" w:eastAsia="宋体" w:cs="宋体"/>
                      <w:sz w:val="21"/>
                      <w:szCs w:val="21"/>
                    </w:rPr>
                    <w:t>本项目已在常州市武进区行政审批局进行了备案（备案号：</w:t>
                  </w:r>
                  <w:r>
                    <w:rPr>
                      <w:sz w:val="21"/>
                      <w:szCs w:val="21"/>
                    </w:rPr>
                    <w:t>武行审技备〔2022〕4号</w:t>
                  </w:r>
                  <w:r>
                    <w:rPr>
                      <w:rFonts w:ascii="宋体" w:hAnsi="宋体" w:eastAsia="宋体" w:cs="宋体"/>
                      <w:sz w:val="21"/>
                      <w:szCs w:val="21"/>
                    </w:rPr>
                    <w:t>，见附件），符合区域产业政策</w:t>
                  </w:r>
                </w:p>
              </w:tc>
              <w:tc>
                <w:tcPr>
                  <w:tcW w:w="469" w:type="pct"/>
                  <w:noWrap w:val="0"/>
                  <w:vAlign w:val="center"/>
                </w:tcPr>
                <w:p>
                  <w:pPr>
                    <w:autoSpaceDE w:val="0"/>
                    <w:autoSpaceDN w:val="0"/>
                    <w:snapToGrid w:val="0"/>
                    <w:jc w:val="center"/>
                    <w:rPr>
                      <w:rFonts w:hint="eastAsia" w:ascii="宋体" w:hAnsi="宋体" w:cs="宋体"/>
                      <w:sz w:val="21"/>
                      <w:szCs w:val="21"/>
                    </w:rPr>
                  </w:pPr>
                  <w:r>
                    <w:rPr>
                      <w:rFonts w:hint="eastAsia" w:ascii="宋体" w:hAnsi="宋体" w:cs="宋体"/>
                      <w:sz w:val="21"/>
                      <w:szCs w:val="21"/>
                    </w:rPr>
                    <w:t>是</w:t>
                  </w:r>
                </w:p>
              </w:tc>
            </w:tr>
          </w:tbl>
          <w:p>
            <w:pPr>
              <w:autoSpaceDE w:val="0"/>
              <w:autoSpaceDN w:val="0"/>
              <w:adjustRightInd w:val="0"/>
              <w:snapToGrid w:val="0"/>
              <w:spacing w:line="360" w:lineRule="auto"/>
              <w:ind w:firstLine="480" w:firstLineChars="200"/>
              <w:jc w:val="left"/>
              <w:rPr>
                <w:rFonts w:hint="eastAsia"/>
                <w:b/>
                <w:sz w:val="24"/>
                <w:lang w:val="en-US" w:eastAsia="zh-CN"/>
              </w:rPr>
            </w:pPr>
            <w:r>
              <w:rPr>
                <w:rFonts w:ascii="宋体" w:hAnsi="宋体" w:eastAsia="宋体" w:cs="宋体"/>
                <w:sz w:val="24"/>
                <w:szCs w:val="24"/>
              </w:rPr>
              <w:t>由上表可知，本项目符合国家及地方产业政策。</w:t>
            </w:r>
          </w:p>
          <w:p>
            <w:pPr>
              <w:autoSpaceDE w:val="0"/>
              <w:autoSpaceDN w:val="0"/>
              <w:adjustRightInd w:val="0"/>
              <w:snapToGrid w:val="0"/>
              <w:spacing w:line="360" w:lineRule="auto"/>
              <w:jc w:val="left"/>
              <w:rPr>
                <w:b/>
                <w:sz w:val="24"/>
              </w:rPr>
            </w:pPr>
            <w:r>
              <w:rPr>
                <w:rFonts w:hint="eastAsia"/>
                <w:b/>
                <w:sz w:val="24"/>
                <w:lang w:val="en-US" w:eastAsia="zh-CN"/>
              </w:rPr>
              <w:t>2</w:t>
            </w:r>
            <w:r>
              <w:rPr>
                <w:b/>
                <w:sz w:val="24"/>
              </w:rPr>
              <w:t>、“三线一单”控制要求相符性分析</w:t>
            </w:r>
          </w:p>
          <w:p>
            <w:pPr>
              <w:autoSpaceDE w:val="0"/>
              <w:autoSpaceDN w:val="0"/>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（1）根据《关于以改善环境质量为核心加强环境影响评价管理的通知》（环环评</w:t>
            </w:r>
            <w:r>
              <w:rPr>
                <w:rFonts w:ascii="宋体" w:hAnsi="宋体" w:cs="宋体"/>
                <w:b/>
                <w:bCs/>
                <w:sz w:val="24"/>
              </w:rPr>
              <w:t>[2016]150</w:t>
            </w:r>
            <w:r>
              <w:rPr>
                <w:rFonts w:hint="eastAsia" w:ascii="宋体" w:hAnsi="宋体" w:cs="宋体"/>
                <w:b/>
                <w:bCs/>
                <w:sz w:val="24"/>
              </w:rPr>
              <w:t>号），对本项目建设进行</w:t>
            </w:r>
            <w:r>
              <w:rPr>
                <w:rFonts w:ascii="宋体" w:hAnsi="宋体" w:cs="宋体"/>
                <w:b/>
                <w:bCs/>
                <w:sz w:val="24"/>
              </w:rPr>
              <w:t>“</w:t>
            </w:r>
            <w:r>
              <w:rPr>
                <w:rFonts w:hint="eastAsia" w:ascii="宋体" w:hAnsi="宋体" w:cs="宋体"/>
                <w:b/>
                <w:bCs/>
                <w:sz w:val="24"/>
              </w:rPr>
              <w:t>三线一单</w:t>
            </w:r>
            <w:r>
              <w:rPr>
                <w:rFonts w:ascii="宋体" w:hAnsi="宋体" w:cs="宋体"/>
                <w:b/>
                <w:bCs/>
                <w:sz w:val="24"/>
              </w:rPr>
              <w:t>”</w:t>
            </w:r>
            <w:r>
              <w:rPr>
                <w:rFonts w:hint="eastAsia" w:ascii="宋体" w:hAnsi="宋体" w:cs="宋体"/>
                <w:b/>
                <w:bCs/>
                <w:sz w:val="24"/>
              </w:rPr>
              <w:t>相符性分析：</w:t>
            </w:r>
          </w:p>
          <w:p>
            <w:pPr>
              <w:widowControl/>
              <w:jc w:val="center"/>
            </w:pPr>
            <w:r>
              <w:rPr>
                <w:rFonts w:hint="eastAsia" w:ascii="宋体" w:hAnsi="宋体" w:cs="宋体"/>
                <w:b/>
                <w:bCs/>
                <w:color w:val="000000"/>
                <w:kern w:val="0"/>
                <w:sz w:val="24"/>
                <w:lang w:bidi="ar"/>
              </w:rPr>
              <w:t>表</w:t>
            </w:r>
            <w:r>
              <w:rPr>
                <w:b/>
                <w:bCs/>
                <w:color w:val="000000"/>
                <w:kern w:val="0"/>
                <w:sz w:val="24"/>
                <w:lang w:bidi="ar"/>
              </w:rPr>
              <w:t>1-</w:t>
            </w:r>
            <w:r>
              <w:rPr>
                <w:rFonts w:hint="eastAsia"/>
                <w:b/>
                <w:bCs/>
                <w:color w:val="000000"/>
                <w:kern w:val="0"/>
                <w:sz w:val="24"/>
                <w:lang w:val="en-US" w:eastAsia="zh-CN" w:bidi="ar"/>
              </w:rPr>
              <w:t>2</w:t>
            </w:r>
            <w:r>
              <w:rPr>
                <w:rFonts w:hint="eastAsia"/>
                <w:b/>
                <w:bCs/>
                <w:color w:val="000000"/>
                <w:kern w:val="0"/>
                <w:sz w:val="24"/>
                <w:lang w:bidi="ar"/>
              </w:rPr>
              <w:t xml:space="preserve">  </w:t>
            </w:r>
            <w:r>
              <w:rPr>
                <w:b/>
                <w:bCs/>
                <w:color w:val="000000"/>
                <w:kern w:val="0"/>
                <w:sz w:val="24"/>
                <w:lang w:bidi="ar"/>
              </w:rPr>
              <w:t>“</w:t>
            </w:r>
            <w:r>
              <w:rPr>
                <w:rFonts w:hint="eastAsia" w:ascii="宋体" w:hAnsi="宋体" w:cs="宋体"/>
                <w:b/>
                <w:bCs/>
                <w:color w:val="000000"/>
                <w:kern w:val="0"/>
                <w:sz w:val="24"/>
                <w:lang w:bidi="ar"/>
              </w:rPr>
              <w:t>三线一单</w:t>
            </w:r>
            <w:r>
              <w:rPr>
                <w:b/>
                <w:bCs/>
                <w:color w:val="000000"/>
                <w:kern w:val="0"/>
                <w:sz w:val="24"/>
                <w:lang w:bidi="ar"/>
              </w:rPr>
              <w:t>”</w:t>
            </w:r>
            <w:r>
              <w:rPr>
                <w:rFonts w:hint="eastAsia" w:ascii="宋体" w:hAnsi="宋体" w:cs="宋体"/>
                <w:b/>
                <w:bCs/>
                <w:color w:val="000000"/>
                <w:kern w:val="0"/>
                <w:sz w:val="24"/>
                <w:lang w:bidi="ar"/>
              </w:rPr>
              <w:t>符合性分析情况一览表</w:t>
            </w:r>
          </w:p>
          <w:tbl>
            <w:tblPr>
              <w:tblStyle w:val="21"/>
              <w:tblW w:w="8044"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785"/>
              <w:gridCol w:w="6040"/>
              <w:gridCol w:w="7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4" w:type="dxa"/>
                  <w:noWrap w:val="0"/>
                  <w:vAlign w:val="center"/>
                </w:tcPr>
                <w:p>
                  <w:pPr>
                    <w:autoSpaceDE w:val="0"/>
                    <w:autoSpaceDN w:val="0"/>
                    <w:snapToGrid w:val="0"/>
                    <w:jc w:val="center"/>
                    <w:rPr>
                      <w:rFonts w:hint="eastAsia" w:ascii="宋体" w:hAnsi="宋体" w:cs="宋体"/>
                      <w:b/>
                      <w:bCs/>
                      <w:szCs w:val="21"/>
                    </w:rPr>
                  </w:pPr>
                  <w:r>
                    <w:rPr>
                      <w:rFonts w:hint="eastAsia" w:ascii="宋体" w:hAnsi="宋体" w:cs="宋体"/>
                      <w:b/>
                      <w:bCs/>
                      <w:szCs w:val="21"/>
                    </w:rPr>
                    <w:t>序号</w:t>
                  </w:r>
                </w:p>
              </w:tc>
              <w:tc>
                <w:tcPr>
                  <w:tcW w:w="785" w:type="dxa"/>
                  <w:noWrap w:val="0"/>
                  <w:vAlign w:val="center"/>
                </w:tcPr>
                <w:p>
                  <w:pPr>
                    <w:autoSpaceDE w:val="0"/>
                    <w:autoSpaceDN w:val="0"/>
                    <w:snapToGrid w:val="0"/>
                    <w:jc w:val="center"/>
                    <w:rPr>
                      <w:rFonts w:hint="eastAsia" w:ascii="宋体" w:hAnsi="宋体" w:cs="宋体"/>
                      <w:b/>
                      <w:bCs/>
                      <w:szCs w:val="21"/>
                    </w:rPr>
                  </w:pPr>
                  <w:r>
                    <w:rPr>
                      <w:rFonts w:hint="eastAsia" w:ascii="宋体" w:hAnsi="宋体" w:cs="宋体"/>
                      <w:b/>
                      <w:bCs/>
                      <w:szCs w:val="21"/>
                    </w:rPr>
                    <w:t>判断类型</w:t>
                  </w:r>
                </w:p>
              </w:tc>
              <w:tc>
                <w:tcPr>
                  <w:tcW w:w="6040" w:type="dxa"/>
                  <w:noWrap w:val="0"/>
                  <w:vAlign w:val="center"/>
                </w:tcPr>
                <w:p>
                  <w:pPr>
                    <w:autoSpaceDE w:val="0"/>
                    <w:autoSpaceDN w:val="0"/>
                    <w:snapToGrid w:val="0"/>
                    <w:jc w:val="center"/>
                    <w:rPr>
                      <w:rFonts w:hint="eastAsia" w:ascii="宋体" w:hAnsi="宋体" w:cs="宋体"/>
                      <w:b/>
                      <w:bCs/>
                      <w:szCs w:val="21"/>
                    </w:rPr>
                  </w:pPr>
                  <w:r>
                    <w:rPr>
                      <w:rFonts w:hint="eastAsia" w:ascii="宋体" w:hAnsi="宋体" w:cs="宋体"/>
                      <w:b/>
                      <w:bCs/>
                      <w:szCs w:val="21"/>
                    </w:rPr>
                    <w:t>对照分析</w:t>
                  </w:r>
                </w:p>
              </w:tc>
              <w:tc>
                <w:tcPr>
                  <w:tcW w:w="755" w:type="dxa"/>
                  <w:noWrap w:val="0"/>
                  <w:vAlign w:val="center"/>
                </w:tcPr>
                <w:p>
                  <w:pPr>
                    <w:autoSpaceDE w:val="0"/>
                    <w:autoSpaceDN w:val="0"/>
                    <w:snapToGrid w:val="0"/>
                    <w:jc w:val="center"/>
                    <w:rPr>
                      <w:rFonts w:hint="eastAsia" w:ascii="宋体" w:hAnsi="宋体" w:eastAsia="宋体" w:cs="宋体"/>
                      <w:b/>
                      <w:bCs/>
                      <w:szCs w:val="21"/>
                      <w:lang w:eastAsia="zh-CN"/>
                    </w:rPr>
                  </w:pPr>
                  <w:r>
                    <w:rPr>
                      <w:rFonts w:hint="eastAsia" w:ascii="宋体" w:hAnsi="宋体" w:cs="宋体"/>
                      <w:b/>
                      <w:bCs/>
                      <w:szCs w:val="21"/>
                    </w:rPr>
                    <w:t>是否</w:t>
                  </w:r>
                  <w:r>
                    <w:rPr>
                      <w:rFonts w:hint="eastAsia" w:ascii="宋体" w:hAnsi="宋体" w:cs="宋体"/>
                      <w:b/>
                      <w:bCs/>
                      <w:szCs w:val="21"/>
                      <w:lang w:val="en-US" w:eastAsia="zh-CN"/>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464" w:type="dxa"/>
                  <w:noWrap w:val="0"/>
                  <w:vAlign w:val="center"/>
                </w:tcPr>
                <w:p>
                  <w:pPr>
                    <w:autoSpaceDE w:val="0"/>
                    <w:autoSpaceDN w:val="0"/>
                    <w:snapToGrid w:val="0"/>
                    <w:jc w:val="center"/>
                    <w:rPr>
                      <w:rFonts w:ascii="宋体" w:hAnsi="宋体" w:cs="宋体"/>
                      <w:szCs w:val="21"/>
                    </w:rPr>
                  </w:pPr>
                  <w:r>
                    <w:rPr>
                      <w:rFonts w:hint="eastAsia" w:ascii="宋体" w:hAnsi="宋体" w:cs="宋体"/>
                      <w:szCs w:val="21"/>
                    </w:rPr>
                    <w:t>1</w:t>
                  </w:r>
                </w:p>
              </w:tc>
              <w:tc>
                <w:tcPr>
                  <w:tcW w:w="785" w:type="dxa"/>
                  <w:noWrap w:val="0"/>
                  <w:vAlign w:val="center"/>
                </w:tcPr>
                <w:p>
                  <w:pPr>
                    <w:autoSpaceDE w:val="0"/>
                    <w:autoSpaceDN w:val="0"/>
                    <w:snapToGrid w:val="0"/>
                    <w:jc w:val="center"/>
                    <w:rPr>
                      <w:rFonts w:hint="eastAsia" w:ascii="宋体" w:hAnsi="宋体" w:cs="宋体"/>
                      <w:sz w:val="21"/>
                      <w:szCs w:val="21"/>
                    </w:rPr>
                  </w:pPr>
                  <w:r>
                    <w:rPr>
                      <w:rFonts w:hint="eastAsia" w:ascii="宋体" w:hAnsi="宋体" w:cs="宋体"/>
                      <w:sz w:val="21"/>
                      <w:szCs w:val="21"/>
                    </w:rPr>
                    <w:t>生态红线</w:t>
                  </w:r>
                </w:p>
              </w:tc>
              <w:tc>
                <w:tcPr>
                  <w:tcW w:w="6040" w:type="dxa"/>
                  <w:noWrap w:val="0"/>
                  <w:vAlign w:val="center"/>
                </w:tcPr>
                <w:p>
                  <w:pPr>
                    <w:pStyle w:val="6"/>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根据《省政府关于印发江苏省生态空间管控区域规划的通知》（苏政发[2020]1号）、《省政府关于印发江苏省国家级生态保护红线规划的通知》（苏政发[2018]74号）</w:t>
                  </w:r>
                  <w:r>
                    <w:rPr>
                      <w:rFonts w:hint="eastAsia" w:ascii="宋体" w:hAnsi="宋体" w:cs="宋体"/>
                      <w:sz w:val="21"/>
                      <w:szCs w:val="21"/>
                      <w:lang w:val="en-US" w:eastAsia="zh-CN"/>
                    </w:rPr>
                    <w:t>文件</w:t>
                  </w:r>
                  <w:r>
                    <w:rPr>
                      <w:rFonts w:hint="eastAsia" w:ascii="宋体" w:hAnsi="宋体" w:eastAsia="宋体" w:cs="宋体"/>
                      <w:sz w:val="21"/>
                      <w:szCs w:val="21"/>
                    </w:rPr>
                    <w:t>，距离本项目最近的国家级生态保护红线区域为滆湖饮用水源保护区，位于项目西侧9.4km处；距离本项目最近的江苏省生态空间管控区域为太湖（武进区）重要保护区，位于项目东南侧7.4km处。因此本项目不在文件中所列的国家级生态保护红线范围及生态空间管控区域范围内，</w:t>
                  </w:r>
                  <w:r>
                    <w:rPr>
                      <w:rFonts w:hint="eastAsia" w:ascii="宋体" w:hAnsi="宋体" w:eastAsia="宋体" w:cs="宋体"/>
                      <w:sz w:val="21"/>
                      <w:szCs w:val="21"/>
                      <w:lang w:val="en-US" w:eastAsia="zh-CN"/>
                    </w:rPr>
                    <w:t>符合</w:t>
                  </w:r>
                  <w:r>
                    <w:rPr>
                      <w:rFonts w:hint="eastAsia" w:ascii="宋体" w:hAnsi="宋体" w:eastAsia="宋体" w:cs="宋体"/>
                      <w:sz w:val="21"/>
                      <w:szCs w:val="21"/>
                    </w:rPr>
                    <w:t>《省政府关于印发江苏省生态空间管控区域规划的通知》（苏政发[2020]1号）、《省政府关于印发江苏省国家级生态保护红线规划的通知》（苏政发[2018]74号）</w:t>
                  </w:r>
                  <w:r>
                    <w:rPr>
                      <w:rFonts w:hint="eastAsia" w:ascii="宋体" w:hAnsi="宋体" w:eastAsia="宋体" w:cs="宋体"/>
                      <w:sz w:val="21"/>
                      <w:szCs w:val="21"/>
                      <w:lang w:val="en-US" w:eastAsia="zh-CN"/>
                    </w:rPr>
                    <w:t>文件要求。</w:t>
                  </w:r>
                </w:p>
              </w:tc>
              <w:tc>
                <w:tcPr>
                  <w:tcW w:w="755" w:type="dxa"/>
                  <w:noWrap w:val="0"/>
                  <w:vAlign w:val="center"/>
                </w:tcPr>
                <w:p>
                  <w:pPr>
                    <w:autoSpaceDE w:val="0"/>
                    <w:autoSpaceDN w:val="0"/>
                    <w:snapToGrid w:val="0"/>
                    <w:jc w:val="center"/>
                    <w:rPr>
                      <w:rFonts w:ascii="宋体" w:hAnsi="宋体" w:cs="宋体"/>
                      <w:sz w:val="21"/>
                      <w:szCs w:val="21"/>
                    </w:rPr>
                  </w:pPr>
                  <w:r>
                    <w:rPr>
                      <w:rFonts w:hint="eastAsia" w:ascii="宋体" w:hAnsi="宋体" w:cs="宋体"/>
                      <w:sz w:val="21"/>
                      <w:szCs w:val="21"/>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4" w:type="dxa"/>
                  <w:noWrap w:val="0"/>
                  <w:vAlign w:val="center"/>
                </w:tcPr>
                <w:p>
                  <w:pPr>
                    <w:autoSpaceDE w:val="0"/>
                    <w:autoSpaceDN w:val="0"/>
                    <w:snapToGrid w:val="0"/>
                    <w:jc w:val="center"/>
                    <w:rPr>
                      <w:rFonts w:hint="eastAsia" w:ascii="宋体" w:hAnsi="宋体" w:cs="宋体"/>
                      <w:szCs w:val="21"/>
                    </w:rPr>
                  </w:pPr>
                  <w:r>
                    <w:rPr>
                      <w:rFonts w:hint="eastAsia" w:ascii="宋体" w:hAnsi="宋体" w:cs="宋体"/>
                      <w:szCs w:val="21"/>
                    </w:rPr>
                    <w:t>2</w:t>
                  </w:r>
                </w:p>
              </w:tc>
              <w:tc>
                <w:tcPr>
                  <w:tcW w:w="785" w:type="dxa"/>
                  <w:noWrap w:val="0"/>
                  <w:vAlign w:val="center"/>
                </w:tcPr>
                <w:p>
                  <w:pPr>
                    <w:autoSpaceDE w:val="0"/>
                    <w:autoSpaceDN w:val="0"/>
                    <w:snapToGrid w:val="0"/>
                    <w:jc w:val="center"/>
                    <w:rPr>
                      <w:rFonts w:hint="eastAsia" w:ascii="宋体" w:hAnsi="宋体" w:cs="宋体"/>
                      <w:szCs w:val="21"/>
                    </w:rPr>
                  </w:pPr>
                  <w:r>
                    <w:rPr>
                      <w:rFonts w:hint="eastAsia" w:ascii="宋体" w:hAnsi="宋体" w:cs="宋体"/>
                      <w:szCs w:val="21"/>
                    </w:rPr>
                    <w:t>环境质量底线</w:t>
                  </w:r>
                </w:p>
              </w:tc>
              <w:tc>
                <w:tcPr>
                  <w:tcW w:w="6040" w:type="dxa"/>
                  <w:noWrap w:val="0"/>
                  <w:vAlign w:val="center"/>
                </w:tcPr>
                <w:p>
                  <w:pPr>
                    <w:autoSpaceDE w:val="0"/>
                    <w:autoSpaceDN w:val="0"/>
                    <w:snapToGrid w:val="0"/>
                    <w:ind w:firstLine="420" w:firstLineChars="200"/>
                    <w:jc w:val="left"/>
                    <w:rPr>
                      <w:rFonts w:hint="default" w:ascii="宋体" w:hAnsi="宋体" w:eastAsia="宋体" w:cs="宋体"/>
                      <w:szCs w:val="21"/>
                      <w:lang w:val="en-US" w:eastAsia="zh-CN"/>
                    </w:rPr>
                  </w:pPr>
                  <w:r>
                    <w:rPr>
                      <w:rFonts w:hint="eastAsia" w:ascii="宋体" w:hAnsi="宋体" w:cs="宋体"/>
                      <w:szCs w:val="21"/>
                    </w:rPr>
                    <w:t>根据《2020年度常州市生态环境状况公报》，2020年常州市环境空气中SO</w:t>
                  </w:r>
                  <w:r>
                    <w:rPr>
                      <w:rFonts w:hint="eastAsia" w:ascii="宋体" w:hAnsi="宋体" w:cs="宋体"/>
                      <w:szCs w:val="21"/>
                      <w:vertAlign w:val="subscript"/>
                    </w:rPr>
                    <w:t>2</w:t>
                  </w:r>
                  <w:r>
                    <w:rPr>
                      <w:rFonts w:hint="eastAsia" w:ascii="宋体" w:hAnsi="宋体" w:cs="宋体"/>
                      <w:szCs w:val="21"/>
                    </w:rPr>
                    <w:t>年均值与日均值、NO</w:t>
                  </w:r>
                  <w:r>
                    <w:rPr>
                      <w:rFonts w:hint="eastAsia" w:ascii="宋体" w:hAnsi="宋体" w:cs="宋体"/>
                      <w:szCs w:val="21"/>
                      <w:vertAlign w:val="subscript"/>
                    </w:rPr>
                    <w:t>2</w:t>
                  </w:r>
                  <w:r>
                    <w:rPr>
                      <w:rFonts w:hint="eastAsia" w:ascii="宋体" w:hAnsi="宋体" w:cs="宋体"/>
                      <w:szCs w:val="21"/>
                    </w:rPr>
                    <w:t>年均值、PM</w:t>
                  </w:r>
                  <w:r>
                    <w:rPr>
                      <w:rFonts w:hint="eastAsia" w:ascii="宋体" w:hAnsi="宋体" w:cs="宋体"/>
                      <w:szCs w:val="21"/>
                      <w:vertAlign w:val="subscript"/>
                    </w:rPr>
                    <w:t>10</w:t>
                  </w:r>
                  <w:r>
                    <w:rPr>
                      <w:rFonts w:hint="eastAsia" w:ascii="宋体" w:hAnsi="宋体" w:cs="宋体"/>
                      <w:szCs w:val="21"/>
                    </w:rPr>
                    <w:t>年均值和CO日均值均达到环境空气质量二级标准；NO</w:t>
                  </w:r>
                  <w:r>
                    <w:rPr>
                      <w:rFonts w:hint="eastAsia" w:ascii="宋体" w:hAnsi="宋体" w:cs="宋体"/>
                      <w:szCs w:val="21"/>
                      <w:vertAlign w:val="subscript"/>
                    </w:rPr>
                    <w:t>2</w:t>
                  </w:r>
                  <w:r>
                    <w:rPr>
                      <w:rFonts w:hint="eastAsia" w:ascii="宋体" w:hAnsi="宋体" w:cs="宋体"/>
                      <w:szCs w:val="21"/>
                    </w:rPr>
                    <w:t>日均值、PM</w:t>
                  </w:r>
                  <w:r>
                    <w:rPr>
                      <w:rFonts w:hint="eastAsia" w:ascii="宋体" w:hAnsi="宋体" w:cs="宋体"/>
                      <w:szCs w:val="21"/>
                      <w:vertAlign w:val="subscript"/>
                    </w:rPr>
                    <w:t>10</w:t>
                  </w:r>
                  <w:r>
                    <w:rPr>
                      <w:rFonts w:hint="eastAsia" w:ascii="宋体" w:hAnsi="宋体" w:cs="宋体"/>
                      <w:szCs w:val="21"/>
                    </w:rPr>
                    <w:t>日均值、PM</w:t>
                  </w:r>
                  <w:r>
                    <w:rPr>
                      <w:rFonts w:hint="eastAsia" w:ascii="宋体" w:hAnsi="宋体" w:cs="宋体"/>
                      <w:szCs w:val="21"/>
                      <w:vertAlign w:val="subscript"/>
                    </w:rPr>
                    <w:t>2.5</w:t>
                  </w:r>
                  <w:r>
                    <w:rPr>
                      <w:rFonts w:hint="eastAsia" w:ascii="宋体" w:hAnsi="宋体" w:cs="宋体"/>
                      <w:szCs w:val="21"/>
                    </w:rPr>
                    <w:t>年均值和日均值、臭氧日最大8小时滑动均值均超过环境空气质量二级标准。项目所在区NO</w:t>
                  </w:r>
                  <w:r>
                    <w:rPr>
                      <w:rFonts w:hint="eastAsia" w:ascii="宋体" w:hAnsi="宋体" w:cs="宋体"/>
                      <w:szCs w:val="21"/>
                      <w:vertAlign w:val="subscript"/>
                    </w:rPr>
                    <w:t>2</w:t>
                  </w:r>
                  <w:r>
                    <w:rPr>
                      <w:rFonts w:hint="eastAsia" w:ascii="宋体" w:hAnsi="宋体" w:cs="宋体"/>
                      <w:szCs w:val="21"/>
                    </w:rPr>
                    <w:t>、PM</w:t>
                  </w:r>
                  <w:r>
                    <w:rPr>
                      <w:rFonts w:hint="eastAsia" w:ascii="宋体" w:hAnsi="宋体" w:cs="宋体"/>
                      <w:szCs w:val="21"/>
                      <w:vertAlign w:val="subscript"/>
                    </w:rPr>
                    <w:t>10</w:t>
                  </w:r>
                  <w:r>
                    <w:rPr>
                      <w:rFonts w:hint="eastAsia" w:ascii="宋体" w:hAnsi="宋体" w:cs="宋体"/>
                      <w:szCs w:val="21"/>
                    </w:rPr>
                    <w:t>、PM</w:t>
                  </w:r>
                  <w:r>
                    <w:rPr>
                      <w:rFonts w:hint="eastAsia" w:ascii="宋体" w:hAnsi="宋体" w:cs="宋体"/>
                      <w:szCs w:val="21"/>
                      <w:vertAlign w:val="subscript"/>
                    </w:rPr>
                    <w:t>2.5</w:t>
                  </w:r>
                  <w:r>
                    <w:rPr>
                      <w:rFonts w:hint="eastAsia" w:ascii="宋体" w:hAnsi="宋体" w:cs="宋体"/>
                      <w:szCs w:val="21"/>
                    </w:rPr>
                    <w:t>、O</w:t>
                  </w:r>
                  <w:r>
                    <w:rPr>
                      <w:rFonts w:hint="eastAsia" w:ascii="宋体" w:hAnsi="宋体" w:cs="宋体"/>
                      <w:szCs w:val="21"/>
                      <w:vertAlign w:val="subscript"/>
                    </w:rPr>
                    <w:t>3</w:t>
                  </w:r>
                  <w:r>
                    <w:rPr>
                      <w:rFonts w:hint="eastAsia" w:ascii="宋体" w:hAnsi="宋体" w:cs="宋体"/>
                      <w:szCs w:val="21"/>
                    </w:rPr>
                    <w:t>超标，因此判定为非达标区。</w:t>
                  </w:r>
                  <w:r>
                    <w:rPr>
                      <w:rFonts w:hint="eastAsia" w:ascii="宋体" w:hAnsi="宋体" w:cs="宋体"/>
                      <w:szCs w:val="21"/>
                      <w:lang w:val="en-US" w:eastAsia="zh-CN"/>
                    </w:rPr>
                    <w:t>提出</w:t>
                  </w:r>
                  <w:r>
                    <w:rPr>
                      <w:rFonts w:hint="eastAsia" w:ascii="宋体" w:hAnsi="宋体" w:cs="宋体"/>
                      <w:szCs w:val="21"/>
                    </w:rPr>
                    <w:t>污染防治措施如下:全力推动污染物总量减排,实施锅炉综合整治,深度治理工业企业,提升大气污染防控能力</w:t>
                  </w:r>
                  <w:r>
                    <w:rPr>
                      <w:rFonts w:hint="eastAsia" w:ascii="宋体" w:hAnsi="宋体" w:cs="宋体"/>
                      <w:szCs w:val="21"/>
                      <w:lang w:val="en-US" w:eastAsia="zh-CN"/>
                    </w:rPr>
                    <w:t>等</w:t>
                  </w:r>
                  <w:r>
                    <w:rPr>
                      <w:rFonts w:hint="eastAsia" w:ascii="宋体" w:hAnsi="宋体" w:cs="宋体"/>
                      <w:szCs w:val="21"/>
                    </w:rPr>
                    <w:t>,在落实</w:t>
                  </w:r>
                  <w:r>
                    <w:rPr>
                      <w:rFonts w:hint="eastAsia" w:ascii="宋体" w:hAnsi="宋体" w:cs="宋体"/>
                      <w:color w:val="auto"/>
                      <w:szCs w:val="21"/>
                    </w:rPr>
                    <w:t>大气污染防治措施的情况下,区域环境空气质量可以得到改善。</w:t>
                  </w:r>
                  <w:r>
                    <w:rPr>
                      <w:rFonts w:hint="eastAsia" w:ascii="宋体" w:hAnsi="宋体" w:cs="宋体"/>
                      <w:color w:val="auto"/>
                      <w:szCs w:val="21"/>
                      <w:lang w:val="en-US" w:eastAsia="zh-CN"/>
                    </w:rPr>
                    <w:t>本项目天然气锅炉配套了低氮燃烧器，可有效减少污染物总量排放</w:t>
                  </w:r>
                  <w:r>
                    <w:rPr>
                      <w:rFonts w:hint="eastAsia" w:ascii="宋体" w:hAnsi="宋体" w:cs="宋体"/>
                      <w:color w:val="0000FF"/>
                      <w:szCs w:val="21"/>
                      <w:lang w:val="en-US" w:eastAsia="zh-CN"/>
                    </w:rPr>
                    <w:t>。</w:t>
                  </w:r>
                </w:p>
                <w:p>
                  <w:pPr>
                    <w:autoSpaceDE w:val="0"/>
                    <w:autoSpaceDN w:val="0"/>
                    <w:snapToGrid w:val="0"/>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根据环境质量现状监测情况，项目大气、地表水、噪声监测结果均满足相应质量标准。本项目产生的污染物经采取相应污染物防治措施后，均能达标排放，本项目建设对周边环境影响较小，不会降低周边环境质量。</w:t>
                  </w:r>
                </w:p>
              </w:tc>
              <w:tc>
                <w:tcPr>
                  <w:tcW w:w="755" w:type="dxa"/>
                  <w:noWrap w:val="0"/>
                  <w:vAlign w:val="center"/>
                </w:tcPr>
                <w:p>
                  <w:pPr>
                    <w:autoSpaceDE w:val="0"/>
                    <w:autoSpaceDN w:val="0"/>
                    <w:snapToGrid w:val="0"/>
                    <w:jc w:val="center"/>
                    <w:rPr>
                      <w:rFonts w:hint="eastAsia" w:ascii="宋体" w:hAnsi="宋体" w:cs="宋体"/>
                      <w:szCs w:val="21"/>
                    </w:rPr>
                  </w:pPr>
                  <w:r>
                    <w:rPr>
                      <w:rFonts w:hint="eastAsia" w:ascii="宋体" w:hAnsi="宋体" w:cs="宋体"/>
                      <w:szCs w:val="21"/>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4" w:type="dxa"/>
                  <w:noWrap w:val="0"/>
                  <w:vAlign w:val="center"/>
                </w:tcPr>
                <w:p>
                  <w:pPr>
                    <w:autoSpaceDE w:val="0"/>
                    <w:autoSpaceDN w:val="0"/>
                    <w:snapToGrid w:val="0"/>
                    <w:jc w:val="center"/>
                    <w:rPr>
                      <w:rFonts w:hint="eastAsia" w:ascii="宋体" w:hAnsi="宋体" w:cs="宋体"/>
                      <w:szCs w:val="21"/>
                    </w:rPr>
                  </w:pPr>
                  <w:r>
                    <w:rPr>
                      <w:rFonts w:hint="eastAsia" w:ascii="宋体" w:hAnsi="宋体" w:cs="宋体"/>
                      <w:szCs w:val="21"/>
                    </w:rPr>
                    <w:t>3</w:t>
                  </w:r>
                </w:p>
              </w:tc>
              <w:tc>
                <w:tcPr>
                  <w:tcW w:w="785" w:type="dxa"/>
                  <w:noWrap w:val="0"/>
                  <w:vAlign w:val="center"/>
                </w:tcPr>
                <w:p>
                  <w:pPr>
                    <w:autoSpaceDE w:val="0"/>
                    <w:autoSpaceDN w:val="0"/>
                    <w:snapToGrid w:val="0"/>
                    <w:jc w:val="center"/>
                    <w:rPr>
                      <w:rFonts w:hint="eastAsia" w:ascii="宋体" w:hAnsi="宋体" w:cs="宋体"/>
                      <w:szCs w:val="21"/>
                    </w:rPr>
                  </w:pPr>
                  <w:r>
                    <w:rPr>
                      <w:rFonts w:hint="eastAsia" w:ascii="宋体" w:hAnsi="宋体" w:cs="宋体"/>
                      <w:szCs w:val="21"/>
                    </w:rPr>
                    <w:t>资源利用上线</w:t>
                  </w:r>
                </w:p>
              </w:tc>
              <w:tc>
                <w:tcPr>
                  <w:tcW w:w="6040" w:type="dxa"/>
                  <w:noWrap w:val="0"/>
                  <w:vAlign w:val="center"/>
                </w:tcPr>
                <w:p>
                  <w:pPr>
                    <w:autoSpaceDE w:val="0"/>
                    <w:autoSpaceDN w:val="0"/>
                    <w:snapToGrid w:val="0"/>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本项目不属于高耗能行业，所使用的能源主要为水、电能、天然气；本项目所在地水资源丰富，电力资源由当地电网公司输送，企业将采取有效的节水、节电措施，切实提高投入产出比，降低能耗，不会突破资源利用上线。符合资源利用上线相关要求。</w:t>
                  </w:r>
                </w:p>
              </w:tc>
              <w:tc>
                <w:tcPr>
                  <w:tcW w:w="755" w:type="dxa"/>
                  <w:noWrap w:val="0"/>
                  <w:vAlign w:val="center"/>
                </w:tcPr>
                <w:p>
                  <w:pPr>
                    <w:autoSpaceDE w:val="0"/>
                    <w:autoSpaceDN w:val="0"/>
                    <w:snapToGrid w:val="0"/>
                    <w:jc w:val="center"/>
                    <w:rPr>
                      <w:rFonts w:hint="eastAsia" w:ascii="宋体" w:hAnsi="宋体" w:cs="宋体"/>
                      <w:szCs w:val="21"/>
                    </w:rPr>
                  </w:pPr>
                  <w:r>
                    <w:rPr>
                      <w:rFonts w:hint="eastAsia" w:ascii="宋体" w:hAnsi="宋体" w:cs="宋体"/>
                      <w:szCs w:val="21"/>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4" w:type="dxa"/>
                  <w:noWrap w:val="0"/>
                  <w:vAlign w:val="center"/>
                </w:tcPr>
                <w:p>
                  <w:pPr>
                    <w:autoSpaceDE w:val="0"/>
                    <w:autoSpaceDN w:val="0"/>
                    <w:snapToGrid w:val="0"/>
                    <w:jc w:val="center"/>
                    <w:rPr>
                      <w:rFonts w:ascii="宋体" w:hAnsi="宋体" w:cs="宋体"/>
                      <w:szCs w:val="21"/>
                    </w:rPr>
                  </w:pPr>
                  <w:r>
                    <w:rPr>
                      <w:rFonts w:hint="eastAsia" w:ascii="宋体" w:hAnsi="宋体" w:cs="宋体"/>
                      <w:szCs w:val="21"/>
                    </w:rPr>
                    <w:t>4</w:t>
                  </w:r>
                </w:p>
              </w:tc>
              <w:tc>
                <w:tcPr>
                  <w:tcW w:w="785" w:type="dxa"/>
                  <w:noWrap w:val="0"/>
                  <w:vAlign w:val="center"/>
                </w:tcPr>
                <w:p>
                  <w:pPr>
                    <w:autoSpaceDE w:val="0"/>
                    <w:autoSpaceDN w:val="0"/>
                    <w:snapToGrid w:val="0"/>
                    <w:jc w:val="center"/>
                    <w:rPr>
                      <w:rFonts w:hint="eastAsia" w:ascii="宋体" w:hAnsi="宋体" w:cs="宋体"/>
                      <w:szCs w:val="21"/>
                    </w:rPr>
                  </w:pPr>
                  <w:r>
                    <w:rPr>
                      <w:rFonts w:hint="eastAsia" w:ascii="宋体" w:hAnsi="宋体" w:cs="宋体"/>
                      <w:szCs w:val="21"/>
                    </w:rPr>
                    <w:t>环境准入负面清单</w:t>
                  </w:r>
                </w:p>
              </w:tc>
              <w:tc>
                <w:tcPr>
                  <w:tcW w:w="6040" w:type="dxa"/>
                  <w:noWrap w:val="0"/>
                  <w:vAlign w:val="center"/>
                </w:tcPr>
                <w:p>
                  <w:pPr>
                    <w:autoSpaceDE w:val="0"/>
                    <w:autoSpaceDN w:val="0"/>
                    <w:snapToGrid w:val="0"/>
                    <w:ind w:firstLine="420" w:firstLineChars="200"/>
                    <w:jc w:val="left"/>
                    <w:rPr>
                      <w:rFonts w:hint="eastAsia" w:ascii="宋体" w:hAnsi="宋体" w:cs="宋体"/>
                      <w:szCs w:val="21"/>
                    </w:rPr>
                  </w:pPr>
                  <w:r>
                    <w:rPr>
                      <w:rFonts w:hint="eastAsia" w:ascii="宋体" w:hAnsi="宋体" w:cs="宋体"/>
                      <w:szCs w:val="21"/>
                    </w:rPr>
                    <w:t>经对照《市场准入负面清单（</w:t>
                  </w:r>
                  <w:r>
                    <w:rPr>
                      <w:rFonts w:ascii="宋体" w:hAnsi="宋体" w:cs="宋体"/>
                      <w:szCs w:val="21"/>
                    </w:rPr>
                    <w:t>2020</w:t>
                  </w:r>
                  <w:r>
                    <w:rPr>
                      <w:rFonts w:hint="eastAsia" w:ascii="宋体" w:hAnsi="宋体" w:cs="宋体"/>
                      <w:szCs w:val="21"/>
                    </w:rPr>
                    <w:t>年版）》，本项目不属于负面清单中禁止事项。同时，本项目也不属于《长江经济带发展负面清单指南</w:t>
                  </w:r>
                  <w:r>
                    <w:rPr>
                      <w:rFonts w:hint="eastAsia" w:ascii="宋体" w:hAnsi="宋体" w:cs="宋体"/>
                      <w:szCs w:val="21"/>
                      <w:lang w:eastAsia="zh-CN"/>
                    </w:rPr>
                    <w:t>（</w:t>
                  </w:r>
                  <w:r>
                    <w:rPr>
                      <w:rFonts w:hint="eastAsia" w:ascii="宋体" w:hAnsi="宋体" w:cs="宋体"/>
                      <w:szCs w:val="21"/>
                      <w:lang w:val="en-US" w:eastAsia="zh-CN"/>
                    </w:rPr>
                    <w:t>试行，2022年版</w:t>
                  </w:r>
                  <w:r>
                    <w:rPr>
                      <w:rFonts w:hint="eastAsia" w:ascii="宋体" w:hAnsi="宋体" w:cs="宋体"/>
                      <w:szCs w:val="21"/>
                      <w:lang w:eastAsia="zh-CN"/>
                    </w:rPr>
                    <w:t>）</w:t>
                  </w:r>
                  <w:r>
                    <w:rPr>
                      <w:rFonts w:hint="eastAsia" w:ascii="宋体" w:hAnsi="宋体" w:cs="宋体"/>
                      <w:szCs w:val="21"/>
                    </w:rPr>
                    <w:t>》中禁止建设类项目，未列入长江经济带发展负面清单。因此本项目符合环境准入负面清单相关要求</w:t>
                  </w:r>
                </w:p>
              </w:tc>
              <w:tc>
                <w:tcPr>
                  <w:tcW w:w="755" w:type="dxa"/>
                  <w:noWrap w:val="0"/>
                  <w:vAlign w:val="center"/>
                </w:tcPr>
                <w:p>
                  <w:pPr>
                    <w:autoSpaceDE w:val="0"/>
                    <w:autoSpaceDN w:val="0"/>
                    <w:snapToGrid w:val="0"/>
                    <w:jc w:val="center"/>
                    <w:rPr>
                      <w:rFonts w:hint="eastAsia" w:ascii="宋体" w:hAnsi="宋体" w:cs="宋体"/>
                      <w:szCs w:val="21"/>
                    </w:rPr>
                  </w:pPr>
                  <w:r>
                    <w:rPr>
                      <w:rFonts w:hint="eastAsia" w:ascii="宋体" w:hAnsi="宋体" w:cs="宋体"/>
                      <w:szCs w:val="21"/>
                    </w:rPr>
                    <w:t>是</w:t>
                  </w:r>
                </w:p>
              </w:tc>
            </w:tr>
          </w:tbl>
          <w:p>
            <w:pPr>
              <w:autoSpaceDE w:val="0"/>
              <w:autoSpaceDN w:val="0"/>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（2）与《江苏省政府关于印发江苏省“三线一单”生态环境分区管控方案的通知》（苏政发[2020]49号）相符性分析：</w:t>
            </w:r>
          </w:p>
          <w:p>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本项目位于</w:t>
            </w:r>
            <w:r>
              <w:rPr>
                <w:rFonts w:hint="eastAsia" w:ascii="宋体" w:hAnsi="宋体" w:cs="宋体"/>
                <w:sz w:val="24"/>
                <w:lang w:eastAsia="zh-CN"/>
              </w:rPr>
              <w:t>江苏省常州市武进区礼嘉镇工业集中区</w:t>
            </w:r>
            <w:r>
              <w:rPr>
                <w:rFonts w:hint="eastAsia" w:ascii="宋体" w:hAnsi="宋体" w:cs="宋体"/>
                <w:sz w:val="24"/>
              </w:rPr>
              <w:t>，对照《江苏省政府关于印发江苏省“三线一单”生态环境分区管控方案的通知》（苏政发[2020]49号）可知，项目位于重点管控单元，其重点管控要求与本项目的相符性分析见下表。</w:t>
            </w:r>
          </w:p>
          <w:p>
            <w:pPr>
              <w:autoSpaceDE w:val="0"/>
              <w:autoSpaceDN w:val="0"/>
              <w:snapToGrid w:val="0"/>
              <w:ind w:firstLine="361" w:firstLineChars="150"/>
              <w:jc w:val="center"/>
              <w:rPr>
                <w:rFonts w:hint="eastAsia" w:ascii="宋体" w:hAnsi="宋体" w:cs="宋体"/>
                <w:b/>
                <w:bCs/>
                <w:color w:val="auto"/>
                <w:sz w:val="24"/>
              </w:rPr>
            </w:pPr>
            <w:r>
              <w:rPr>
                <w:rFonts w:hint="eastAsia" w:ascii="宋体" w:hAnsi="宋体" w:cs="宋体"/>
                <w:b/>
                <w:bCs/>
                <w:color w:val="auto"/>
                <w:sz w:val="24"/>
              </w:rPr>
              <w:t>表1-</w:t>
            </w:r>
            <w:r>
              <w:rPr>
                <w:rFonts w:hint="eastAsia" w:ascii="宋体" w:hAnsi="宋体" w:cs="宋体"/>
                <w:b/>
                <w:bCs/>
                <w:color w:val="auto"/>
                <w:sz w:val="24"/>
                <w:lang w:val="en-US" w:eastAsia="zh-CN"/>
              </w:rPr>
              <w:t xml:space="preserve">3 </w:t>
            </w:r>
            <w:r>
              <w:rPr>
                <w:rFonts w:hint="eastAsia" w:ascii="宋体" w:hAnsi="宋体" w:cs="宋体"/>
                <w:b/>
                <w:bCs/>
                <w:color w:val="auto"/>
                <w:sz w:val="24"/>
              </w:rPr>
              <w:t xml:space="preserve"> 项目与苏政发[2020]49号相符性分析</w:t>
            </w:r>
          </w:p>
          <w:tbl>
            <w:tblPr>
              <w:tblStyle w:val="21"/>
              <w:tblW w:w="804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4810"/>
              <w:gridCol w:w="23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9" w:type="dxa"/>
                  <w:noWrap w:val="0"/>
                  <w:vAlign w:val="center"/>
                </w:tcPr>
                <w:p>
                  <w:pPr>
                    <w:autoSpaceDE w:val="0"/>
                    <w:autoSpaceDN w:val="0"/>
                    <w:snapToGrid w:val="0"/>
                    <w:jc w:val="center"/>
                    <w:rPr>
                      <w:rFonts w:hint="eastAsia" w:ascii="宋体" w:hAnsi="宋体" w:cs="宋体"/>
                      <w:b/>
                      <w:bCs/>
                      <w:color w:val="auto"/>
                      <w:szCs w:val="21"/>
                    </w:rPr>
                  </w:pPr>
                  <w:r>
                    <w:rPr>
                      <w:rFonts w:hint="eastAsia" w:ascii="宋体" w:hAnsi="宋体" w:cs="宋体"/>
                      <w:b/>
                      <w:bCs/>
                      <w:color w:val="auto"/>
                      <w:szCs w:val="21"/>
                    </w:rPr>
                    <w:t>管控类别</w:t>
                  </w:r>
                </w:p>
              </w:tc>
              <w:tc>
                <w:tcPr>
                  <w:tcW w:w="4810" w:type="dxa"/>
                  <w:noWrap w:val="0"/>
                  <w:vAlign w:val="center"/>
                </w:tcPr>
                <w:p>
                  <w:pPr>
                    <w:autoSpaceDE w:val="0"/>
                    <w:autoSpaceDN w:val="0"/>
                    <w:snapToGrid w:val="0"/>
                    <w:jc w:val="center"/>
                    <w:rPr>
                      <w:rFonts w:hint="eastAsia" w:ascii="宋体" w:hAnsi="宋体" w:cs="宋体"/>
                      <w:b/>
                      <w:bCs/>
                      <w:color w:val="auto"/>
                      <w:szCs w:val="21"/>
                    </w:rPr>
                  </w:pPr>
                  <w:r>
                    <w:rPr>
                      <w:rFonts w:hint="eastAsia" w:ascii="宋体" w:hAnsi="宋体" w:cs="宋体"/>
                      <w:b/>
                      <w:bCs/>
                      <w:color w:val="auto"/>
                      <w:szCs w:val="21"/>
                    </w:rPr>
                    <w:t>对照简析</w:t>
                  </w:r>
                </w:p>
              </w:tc>
              <w:tc>
                <w:tcPr>
                  <w:tcW w:w="2302" w:type="dxa"/>
                  <w:noWrap w:val="0"/>
                  <w:vAlign w:val="center"/>
                </w:tcPr>
                <w:p>
                  <w:pPr>
                    <w:autoSpaceDE w:val="0"/>
                    <w:autoSpaceDN w:val="0"/>
                    <w:snapToGrid w:val="0"/>
                    <w:jc w:val="center"/>
                    <w:rPr>
                      <w:rFonts w:hint="eastAsia" w:ascii="宋体" w:hAnsi="宋体" w:cs="宋体"/>
                      <w:b/>
                      <w:bCs/>
                      <w:color w:val="auto"/>
                      <w:szCs w:val="21"/>
                    </w:rPr>
                  </w:pPr>
                  <w:r>
                    <w:rPr>
                      <w:rFonts w:hint="eastAsia" w:ascii="宋体" w:hAnsi="宋体" w:cs="宋体"/>
                      <w:b/>
                      <w:bCs/>
                      <w:color w:val="auto"/>
                      <w:szCs w:val="21"/>
                    </w:rPr>
                    <w:t>相符性分析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41" w:type="dxa"/>
                  <w:gridSpan w:val="3"/>
                  <w:noWrap w:val="0"/>
                  <w:vAlign w:val="center"/>
                </w:tcPr>
                <w:p>
                  <w:pPr>
                    <w:autoSpaceDE w:val="0"/>
                    <w:autoSpaceDN w:val="0"/>
                    <w:snapToGrid w:val="0"/>
                    <w:jc w:val="center"/>
                    <w:rPr>
                      <w:rFonts w:hint="eastAsia" w:ascii="宋体" w:hAnsi="宋体" w:cs="宋体"/>
                      <w:b/>
                      <w:bCs/>
                      <w:color w:val="auto"/>
                      <w:szCs w:val="21"/>
                    </w:rPr>
                  </w:pPr>
                  <w:r>
                    <w:rPr>
                      <w:rFonts w:hint="eastAsia" w:ascii="宋体" w:hAnsi="宋体" w:cs="宋体"/>
                      <w:b/>
                      <w:bCs/>
                      <w:color w:val="auto"/>
                      <w:szCs w:val="21"/>
                    </w:rPr>
                    <w:t>长江流域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9" w:type="dxa"/>
                  <w:vMerge w:val="restart"/>
                  <w:noWrap w:val="0"/>
                  <w:vAlign w:val="center"/>
                </w:tcPr>
                <w:p>
                  <w:pPr>
                    <w:autoSpaceDE w:val="0"/>
                    <w:autoSpaceDN w:val="0"/>
                    <w:snapToGrid w:val="0"/>
                    <w:jc w:val="center"/>
                    <w:rPr>
                      <w:rFonts w:hint="eastAsia" w:ascii="宋体" w:hAnsi="宋体" w:cs="宋体"/>
                      <w:color w:val="auto"/>
                      <w:szCs w:val="21"/>
                    </w:rPr>
                  </w:pPr>
                  <w:r>
                    <w:rPr>
                      <w:rFonts w:hint="eastAsia" w:ascii="宋体" w:hAnsi="宋体" w:cs="宋体"/>
                      <w:color w:val="auto"/>
                      <w:szCs w:val="21"/>
                    </w:rPr>
                    <w:t>空间布局约束</w:t>
                  </w:r>
                </w:p>
              </w:tc>
              <w:tc>
                <w:tcPr>
                  <w:tcW w:w="4810" w:type="dxa"/>
                  <w:noWrap w:val="0"/>
                  <w:vAlign w:val="center"/>
                </w:tcPr>
                <w:p>
                  <w:pPr>
                    <w:autoSpaceDE w:val="0"/>
                    <w:autoSpaceDN w:val="0"/>
                    <w:snapToGrid w:val="0"/>
                    <w:jc w:val="left"/>
                    <w:rPr>
                      <w:rFonts w:hint="eastAsia" w:ascii="宋体" w:hAnsi="宋体" w:cs="宋体"/>
                      <w:color w:val="auto"/>
                      <w:szCs w:val="21"/>
                    </w:rPr>
                  </w:pPr>
                  <w:r>
                    <w:rPr>
                      <w:rFonts w:hint="eastAsia" w:ascii="宋体" w:hAnsi="宋体" w:cs="宋体"/>
                      <w:color w:val="auto"/>
                      <w:szCs w:val="21"/>
                    </w:rPr>
                    <w:t>加强生态空间保护，禁止在国家确定的生态保护红线和永久基本农田范围内，投资建设除国家重大战略资源勘查项目、生态保护修复和地质灾害治理项目、重大基础设施项目、军事国防项目以及农民基本生产生活等必要的民生项目以外的项目。</w:t>
                  </w:r>
                </w:p>
              </w:tc>
              <w:tc>
                <w:tcPr>
                  <w:tcW w:w="2302" w:type="dxa"/>
                  <w:noWrap w:val="0"/>
                  <w:vAlign w:val="center"/>
                </w:tcPr>
                <w:p>
                  <w:pPr>
                    <w:autoSpaceDE w:val="0"/>
                    <w:autoSpaceDN w:val="0"/>
                    <w:snapToGrid w:val="0"/>
                    <w:jc w:val="center"/>
                    <w:rPr>
                      <w:rFonts w:hint="eastAsia" w:ascii="宋体" w:hAnsi="宋体" w:cs="宋体"/>
                      <w:color w:val="auto"/>
                      <w:szCs w:val="21"/>
                    </w:rPr>
                  </w:pPr>
                  <w:r>
                    <w:rPr>
                      <w:rFonts w:hint="eastAsia" w:ascii="宋体" w:hAnsi="宋体" w:cs="宋体"/>
                      <w:color w:val="auto"/>
                      <w:szCs w:val="21"/>
                    </w:rPr>
                    <w:t>本项目不在国家确定的生态保护红线和永久基本农田范围内。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9" w:type="dxa"/>
                  <w:vMerge w:val="continue"/>
                  <w:noWrap w:val="0"/>
                  <w:vAlign w:val="center"/>
                </w:tcPr>
                <w:p>
                  <w:pPr>
                    <w:autoSpaceDE w:val="0"/>
                    <w:autoSpaceDN w:val="0"/>
                    <w:snapToGrid w:val="0"/>
                    <w:jc w:val="center"/>
                    <w:rPr>
                      <w:rFonts w:hint="eastAsia" w:ascii="宋体" w:hAnsi="宋体" w:cs="宋体"/>
                      <w:color w:val="auto"/>
                      <w:szCs w:val="21"/>
                    </w:rPr>
                  </w:pPr>
                </w:p>
              </w:tc>
              <w:tc>
                <w:tcPr>
                  <w:tcW w:w="4810" w:type="dxa"/>
                  <w:noWrap w:val="0"/>
                  <w:vAlign w:val="center"/>
                </w:tcPr>
                <w:p>
                  <w:pPr>
                    <w:autoSpaceDE w:val="0"/>
                    <w:autoSpaceDN w:val="0"/>
                    <w:snapToGrid w:val="0"/>
                    <w:jc w:val="left"/>
                    <w:rPr>
                      <w:rFonts w:hint="eastAsia" w:ascii="宋体" w:hAnsi="宋体" w:cs="宋体"/>
                      <w:color w:val="auto"/>
                      <w:szCs w:val="21"/>
                    </w:rPr>
                  </w:pPr>
                  <w:r>
                    <w:rPr>
                      <w:rFonts w:hint="eastAsia" w:ascii="宋体" w:hAnsi="宋体" w:cs="宋体"/>
                      <w:color w:val="auto"/>
                      <w:szCs w:val="21"/>
                    </w:rPr>
                    <w:t>禁止在沿江地区新建或扩建化学工业园区，禁止新建或扩建以大宗进口油气资源为原料的石油加工、石油化工、基础有机无机化工、煤化工项目；禁止在长江干流和主要支流岸线1公里范围内新建危化品码头。</w:t>
                  </w:r>
                </w:p>
              </w:tc>
              <w:tc>
                <w:tcPr>
                  <w:tcW w:w="2302" w:type="dxa"/>
                  <w:noWrap w:val="0"/>
                  <w:vAlign w:val="center"/>
                </w:tcPr>
                <w:p>
                  <w:pPr>
                    <w:autoSpaceDE w:val="0"/>
                    <w:autoSpaceDN w:val="0"/>
                    <w:snapToGrid w:val="0"/>
                    <w:jc w:val="center"/>
                    <w:rPr>
                      <w:rFonts w:hint="eastAsia" w:ascii="宋体" w:hAnsi="宋体" w:cs="宋体"/>
                      <w:color w:val="auto"/>
                      <w:szCs w:val="21"/>
                    </w:rPr>
                  </w:pPr>
                  <w:r>
                    <w:rPr>
                      <w:rFonts w:hint="eastAsia" w:ascii="宋体" w:hAnsi="宋体" w:cs="宋体"/>
                      <w:color w:val="auto"/>
                      <w:szCs w:val="21"/>
                    </w:rPr>
                    <w:t>本项目不属于上述禁止建设的项目，不在长江干流和主要支流岸线1公里范围内。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9" w:type="dxa"/>
                  <w:vMerge w:val="continue"/>
                  <w:noWrap w:val="0"/>
                  <w:vAlign w:val="center"/>
                </w:tcPr>
                <w:p>
                  <w:pPr>
                    <w:autoSpaceDE w:val="0"/>
                    <w:autoSpaceDN w:val="0"/>
                    <w:snapToGrid w:val="0"/>
                    <w:jc w:val="center"/>
                    <w:rPr>
                      <w:rFonts w:hint="eastAsia" w:ascii="宋体" w:hAnsi="宋体" w:cs="宋体"/>
                      <w:color w:val="auto"/>
                      <w:szCs w:val="21"/>
                    </w:rPr>
                  </w:pPr>
                </w:p>
              </w:tc>
              <w:tc>
                <w:tcPr>
                  <w:tcW w:w="4810" w:type="dxa"/>
                  <w:noWrap w:val="0"/>
                  <w:vAlign w:val="center"/>
                </w:tcPr>
                <w:p>
                  <w:pPr>
                    <w:autoSpaceDE w:val="0"/>
                    <w:autoSpaceDN w:val="0"/>
                    <w:snapToGrid w:val="0"/>
                    <w:jc w:val="left"/>
                    <w:rPr>
                      <w:rFonts w:hint="eastAsia" w:ascii="宋体" w:hAnsi="宋体" w:cs="宋体"/>
                      <w:color w:val="auto"/>
                      <w:szCs w:val="21"/>
                    </w:rPr>
                  </w:pPr>
                  <w:r>
                    <w:rPr>
                      <w:rFonts w:hint="eastAsia" w:ascii="宋体" w:hAnsi="宋体" w:cs="宋体"/>
                      <w:color w:val="auto"/>
                      <w:szCs w:val="21"/>
                    </w:rPr>
                    <w:t>强化港口布局优化，禁止建设不符合国家港口布局规划和《江苏省沿江沿海港口布局规划（2015-2030年）》《江苏省内河港口布局规划（2017-2035年）》的码头项目，禁止建设未纳入《长江干线过江通道布局规划》的过江干线通道项目。</w:t>
                  </w:r>
                </w:p>
              </w:tc>
              <w:tc>
                <w:tcPr>
                  <w:tcW w:w="2302" w:type="dxa"/>
                  <w:noWrap w:val="0"/>
                  <w:vAlign w:val="center"/>
                </w:tcPr>
                <w:p>
                  <w:pPr>
                    <w:autoSpaceDE w:val="0"/>
                    <w:autoSpaceDN w:val="0"/>
                    <w:snapToGrid w:val="0"/>
                    <w:jc w:val="center"/>
                    <w:rPr>
                      <w:rFonts w:hint="eastAsia" w:ascii="宋体" w:hAnsi="宋体" w:cs="宋体"/>
                      <w:color w:val="auto"/>
                      <w:szCs w:val="21"/>
                    </w:rPr>
                  </w:pPr>
                  <w:r>
                    <w:rPr>
                      <w:rFonts w:hint="eastAsia" w:ascii="宋体" w:hAnsi="宋体" w:cs="宋体"/>
                      <w:color w:val="auto"/>
                      <w:szCs w:val="21"/>
                    </w:rPr>
                    <w:t>本项目不属于码头项目和过江干线通道项目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9" w:type="dxa"/>
                  <w:vMerge w:val="restart"/>
                  <w:noWrap w:val="0"/>
                  <w:vAlign w:val="center"/>
                </w:tcPr>
                <w:p>
                  <w:pPr>
                    <w:autoSpaceDE w:val="0"/>
                    <w:autoSpaceDN w:val="0"/>
                    <w:snapToGrid w:val="0"/>
                    <w:jc w:val="center"/>
                    <w:rPr>
                      <w:rFonts w:hint="eastAsia" w:ascii="宋体" w:hAnsi="宋体" w:cs="宋体"/>
                      <w:color w:val="auto"/>
                      <w:szCs w:val="21"/>
                    </w:rPr>
                  </w:pPr>
                  <w:r>
                    <w:rPr>
                      <w:rFonts w:hint="eastAsia" w:ascii="宋体" w:hAnsi="宋体" w:cs="宋体"/>
                      <w:color w:val="auto"/>
                      <w:szCs w:val="21"/>
                    </w:rPr>
                    <w:t>污染物排放管控</w:t>
                  </w:r>
                </w:p>
              </w:tc>
              <w:tc>
                <w:tcPr>
                  <w:tcW w:w="4810" w:type="dxa"/>
                  <w:noWrap w:val="0"/>
                  <w:vAlign w:val="center"/>
                </w:tcPr>
                <w:p>
                  <w:pPr>
                    <w:autoSpaceDE w:val="0"/>
                    <w:autoSpaceDN w:val="0"/>
                    <w:snapToGrid w:val="0"/>
                    <w:jc w:val="left"/>
                    <w:rPr>
                      <w:rFonts w:hint="eastAsia" w:ascii="宋体" w:hAnsi="宋体" w:cs="宋体"/>
                      <w:color w:val="auto"/>
                      <w:szCs w:val="21"/>
                    </w:rPr>
                  </w:pPr>
                  <w:r>
                    <w:rPr>
                      <w:rFonts w:hint="eastAsia" w:ascii="宋体" w:hAnsi="宋体" w:cs="宋体"/>
                      <w:color w:val="auto"/>
                      <w:szCs w:val="21"/>
                    </w:rPr>
                    <w:t>根据《江苏省长江水污染防治条例》实施污染物总量控制制度。</w:t>
                  </w:r>
                </w:p>
              </w:tc>
              <w:tc>
                <w:tcPr>
                  <w:tcW w:w="2302" w:type="dxa"/>
                  <w:noWrap w:val="0"/>
                  <w:vAlign w:val="center"/>
                </w:tcPr>
                <w:p>
                  <w:pPr>
                    <w:autoSpaceDE w:val="0"/>
                    <w:autoSpaceDN w:val="0"/>
                    <w:snapToGrid w:val="0"/>
                    <w:jc w:val="center"/>
                    <w:rPr>
                      <w:rFonts w:hint="eastAsia" w:ascii="宋体" w:hAnsi="宋体" w:cs="宋体"/>
                      <w:color w:val="auto"/>
                      <w:szCs w:val="21"/>
                    </w:rPr>
                  </w:pPr>
                  <w:r>
                    <w:rPr>
                      <w:rFonts w:hint="eastAsia" w:ascii="宋体" w:hAnsi="宋体" w:cs="宋体"/>
                      <w:color w:val="auto"/>
                      <w:szCs w:val="21"/>
                    </w:rPr>
                    <w:t>本项目生活污水和初期雨水进入武南污水处理厂，总量在污水处理厂内平衡，无生产废水产生。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9" w:type="dxa"/>
                  <w:vMerge w:val="continue"/>
                  <w:noWrap w:val="0"/>
                  <w:vAlign w:val="center"/>
                </w:tcPr>
                <w:p>
                  <w:pPr>
                    <w:autoSpaceDE w:val="0"/>
                    <w:autoSpaceDN w:val="0"/>
                    <w:snapToGrid w:val="0"/>
                    <w:jc w:val="center"/>
                    <w:rPr>
                      <w:rFonts w:hint="eastAsia" w:ascii="宋体" w:hAnsi="宋体" w:cs="宋体"/>
                      <w:color w:val="auto"/>
                      <w:szCs w:val="21"/>
                    </w:rPr>
                  </w:pPr>
                </w:p>
              </w:tc>
              <w:tc>
                <w:tcPr>
                  <w:tcW w:w="4810" w:type="dxa"/>
                  <w:noWrap w:val="0"/>
                  <w:vAlign w:val="center"/>
                </w:tcPr>
                <w:p>
                  <w:pPr>
                    <w:autoSpaceDE w:val="0"/>
                    <w:autoSpaceDN w:val="0"/>
                    <w:snapToGrid w:val="0"/>
                    <w:jc w:val="left"/>
                    <w:rPr>
                      <w:rFonts w:hint="eastAsia" w:ascii="宋体" w:hAnsi="宋体" w:cs="宋体"/>
                      <w:color w:val="auto"/>
                      <w:szCs w:val="21"/>
                    </w:rPr>
                  </w:pPr>
                  <w:r>
                    <w:rPr>
                      <w:rFonts w:hint="eastAsia" w:ascii="宋体" w:hAnsi="宋体" w:cs="宋体"/>
                      <w:color w:val="auto"/>
                      <w:szCs w:val="21"/>
                    </w:rPr>
                    <w:t>全面加强和规范长江入河排污口管理，有效管控入河污染物排放，形成权责清晰、监控到位、管理规范的长江入河排污口监管体系，加快改善长江水环境质量。</w:t>
                  </w:r>
                </w:p>
              </w:tc>
              <w:tc>
                <w:tcPr>
                  <w:tcW w:w="2302" w:type="dxa"/>
                  <w:noWrap w:val="0"/>
                  <w:vAlign w:val="center"/>
                </w:tcPr>
                <w:p>
                  <w:pPr>
                    <w:autoSpaceDE w:val="0"/>
                    <w:autoSpaceDN w:val="0"/>
                    <w:snapToGrid w:val="0"/>
                    <w:jc w:val="center"/>
                    <w:rPr>
                      <w:rFonts w:hint="eastAsia" w:ascii="宋体" w:hAnsi="宋体" w:cs="宋体"/>
                      <w:color w:val="auto"/>
                      <w:szCs w:val="21"/>
                    </w:rPr>
                  </w:pPr>
                  <w:r>
                    <w:rPr>
                      <w:rFonts w:hint="eastAsia" w:ascii="宋体" w:hAnsi="宋体" w:cs="宋体"/>
                      <w:color w:val="auto"/>
                      <w:szCs w:val="21"/>
                    </w:rPr>
                    <w:t>本项目生活污水和初期雨水进入武南污水处理厂，不直接排放，无生产废水产生。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29" w:type="dxa"/>
                  <w:noWrap w:val="0"/>
                  <w:vAlign w:val="center"/>
                </w:tcPr>
                <w:p>
                  <w:pPr>
                    <w:autoSpaceDE w:val="0"/>
                    <w:autoSpaceDN w:val="0"/>
                    <w:snapToGrid w:val="0"/>
                    <w:jc w:val="center"/>
                    <w:rPr>
                      <w:rFonts w:hint="eastAsia" w:ascii="宋体" w:hAnsi="宋体" w:cs="宋体"/>
                      <w:color w:val="auto"/>
                      <w:szCs w:val="21"/>
                    </w:rPr>
                  </w:pPr>
                  <w:r>
                    <w:rPr>
                      <w:rFonts w:hint="eastAsia" w:ascii="宋体" w:hAnsi="宋体" w:cs="宋体"/>
                      <w:color w:val="auto"/>
                      <w:szCs w:val="21"/>
                    </w:rPr>
                    <w:t>环境风险防控</w:t>
                  </w:r>
                </w:p>
              </w:tc>
              <w:tc>
                <w:tcPr>
                  <w:tcW w:w="4810" w:type="dxa"/>
                  <w:noWrap w:val="0"/>
                  <w:vAlign w:val="center"/>
                </w:tcPr>
                <w:p>
                  <w:pPr>
                    <w:autoSpaceDE w:val="0"/>
                    <w:autoSpaceDN w:val="0"/>
                    <w:snapToGrid w:val="0"/>
                    <w:jc w:val="left"/>
                    <w:rPr>
                      <w:rFonts w:hint="eastAsia" w:ascii="宋体" w:hAnsi="宋体" w:cs="宋体"/>
                      <w:color w:val="auto"/>
                      <w:szCs w:val="21"/>
                    </w:rPr>
                  </w:pPr>
                  <w:r>
                    <w:rPr>
                      <w:rFonts w:hint="eastAsia" w:ascii="宋体" w:hAnsi="宋体" w:cs="宋体"/>
                      <w:color w:val="auto"/>
                      <w:szCs w:val="21"/>
                    </w:rPr>
                    <w:t>防范沿江环境风险。深化沿江石化、化工、医药、纺织、印染、化纤、危化品和石油类仓储、涉重金属和危险废物处置等重点企业环境风险防控。</w:t>
                  </w:r>
                </w:p>
              </w:tc>
              <w:tc>
                <w:tcPr>
                  <w:tcW w:w="2302" w:type="dxa"/>
                  <w:noWrap w:val="0"/>
                  <w:vAlign w:val="center"/>
                </w:tcPr>
                <w:p>
                  <w:pPr>
                    <w:autoSpaceDE w:val="0"/>
                    <w:autoSpaceDN w:val="0"/>
                    <w:snapToGrid w:val="0"/>
                    <w:jc w:val="center"/>
                    <w:rPr>
                      <w:rFonts w:hint="eastAsia" w:ascii="宋体" w:hAnsi="宋体" w:cs="宋体"/>
                      <w:color w:val="auto"/>
                      <w:szCs w:val="21"/>
                    </w:rPr>
                  </w:pPr>
                  <w:r>
                    <w:rPr>
                      <w:rFonts w:hint="eastAsia" w:ascii="宋体" w:hAnsi="宋体" w:cs="宋体"/>
                      <w:color w:val="auto"/>
                      <w:szCs w:val="21"/>
                    </w:rPr>
                    <w:t>本项目不属于上述企业，且企业具有完善的风险防控措施。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929" w:type="dxa"/>
                  <w:noWrap w:val="0"/>
                  <w:vAlign w:val="center"/>
                </w:tcPr>
                <w:p>
                  <w:pPr>
                    <w:jc w:val="center"/>
                    <w:rPr>
                      <w:rFonts w:hint="eastAsia" w:ascii="宋体" w:hAnsi="宋体" w:cs="宋体"/>
                      <w:color w:val="0000FF"/>
                      <w:szCs w:val="21"/>
                    </w:rPr>
                  </w:pPr>
                  <w:r>
                    <w:t>资源利用效率要求</w:t>
                  </w:r>
                </w:p>
              </w:tc>
              <w:tc>
                <w:tcPr>
                  <w:tcW w:w="4810" w:type="dxa"/>
                  <w:noWrap w:val="0"/>
                  <w:vAlign w:val="center"/>
                </w:tcPr>
                <w:p>
                  <w:pPr>
                    <w:ind w:firstLine="420" w:firstLineChars="200"/>
                    <w:rPr>
                      <w:rFonts w:hint="eastAsia" w:ascii="宋体" w:hAnsi="宋体" w:cs="宋体"/>
                      <w:color w:val="0000FF"/>
                      <w:szCs w:val="21"/>
                    </w:rPr>
                  </w:pPr>
                  <w:r>
                    <w:t>到2020年长江干支流自然岸线保有率达到国家要求。</w:t>
                  </w:r>
                </w:p>
              </w:tc>
              <w:tc>
                <w:tcPr>
                  <w:tcW w:w="2302" w:type="dxa"/>
                  <w:noWrap w:val="0"/>
                  <w:vAlign w:val="center"/>
                </w:tcPr>
                <w:p>
                  <w:pPr>
                    <w:jc w:val="center"/>
                    <w:rPr>
                      <w:rFonts w:hint="eastAsia" w:ascii="宋体" w:hAnsi="宋体" w:cs="宋体"/>
                      <w:color w:val="0000FF"/>
                      <w:szCs w:val="21"/>
                    </w:rPr>
                  </w:pPr>
                  <w: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41" w:type="dxa"/>
                  <w:gridSpan w:val="3"/>
                  <w:noWrap w:val="0"/>
                  <w:vAlign w:val="center"/>
                </w:tcPr>
                <w:p>
                  <w:pPr>
                    <w:autoSpaceDE w:val="0"/>
                    <w:autoSpaceDN w:val="0"/>
                    <w:snapToGrid w:val="0"/>
                    <w:jc w:val="center"/>
                    <w:rPr>
                      <w:rFonts w:hint="eastAsia" w:ascii="宋体" w:hAnsi="宋体" w:cs="宋体"/>
                      <w:szCs w:val="21"/>
                    </w:rPr>
                  </w:pPr>
                  <w:r>
                    <w:rPr>
                      <w:rFonts w:hint="eastAsia" w:ascii="宋体" w:hAnsi="宋体" w:cs="宋体"/>
                      <w:b/>
                      <w:bCs/>
                      <w:szCs w:val="21"/>
                    </w:rPr>
                    <w:t>太湖流域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929" w:type="dxa"/>
                  <w:noWrap w:val="0"/>
                  <w:vAlign w:val="center"/>
                </w:tcPr>
                <w:p>
                  <w:pPr>
                    <w:jc w:val="center"/>
                    <w:rPr>
                      <w:rFonts w:hint="eastAsia" w:ascii="宋体" w:hAnsi="宋体" w:cs="宋体"/>
                      <w:szCs w:val="21"/>
                    </w:rPr>
                  </w:pPr>
                  <w:r>
                    <w:t>空间布局约束</w:t>
                  </w:r>
                </w:p>
              </w:tc>
              <w:tc>
                <w:tcPr>
                  <w:tcW w:w="4810" w:type="dxa"/>
                  <w:noWrap w:val="0"/>
                  <w:vAlign w:val="center"/>
                </w:tcPr>
                <w:p>
                  <w:pPr>
                    <w:ind w:firstLine="420" w:firstLineChars="200"/>
                  </w:pPr>
                  <w:r>
                    <w:t>1、在太湖流域一、二、三级保护区，禁止新建、改建、扩建化学制浆造纸、制革、酿造、染料、印染、电镀以及其他排放含磷、氮等污染物的企业和项目，城镇污水集中处理等环境基础设施项目和《江苏省太湖水污染防治条例》第四十六条规定的情形除外。</w:t>
                  </w:r>
                </w:p>
                <w:p>
                  <w:pPr>
                    <w:ind w:firstLine="420" w:firstLineChars="200"/>
                  </w:pPr>
                  <w:r>
                    <w:t>2、在太湖流域一级保护区，禁止新建、扩建向水体排放污染物的建设项目，禁止新建、扩建畜禽养殖场，禁止新建、扩建高尔夫球场、水上游乐等开发项目以及设置水上餐饮经营设施。</w:t>
                  </w:r>
                </w:p>
                <w:p>
                  <w:pPr>
                    <w:ind w:firstLine="420" w:firstLineChars="200"/>
                    <w:rPr>
                      <w:rFonts w:hint="eastAsia" w:ascii="宋体" w:hAnsi="宋体" w:cs="宋体"/>
                      <w:szCs w:val="21"/>
                    </w:rPr>
                  </w:pPr>
                  <w:r>
                    <w:t>3、在太湖流域二级保护区，禁止新建、扩建化工、医药生产项目，禁止新建、扩建污水集中处理设施排污口以外的排污口。</w:t>
                  </w:r>
                </w:p>
              </w:tc>
              <w:tc>
                <w:tcPr>
                  <w:tcW w:w="2302" w:type="dxa"/>
                  <w:noWrap w:val="0"/>
                  <w:vAlign w:val="center"/>
                </w:tcPr>
                <w:p>
                  <w:pPr>
                    <w:jc w:val="center"/>
                    <w:rPr>
                      <w:rFonts w:ascii="宋体" w:hAnsi="宋体" w:cs="宋体"/>
                      <w:szCs w:val="21"/>
                    </w:rPr>
                  </w:pPr>
                  <w:r>
                    <w:t>本项目位于</w:t>
                  </w:r>
                  <w:r>
                    <w:rPr>
                      <w:szCs w:val="21"/>
                    </w:rPr>
                    <w:t>江苏省常州市武进区礼嘉镇工业集中区，属于太湖流域三级保护区；本项目为</w:t>
                  </w:r>
                  <w:r>
                    <w:t>热力生产和供应行业</w:t>
                  </w:r>
                  <w:r>
                    <w:rPr>
                      <w:szCs w:val="21"/>
                    </w:rPr>
                    <w:t>，无含氮磷生产废水排放。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9" w:type="dxa"/>
                  <w:noWrap w:val="0"/>
                  <w:vAlign w:val="center"/>
                </w:tcPr>
                <w:p>
                  <w:pPr>
                    <w:jc w:val="center"/>
                    <w:rPr>
                      <w:rFonts w:hint="eastAsia" w:ascii="宋体" w:hAnsi="宋体" w:cs="宋体"/>
                      <w:szCs w:val="21"/>
                    </w:rPr>
                  </w:pPr>
                  <w:r>
                    <w:t>污染物排放管控</w:t>
                  </w:r>
                </w:p>
              </w:tc>
              <w:tc>
                <w:tcPr>
                  <w:tcW w:w="4810" w:type="dxa"/>
                  <w:noWrap w:val="0"/>
                  <w:vAlign w:val="center"/>
                </w:tcPr>
                <w:p>
                  <w:pPr>
                    <w:ind w:firstLine="420" w:firstLineChars="200"/>
                    <w:rPr>
                      <w:rFonts w:hint="eastAsia" w:ascii="宋体" w:hAnsi="宋体" w:cs="宋体"/>
                      <w:szCs w:val="21"/>
                    </w:rPr>
                  </w:pPr>
                  <w:r>
                    <w:t>城镇污水处理厂、纺织工业、化学工业、造纸工业、钢铁工业、电镀工业和食品工业的污水处理设施执行《太湖地区城镇污水处理厂及重点工业行业主要水污染物排放限值》。</w:t>
                  </w:r>
                </w:p>
              </w:tc>
              <w:tc>
                <w:tcPr>
                  <w:tcW w:w="2302" w:type="dxa"/>
                  <w:noWrap w:val="0"/>
                  <w:vAlign w:val="center"/>
                </w:tcPr>
                <w:p>
                  <w:pPr>
                    <w:jc w:val="center"/>
                    <w:rPr>
                      <w:rFonts w:ascii="宋体" w:hAnsi="宋体" w:cs="宋体"/>
                      <w:szCs w:val="21"/>
                    </w:rPr>
                  </w:pPr>
                  <w:r>
                    <w:t>本项目为热力生产和供应行业，不属于上述行业。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9" w:type="dxa"/>
                  <w:noWrap w:val="0"/>
                  <w:vAlign w:val="center"/>
                </w:tcPr>
                <w:p>
                  <w:pPr>
                    <w:jc w:val="center"/>
                    <w:rPr>
                      <w:rFonts w:hint="eastAsia" w:ascii="宋体" w:hAnsi="宋体" w:cs="宋体"/>
                      <w:szCs w:val="21"/>
                    </w:rPr>
                  </w:pPr>
                  <w:r>
                    <w:t>环境风险防控</w:t>
                  </w:r>
                </w:p>
              </w:tc>
              <w:tc>
                <w:tcPr>
                  <w:tcW w:w="4810" w:type="dxa"/>
                  <w:noWrap w:val="0"/>
                  <w:vAlign w:val="center"/>
                </w:tcPr>
                <w:p>
                  <w:pPr>
                    <w:ind w:firstLine="420" w:firstLineChars="200"/>
                  </w:pPr>
                  <w:r>
                    <w:t>1、运输剧毒物质、危险化学品的船舶不得进入太湖。</w:t>
                  </w:r>
                </w:p>
                <w:p>
                  <w:pPr>
                    <w:ind w:firstLine="420" w:firstLineChars="200"/>
                  </w:pPr>
                  <w:r>
                    <w:t>2、禁止向太湖流域水体排放或者倾倒油类、酸液、碱液、剧毒废渣废液、含放射性废渣废液、含病原体污水、工业废渣以及其他废弃物。</w:t>
                  </w:r>
                </w:p>
                <w:p>
                  <w:pPr>
                    <w:ind w:firstLine="420" w:firstLineChars="200"/>
                    <w:rPr>
                      <w:rFonts w:ascii="宋体" w:hAnsi="宋体" w:cs="宋体"/>
                      <w:szCs w:val="21"/>
                    </w:rPr>
                  </w:pPr>
                  <w:r>
                    <w:t>3、加强太湖流域生态环境风险应急管控，着力提高防控太湖蓝藻水华风险预警和应急处置能力。</w:t>
                  </w:r>
                </w:p>
              </w:tc>
              <w:tc>
                <w:tcPr>
                  <w:tcW w:w="2302" w:type="dxa"/>
                  <w:noWrap w:val="0"/>
                  <w:vAlign w:val="center"/>
                </w:tcPr>
                <w:p>
                  <w:pPr>
                    <w:jc w:val="center"/>
                    <w:rPr>
                      <w:rFonts w:ascii="宋体" w:hAnsi="宋体" w:cs="宋体"/>
                      <w:szCs w:val="21"/>
                    </w:rPr>
                  </w:pPr>
                  <w:r>
                    <w:rPr>
                      <w:rFonts w:eastAsia="宋体"/>
                    </w:rPr>
                    <w:t>本项目不涉及船舶运输；本项目无废水产生及排放符合相关管控要求。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9" w:type="dxa"/>
                  <w:noWrap w:val="0"/>
                  <w:vAlign w:val="center"/>
                </w:tcPr>
                <w:p>
                  <w:pPr>
                    <w:jc w:val="center"/>
                    <w:rPr>
                      <w:rFonts w:hint="eastAsia" w:ascii="宋体" w:hAnsi="宋体" w:cs="宋体"/>
                      <w:szCs w:val="21"/>
                    </w:rPr>
                  </w:pPr>
                  <w:r>
                    <w:t>资源利用效率要求</w:t>
                  </w:r>
                </w:p>
              </w:tc>
              <w:tc>
                <w:tcPr>
                  <w:tcW w:w="4810" w:type="dxa"/>
                  <w:noWrap w:val="0"/>
                  <w:vAlign w:val="center"/>
                </w:tcPr>
                <w:p>
                  <w:pPr>
                    <w:ind w:firstLine="420" w:firstLineChars="200"/>
                  </w:pPr>
                  <w:r>
                    <w:t>1、太湖流域加强水资源配置与调度，优先满足居民生活用水，兼顾生产、生态用水以及航运等需要。</w:t>
                  </w:r>
                </w:p>
                <w:p>
                  <w:pPr>
                    <w:ind w:firstLine="420" w:firstLineChars="200"/>
                    <w:rPr>
                      <w:rFonts w:hint="eastAsia" w:ascii="宋体" w:hAnsi="宋体" w:cs="宋体"/>
                      <w:szCs w:val="21"/>
                    </w:rPr>
                  </w:pPr>
                  <w:r>
                    <w:t>2、2020年底前，太湖流域所有省级以上开发区开展园区循环化改造。</w:t>
                  </w:r>
                </w:p>
              </w:tc>
              <w:tc>
                <w:tcPr>
                  <w:tcW w:w="2302" w:type="dxa"/>
                  <w:noWrap w:val="0"/>
                  <w:vAlign w:val="center"/>
                </w:tcPr>
                <w:p>
                  <w:pPr>
                    <w:jc w:val="center"/>
                    <w:rPr>
                      <w:rFonts w:hint="default" w:ascii="宋体" w:hAnsi="宋体" w:eastAsia="宋体" w:cs="宋体"/>
                      <w:szCs w:val="21"/>
                      <w:lang w:val="en-US" w:eastAsia="zh-CN"/>
                    </w:rPr>
                  </w:pPr>
                  <w:r>
                    <w:rPr>
                      <w:rFonts w:hint="eastAsia"/>
                      <w:lang w:val="en-US" w:eastAsia="zh-CN"/>
                    </w:rPr>
                    <w:t>本项目不涉及</w:t>
                  </w:r>
                </w:p>
              </w:tc>
            </w:tr>
          </w:tbl>
          <w:p>
            <w:pPr>
              <w:autoSpaceDE w:val="0"/>
              <w:autoSpaceDN w:val="0"/>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（3）《关于印发常州市“三线一单”生态环境分区管控实施方案的通知》（常环〔2020〕95号）相符性分析：</w:t>
            </w:r>
          </w:p>
          <w:p>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根据《关于印发常州市“三线一单”生态环境分区管控实施方案的通知》（常环〔2020〕95号）要求，本项目位于常州市武进区礼嘉镇工业集中区，属于</w:t>
            </w:r>
            <w:r>
              <w:rPr>
                <w:rFonts w:hint="eastAsia" w:ascii="宋体" w:hAnsi="宋体" w:cs="宋体"/>
                <w:sz w:val="24"/>
                <w:lang w:val="en-US" w:eastAsia="zh-CN"/>
              </w:rPr>
              <w:t>重点</w:t>
            </w:r>
            <w:r>
              <w:rPr>
                <w:rFonts w:hint="eastAsia" w:ascii="宋体" w:hAnsi="宋体" w:cs="宋体"/>
                <w:sz w:val="24"/>
              </w:rPr>
              <w:t>管控单元，其重点管控要求与本项目的相符性分析见下表。</w:t>
            </w:r>
          </w:p>
          <w:p>
            <w:pPr>
              <w:autoSpaceDE w:val="0"/>
              <w:autoSpaceDN w:val="0"/>
              <w:snapToGrid w:val="0"/>
              <w:ind w:firstLine="361" w:firstLineChars="150"/>
              <w:jc w:val="center"/>
              <w:rPr>
                <w:rFonts w:hint="eastAsia" w:ascii="宋体" w:hAnsi="宋体" w:cs="宋体"/>
                <w:b/>
                <w:bCs/>
                <w:sz w:val="24"/>
              </w:rPr>
            </w:pPr>
            <w:r>
              <w:rPr>
                <w:rFonts w:hint="eastAsia" w:ascii="宋体" w:hAnsi="宋体" w:cs="宋体"/>
                <w:b/>
                <w:bCs/>
                <w:sz w:val="24"/>
              </w:rPr>
              <w:t>表1-</w:t>
            </w:r>
            <w:r>
              <w:rPr>
                <w:rFonts w:hint="eastAsia" w:ascii="宋体" w:hAnsi="宋体" w:cs="宋体"/>
                <w:b/>
                <w:bCs/>
                <w:sz w:val="24"/>
                <w:lang w:val="en-US" w:eastAsia="zh-CN"/>
              </w:rPr>
              <w:t>4</w:t>
            </w:r>
            <w:r>
              <w:rPr>
                <w:rFonts w:hint="eastAsia" w:ascii="宋体" w:hAnsi="宋体" w:cs="宋体"/>
                <w:b/>
                <w:bCs/>
                <w:sz w:val="24"/>
              </w:rPr>
              <w:t xml:space="preserve">  本项目与常州市“三线一单”相符性分析</w:t>
            </w:r>
          </w:p>
          <w:tbl>
            <w:tblPr>
              <w:tblStyle w:val="21"/>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427"/>
              <w:gridCol w:w="834"/>
              <w:gridCol w:w="4236"/>
              <w:gridCol w:w="180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0" w:type="pct"/>
                  <w:noWrap w:val="0"/>
                  <w:vAlign w:val="center"/>
                </w:tcPr>
                <w:p>
                  <w:pPr>
                    <w:autoSpaceDE w:val="0"/>
                    <w:autoSpaceDN w:val="0"/>
                    <w:snapToGrid w:val="0"/>
                    <w:jc w:val="center"/>
                    <w:rPr>
                      <w:rFonts w:hint="eastAsia" w:ascii="宋体" w:hAnsi="宋体" w:cs="宋体"/>
                      <w:b/>
                      <w:bCs/>
                      <w:sz w:val="21"/>
                      <w:szCs w:val="21"/>
                    </w:rPr>
                  </w:pPr>
                  <w:r>
                    <w:rPr>
                      <w:rFonts w:hint="eastAsia" w:ascii="宋体" w:hAnsi="宋体" w:cs="宋体"/>
                      <w:b/>
                      <w:bCs/>
                      <w:sz w:val="21"/>
                      <w:szCs w:val="21"/>
                    </w:rPr>
                    <w:t>环境管控单元名称</w:t>
                  </w:r>
                </w:p>
              </w:tc>
              <w:tc>
                <w:tcPr>
                  <w:tcW w:w="227" w:type="pct"/>
                  <w:noWrap w:val="0"/>
                  <w:vAlign w:val="center"/>
                </w:tcPr>
                <w:p>
                  <w:pPr>
                    <w:autoSpaceDE w:val="0"/>
                    <w:autoSpaceDN w:val="0"/>
                    <w:snapToGrid w:val="0"/>
                    <w:jc w:val="center"/>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类型</w:t>
                  </w:r>
                </w:p>
              </w:tc>
              <w:tc>
                <w:tcPr>
                  <w:tcW w:w="527" w:type="pct"/>
                  <w:noWrap w:val="0"/>
                  <w:vAlign w:val="center"/>
                </w:tcPr>
                <w:p>
                  <w:pPr>
                    <w:autoSpaceDE w:val="0"/>
                    <w:autoSpaceDN w:val="0"/>
                    <w:snapToGrid w:val="0"/>
                    <w:jc w:val="center"/>
                    <w:rPr>
                      <w:rFonts w:hint="eastAsia" w:ascii="宋体" w:hAnsi="宋体" w:cs="宋体"/>
                      <w:b/>
                      <w:bCs/>
                      <w:sz w:val="21"/>
                      <w:szCs w:val="21"/>
                    </w:rPr>
                  </w:pPr>
                  <w:r>
                    <w:rPr>
                      <w:rFonts w:ascii="宋体" w:hAnsi="宋体" w:cs="Times New Roman"/>
                      <w:b/>
                      <w:bCs/>
                      <w:color w:val="000000"/>
                      <w:kern w:val="0"/>
                      <w:sz w:val="21"/>
                      <w:szCs w:val="21"/>
                    </w:rPr>
                    <w:t>生态环境准入清单</w:t>
                  </w:r>
                </w:p>
              </w:tc>
              <w:tc>
                <w:tcPr>
                  <w:tcW w:w="2636" w:type="pct"/>
                  <w:noWrap w:val="0"/>
                  <w:vAlign w:val="center"/>
                </w:tcPr>
                <w:p>
                  <w:pPr>
                    <w:autoSpaceDE w:val="0"/>
                    <w:autoSpaceDN w:val="0"/>
                    <w:snapToGrid w:val="0"/>
                    <w:jc w:val="center"/>
                    <w:rPr>
                      <w:rFonts w:hint="eastAsia" w:ascii="宋体" w:hAnsi="宋体" w:cs="宋体"/>
                      <w:b/>
                      <w:bCs/>
                      <w:sz w:val="21"/>
                      <w:szCs w:val="21"/>
                    </w:rPr>
                  </w:pPr>
                  <w:r>
                    <w:rPr>
                      <w:rFonts w:hint="eastAsia" w:ascii="宋体" w:hAnsi="宋体" w:cs="宋体"/>
                      <w:b/>
                      <w:bCs/>
                      <w:sz w:val="21"/>
                      <w:szCs w:val="21"/>
                    </w:rPr>
                    <w:t>对照简析</w:t>
                  </w:r>
                </w:p>
              </w:tc>
              <w:tc>
                <w:tcPr>
                  <w:tcW w:w="1129" w:type="pct"/>
                  <w:noWrap w:val="0"/>
                  <w:vAlign w:val="center"/>
                </w:tcPr>
                <w:p>
                  <w:pPr>
                    <w:autoSpaceDE w:val="0"/>
                    <w:autoSpaceDN w:val="0"/>
                    <w:snapToGrid w:val="0"/>
                    <w:jc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相符性分析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480" w:type="pct"/>
                  <w:vMerge w:val="restart"/>
                  <w:noWrap w:val="0"/>
                  <w:vAlign w:val="center"/>
                </w:tcPr>
                <w:p>
                  <w:pPr>
                    <w:autoSpaceDE w:val="0"/>
                    <w:autoSpaceDN w:val="0"/>
                    <w:snapToGrid w:val="0"/>
                    <w:jc w:val="center"/>
                    <w:rPr>
                      <w:rFonts w:hint="eastAsia" w:ascii="宋体" w:hAnsi="宋体" w:cs="宋体"/>
                      <w:sz w:val="21"/>
                      <w:szCs w:val="21"/>
                    </w:rPr>
                  </w:pPr>
                  <w:r>
                    <w:rPr>
                      <w:rFonts w:ascii="宋体" w:hAnsi="宋体" w:cs="Times New Roman"/>
                      <w:color w:val="000000"/>
                      <w:kern w:val="0"/>
                      <w:sz w:val="21"/>
                      <w:szCs w:val="21"/>
                    </w:rPr>
                    <w:t>礼嘉镇重点发展工业集中区</w:t>
                  </w:r>
                </w:p>
              </w:tc>
              <w:tc>
                <w:tcPr>
                  <w:tcW w:w="227" w:type="pct"/>
                  <w:vMerge w:val="restart"/>
                  <w:noWrap w:val="0"/>
                  <w:vAlign w:val="center"/>
                </w:tcPr>
                <w:p>
                  <w:pPr>
                    <w:autoSpaceDE w:val="0"/>
                    <w:autoSpaceDN w:val="0"/>
                    <w:snapToGrid w:val="0"/>
                    <w:jc w:val="center"/>
                    <w:rPr>
                      <w:rFonts w:hint="eastAsia" w:ascii="宋体" w:hAnsi="宋体" w:eastAsia="宋体" w:cs="Times New Roman"/>
                      <w:color w:val="000000"/>
                      <w:kern w:val="0"/>
                      <w:sz w:val="21"/>
                      <w:szCs w:val="21"/>
                      <w:lang w:val="en-US" w:eastAsia="zh-CN"/>
                    </w:rPr>
                  </w:pPr>
                  <w:r>
                    <w:rPr>
                      <w:rFonts w:hint="eastAsia" w:ascii="宋体" w:hAnsi="宋体" w:cs="Times New Roman"/>
                      <w:color w:val="000000"/>
                      <w:kern w:val="0"/>
                      <w:sz w:val="21"/>
                      <w:szCs w:val="21"/>
                      <w:lang w:val="en-US" w:eastAsia="zh-CN"/>
                    </w:rPr>
                    <w:t>园区</w:t>
                  </w:r>
                </w:p>
              </w:tc>
              <w:tc>
                <w:tcPr>
                  <w:tcW w:w="527" w:type="pct"/>
                  <w:noWrap w:val="0"/>
                  <w:vAlign w:val="center"/>
                </w:tcPr>
                <w:p>
                  <w:pPr>
                    <w:autoSpaceDE w:val="0"/>
                    <w:autoSpaceDN w:val="0"/>
                    <w:snapToGrid w:val="0"/>
                    <w:jc w:val="center"/>
                    <w:rPr>
                      <w:rFonts w:hint="eastAsia" w:ascii="宋体" w:hAnsi="宋体" w:cs="宋体"/>
                      <w:sz w:val="21"/>
                      <w:szCs w:val="21"/>
                    </w:rPr>
                  </w:pPr>
                  <w:r>
                    <w:rPr>
                      <w:rFonts w:hint="eastAsia" w:ascii="宋体" w:hAnsi="宋体" w:cs="宋体"/>
                      <w:sz w:val="21"/>
                      <w:szCs w:val="21"/>
                    </w:rPr>
                    <w:t>空间布局约束</w:t>
                  </w:r>
                </w:p>
              </w:tc>
              <w:tc>
                <w:tcPr>
                  <w:tcW w:w="2636" w:type="pct"/>
                  <w:noWrap w:val="0"/>
                  <w:vAlign w:val="center"/>
                </w:tcPr>
                <w:p>
                  <w:pPr>
                    <w:autoSpaceDE w:val="0"/>
                    <w:autoSpaceDN w:val="0"/>
                    <w:snapToGrid w:val="0"/>
                    <w:jc w:val="left"/>
                    <w:rPr>
                      <w:rFonts w:hint="eastAsia" w:ascii="宋体" w:hAnsi="宋体" w:cs="宋体"/>
                      <w:sz w:val="21"/>
                      <w:szCs w:val="21"/>
                    </w:rPr>
                  </w:pPr>
                  <w:r>
                    <w:rPr>
                      <w:rFonts w:ascii="宋体" w:hAnsi="宋体" w:cs="Times New Roman"/>
                      <w:color w:val="000000"/>
                      <w:kern w:val="0"/>
                      <w:sz w:val="21"/>
                      <w:szCs w:val="21"/>
                    </w:rPr>
                    <w:t>（1）各类开发建设活动应符合常州市总体规划、控制性详细规划、土地利用规划等相关要求。</w:t>
                  </w:r>
                  <w:r>
                    <w:rPr>
                      <w:rFonts w:ascii="宋体" w:hAnsi="宋体" w:cs="Times New Roman"/>
                      <w:color w:val="000000"/>
                      <w:kern w:val="0"/>
                      <w:sz w:val="21"/>
                      <w:szCs w:val="21"/>
                    </w:rPr>
                    <w:br w:type="textWrapping"/>
                  </w:r>
                  <w:r>
                    <w:rPr>
                      <w:rFonts w:ascii="宋体" w:hAnsi="宋体" w:cs="Times New Roman"/>
                      <w:color w:val="000000"/>
                      <w:kern w:val="0"/>
                      <w:sz w:val="21"/>
                      <w:szCs w:val="21"/>
                    </w:rPr>
                    <w:t>（2）优化产业布局和结构，实施分区差别化的产业准入要求。</w:t>
                  </w:r>
                  <w:r>
                    <w:rPr>
                      <w:rFonts w:ascii="宋体" w:hAnsi="宋体" w:cs="Times New Roman"/>
                      <w:color w:val="000000"/>
                      <w:kern w:val="0"/>
                      <w:sz w:val="21"/>
                      <w:szCs w:val="21"/>
                    </w:rPr>
                    <w:br w:type="textWrapping"/>
                  </w:r>
                  <w:r>
                    <w:rPr>
                      <w:rFonts w:ascii="宋体" w:hAnsi="宋体" w:cs="Times New Roman"/>
                      <w:color w:val="000000"/>
                      <w:kern w:val="0"/>
                      <w:sz w:val="21"/>
                      <w:szCs w:val="21"/>
                    </w:rPr>
                    <w:t>（3）合理规划居住区与园区，在居住区和园区、企业之间设置防护绿地、生态绿地等隔离带。</w:t>
                  </w:r>
                </w:p>
              </w:tc>
              <w:tc>
                <w:tcPr>
                  <w:tcW w:w="1129" w:type="pct"/>
                  <w:noWrap w:val="0"/>
                  <w:vAlign w:val="center"/>
                </w:tcPr>
                <w:p>
                  <w:pPr>
                    <w:autoSpaceDE w:val="0"/>
                    <w:autoSpaceDN w:val="0"/>
                    <w:snapToGrid w:val="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本项目位于礼嘉镇工业集中区，符合</w:t>
                  </w:r>
                  <w:r>
                    <w:rPr>
                      <w:rFonts w:ascii="宋体" w:hAnsi="宋体" w:cs="Times New Roman"/>
                      <w:color w:val="000000"/>
                      <w:kern w:val="0"/>
                      <w:sz w:val="21"/>
                      <w:szCs w:val="21"/>
                    </w:rPr>
                    <w:t>常州市总体规划、控制性详细规划、土地利用规划</w:t>
                  </w:r>
                  <w:r>
                    <w:rPr>
                      <w:rFonts w:hint="eastAsia" w:ascii="宋体" w:hAnsi="宋体" w:cs="Times New Roman"/>
                      <w:color w:val="000000"/>
                      <w:kern w:val="0"/>
                      <w:sz w:val="21"/>
                      <w:szCs w:val="21"/>
                      <w:lang w:val="en-US" w:eastAsia="zh-CN"/>
                    </w:rPr>
                    <w:t>等要求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480" w:type="pct"/>
                  <w:vMerge w:val="continue"/>
                  <w:noWrap w:val="0"/>
                  <w:vAlign w:val="center"/>
                </w:tcPr>
                <w:p>
                  <w:pPr>
                    <w:autoSpaceDE w:val="0"/>
                    <w:autoSpaceDN w:val="0"/>
                    <w:snapToGrid w:val="0"/>
                    <w:ind w:firstLine="420" w:firstLineChars="200"/>
                    <w:jc w:val="center"/>
                    <w:rPr>
                      <w:rFonts w:hint="eastAsia" w:ascii="宋体" w:hAnsi="宋体" w:cs="宋体"/>
                      <w:sz w:val="21"/>
                      <w:szCs w:val="21"/>
                    </w:rPr>
                  </w:pPr>
                </w:p>
              </w:tc>
              <w:tc>
                <w:tcPr>
                  <w:tcW w:w="227" w:type="pct"/>
                  <w:vMerge w:val="continue"/>
                  <w:noWrap w:val="0"/>
                  <w:vAlign w:val="center"/>
                </w:tcPr>
                <w:p>
                  <w:pPr>
                    <w:autoSpaceDE w:val="0"/>
                    <w:autoSpaceDN w:val="0"/>
                    <w:snapToGrid w:val="0"/>
                    <w:ind w:firstLine="420" w:firstLineChars="200"/>
                    <w:jc w:val="center"/>
                    <w:rPr>
                      <w:rFonts w:hint="eastAsia" w:ascii="宋体" w:hAnsi="宋体" w:cs="宋体"/>
                      <w:sz w:val="21"/>
                      <w:szCs w:val="21"/>
                    </w:rPr>
                  </w:pPr>
                </w:p>
              </w:tc>
              <w:tc>
                <w:tcPr>
                  <w:tcW w:w="527" w:type="pct"/>
                  <w:noWrap w:val="0"/>
                  <w:vAlign w:val="center"/>
                </w:tcPr>
                <w:p>
                  <w:pPr>
                    <w:autoSpaceDE w:val="0"/>
                    <w:autoSpaceDN w:val="0"/>
                    <w:snapToGrid w:val="0"/>
                    <w:jc w:val="center"/>
                    <w:rPr>
                      <w:rFonts w:hint="eastAsia" w:ascii="宋体" w:hAnsi="宋体" w:cs="宋体"/>
                      <w:sz w:val="21"/>
                      <w:szCs w:val="21"/>
                    </w:rPr>
                  </w:pPr>
                  <w:r>
                    <w:rPr>
                      <w:rFonts w:hint="eastAsia" w:ascii="宋体" w:hAnsi="宋体" w:cs="宋体"/>
                      <w:sz w:val="21"/>
                      <w:szCs w:val="21"/>
                    </w:rPr>
                    <w:t>污染物排放管控</w:t>
                  </w:r>
                </w:p>
              </w:tc>
              <w:tc>
                <w:tcPr>
                  <w:tcW w:w="2636" w:type="pct"/>
                  <w:noWrap w:val="0"/>
                  <w:vAlign w:val="center"/>
                </w:tcPr>
                <w:p>
                  <w:pPr>
                    <w:autoSpaceDE w:val="0"/>
                    <w:autoSpaceDN w:val="0"/>
                    <w:snapToGrid w:val="0"/>
                    <w:jc w:val="left"/>
                    <w:rPr>
                      <w:rFonts w:hint="eastAsia" w:ascii="宋体" w:hAnsi="宋体" w:cs="宋体"/>
                      <w:sz w:val="21"/>
                      <w:szCs w:val="21"/>
                    </w:rPr>
                  </w:pPr>
                  <w:r>
                    <w:rPr>
                      <w:rFonts w:ascii="宋体" w:hAnsi="宋体" w:cs="Times New Roman"/>
                      <w:color w:val="000000"/>
                      <w:kern w:val="0"/>
                      <w:sz w:val="21"/>
                      <w:szCs w:val="21"/>
                    </w:rPr>
                    <w:t>严格实施污染物总量控制制度，根据区域环境质量改善目标，采取有效措施减少主要污染物排放总量，确保区域环境质量持续改善。</w:t>
                  </w:r>
                </w:p>
              </w:tc>
              <w:tc>
                <w:tcPr>
                  <w:tcW w:w="1129" w:type="pct"/>
                  <w:noWrap w:val="0"/>
                  <w:vAlign w:val="center"/>
                </w:tcPr>
                <w:p>
                  <w:pPr>
                    <w:autoSpaceDE w:val="0"/>
                    <w:autoSpaceDN w:val="0"/>
                    <w:snapToGrid w:val="0"/>
                    <w:jc w:val="center"/>
                    <w:rPr>
                      <w:rFonts w:hint="default" w:ascii="宋体" w:hAnsi="宋体" w:eastAsia="宋体" w:cs="宋体"/>
                      <w:sz w:val="21"/>
                      <w:szCs w:val="21"/>
                      <w:lang w:val="en-US" w:eastAsia="zh-CN"/>
                    </w:rPr>
                  </w:pPr>
                  <w:r>
                    <w:rPr>
                      <w:rFonts w:hint="eastAsia" w:ascii="宋体" w:hAnsi="宋体" w:cs="Times New Roman"/>
                      <w:color w:val="000000"/>
                      <w:kern w:val="0"/>
                      <w:sz w:val="21"/>
                      <w:szCs w:val="21"/>
                      <w:lang w:val="en-US" w:eastAsia="zh-CN"/>
                    </w:rPr>
                    <w:t>本项目</w:t>
                  </w:r>
                  <w:r>
                    <w:rPr>
                      <w:rFonts w:ascii="宋体" w:hAnsi="宋体" w:cs="Times New Roman"/>
                      <w:color w:val="000000"/>
                      <w:kern w:val="0"/>
                      <w:sz w:val="21"/>
                      <w:szCs w:val="21"/>
                    </w:rPr>
                    <w:t>严格实施污染物总量控制制度</w:t>
                  </w:r>
                  <w:r>
                    <w:rPr>
                      <w:rFonts w:hint="eastAsia" w:ascii="宋体" w:hAnsi="宋体" w:cs="Times New Roman"/>
                      <w:color w:val="000000"/>
                      <w:kern w:val="0"/>
                      <w:sz w:val="21"/>
                      <w:szCs w:val="21"/>
                      <w:lang w:eastAsia="zh-CN"/>
                    </w:rPr>
                    <w:t>，</w:t>
                  </w:r>
                  <w:r>
                    <w:rPr>
                      <w:rFonts w:hint="eastAsia" w:ascii="宋体" w:hAnsi="宋体" w:cs="Times New Roman"/>
                      <w:color w:val="000000"/>
                      <w:kern w:val="0"/>
                      <w:sz w:val="21"/>
                      <w:szCs w:val="21"/>
                      <w:lang w:val="en-US" w:eastAsia="zh-CN"/>
                    </w:rPr>
                    <w:t>燃气锅炉配套了低氮燃烧器，可</w:t>
                  </w:r>
                  <w:r>
                    <w:rPr>
                      <w:rFonts w:ascii="宋体" w:hAnsi="宋体" w:cs="Times New Roman"/>
                      <w:color w:val="000000"/>
                      <w:kern w:val="0"/>
                      <w:sz w:val="21"/>
                      <w:szCs w:val="21"/>
                    </w:rPr>
                    <w:t>有效减少主要污染物排放总量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80" w:type="pct"/>
                  <w:vMerge w:val="continue"/>
                  <w:noWrap w:val="0"/>
                  <w:vAlign w:val="center"/>
                </w:tcPr>
                <w:p>
                  <w:pPr>
                    <w:autoSpaceDE w:val="0"/>
                    <w:autoSpaceDN w:val="0"/>
                    <w:snapToGrid w:val="0"/>
                    <w:ind w:firstLine="420" w:firstLineChars="200"/>
                    <w:jc w:val="center"/>
                    <w:rPr>
                      <w:rFonts w:hint="eastAsia" w:ascii="宋体" w:hAnsi="宋体" w:cs="宋体"/>
                      <w:sz w:val="21"/>
                      <w:szCs w:val="21"/>
                    </w:rPr>
                  </w:pPr>
                </w:p>
              </w:tc>
              <w:tc>
                <w:tcPr>
                  <w:tcW w:w="227" w:type="pct"/>
                  <w:vMerge w:val="continue"/>
                  <w:noWrap w:val="0"/>
                  <w:vAlign w:val="center"/>
                </w:tcPr>
                <w:p>
                  <w:pPr>
                    <w:autoSpaceDE w:val="0"/>
                    <w:autoSpaceDN w:val="0"/>
                    <w:snapToGrid w:val="0"/>
                    <w:ind w:firstLine="420" w:firstLineChars="200"/>
                    <w:jc w:val="center"/>
                    <w:rPr>
                      <w:rFonts w:hint="eastAsia" w:ascii="宋体" w:hAnsi="宋体" w:cs="宋体"/>
                      <w:sz w:val="21"/>
                      <w:szCs w:val="21"/>
                    </w:rPr>
                  </w:pPr>
                </w:p>
              </w:tc>
              <w:tc>
                <w:tcPr>
                  <w:tcW w:w="527" w:type="pct"/>
                  <w:noWrap w:val="0"/>
                  <w:vAlign w:val="center"/>
                </w:tcPr>
                <w:p>
                  <w:pPr>
                    <w:autoSpaceDE w:val="0"/>
                    <w:autoSpaceDN w:val="0"/>
                    <w:snapToGrid w:val="0"/>
                    <w:jc w:val="center"/>
                    <w:rPr>
                      <w:rFonts w:hint="eastAsia" w:ascii="宋体" w:hAnsi="宋体" w:cs="宋体"/>
                      <w:sz w:val="21"/>
                      <w:szCs w:val="21"/>
                    </w:rPr>
                  </w:pPr>
                  <w:r>
                    <w:rPr>
                      <w:rFonts w:hint="eastAsia" w:ascii="宋体" w:hAnsi="宋体" w:cs="宋体"/>
                      <w:sz w:val="21"/>
                      <w:szCs w:val="21"/>
                    </w:rPr>
                    <w:t>环境风险防控</w:t>
                  </w:r>
                </w:p>
              </w:tc>
              <w:tc>
                <w:tcPr>
                  <w:tcW w:w="2636" w:type="pct"/>
                  <w:noWrap w:val="0"/>
                  <w:vAlign w:val="center"/>
                </w:tcPr>
                <w:p>
                  <w:pPr>
                    <w:autoSpaceDE w:val="0"/>
                    <w:autoSpaceDN w:val="0"/>
                    <w:snapToGrid w:val="0"/>
                    <w:jc w:val="left"/>
                    <w:rPr>
                      <w:rFonts w:hint="eastAsia" w:ascii="宋体" w:hAnsi="宋体" w:cs="宋体"/>
                      <w:sz w:val="21"/>
                      <w:szCs w:val="21"/>
                    </w:rPr>
                  </w:pPr>
                  <w:r>
                    <w:rPr>
                      <w:rFonts w:ascii="宋体" w:hAnsi="宋体" w:cs="Times New Roman"/>
                      <w:color w:val="000000"/>
                      <w:kern w:val="0"/>
                      <w:sz w:val="21"/>
                      <w:szCs w:val="21"/>
                    </w:rPr>
                    <w:t>（1）园区建立环境应急体系，完善事故应急救援体系，加强应急物资装备储备，编制突发环境事件应急预案，定期开展演练。</w:t>
                  </w:r>
                  <w:r>
                    <w:rPr>
                      <w:rFonts w:ascii="宋体" w:hAnsi="宋体" w:cs="Times New Roman"/>
                      <w:color w:val="000000"/>
                      <w:kern w:val="0"/>
                      <w:sz w:val="21"/>
                      <w:szCs w:val="21"/>
                    </w:rPr>
                    <w:br w:type="textWrapping"/>
                  </w:r>
                  <w:r>
                    <w:rPr>
                      <w:rFonts w:ascii="宋体" w:hAnsi="宋体" w:cs="Times New Roman"/>
                      <w:color w:val="000000"/>
                      <w:kern w:val="0"/>
                      <w:sz w:val="21"/>
                      <w:szCs w:val="21"/>
                    </w:rPr>
                    <w:t>（2）生产、使用、储存危险化学品或其他存在环境风险的企事业单位，应当制定风险防范措施，编制完善突发环境事件应急预案，防止发生环境污染事故。</w:t>
                  </w:r>
                  <w:r>
                    <w:rPr>
                      <w:rFonts w:ascii="宋体" w:hAnsi="宋体" w:cs="Times New Roman"/>
                      <w:color w:val="000000"/>
                      <w:kern w:val="0"/>
                      <w:sz w:val="21"/>
                      <w:szCs w:val="21"/>
                    </w:rPr>
                    <w:br w:type="textWrapping"/>
                  </w:r>
                  <w:r>
                    <w:rPr>
                      <w:rFonts w:ascii="宋体" w:hAnsi="宋体" w:cs="Times New Roman"/>
                      <w:color w:val="000000"/>
                      <w:kern w:val="0"/>
                      <w:sz w:val="21"/>
                      <w:szCs w:val="21"/>
                    </w:rPr>
                    <w:t>（3）加强环境影响跟踪监测，建立健全各环境要素监控体系，完善并落实园区日常环境监测与污染源监控计划。</w:t>
                  </w:r>
                </w:p>
              </w:tc>
              <w:tc>
                <w:tcPr>
                  <w:tcW w:w="1129" w:type="pct"/>
                  <w:noWrap w:val="0"/>
                  <w:vAlign w:val="center"/>
                </w:tcPr>
                <w:p>
                  <w:pPr>
                    <w:autoSpaceDE w:val="0"/>
                    <w:autoSpaceDN w:val="0"/>
                    <w:snapToGrid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企业已编制生产安全事故应急救援预案及突发环境事件应急预案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480" w:type="pct"/>
                  <w:vMerge w:val="continue"/>
                  <w:noWrap w:val="0"/>
                  <w:vAlign w:val="center"/>
                </w:tcPr>
                <w:p>
                  <w:pPr>
                    <w:autoSpaceDE w:val="0"/>
                    <w:autoSpaceDN w:val="0"/>
                    <w:snapToGrid w:val="0"/>
                    <w:ind w:firstLine="420" w:firstLineChars="200"/>
                    <w:jc w:val="center"/>
                    <w:rPr>
                      <w:rFonts w:hint="eastAsia" w:ascii="宋体" w:hAnsi="宋体" w:cs="宋体"/>
                      <w:sz w:val="21"/>
                      <w:szCs w:val="21"/>
                    </w:rPr>
                  </w:pPr>
                </w:p>
              </w:tc>
              <w:tc>
                <w:tcPr>
                  <w:tcW w:w="227" w:type="pct"/>
                  <w:vMerge w:val="continue"/>
                  <w:noWrap w:val="0"/>
                  <w:vAlign w:val="center"/>
                </w:tcPr>
                <w:p>
                  <w:pPr>
                    <w:autoSpaceDE w:val="0"/>
                    <w:autoSpaceDN w:val="0"/>
                    <w:snapToGrid w:val="0"/>
                    <w:ind w:firstLine="420" w:firstLineChars="200"/>
                    <w:jc w:val="center"/>
                    <w:rPr>
                      <w:rFonts w:hint="eastAsia" w:ascii="宋体" w:hAnsi="宋体" w:cs="宋体"/>
                      <w:sz w:val="21"/>
                      <w:szCs w:val="21"/>
                    </w:rPr>
                  </w:pPr>
                </w:p>
              </w:tc>
              <w:tc>
                <w:tcPr>
                  <w:tcW w:w="527" w:type="pct"/>
                  <w:noWrap w:val="0"/>
                  <w:vAlign w:val="center"/>
                </w:tcPr>
                <w:p>
                  <w:pPr>
                    <w:autoSpaceDE w:val="0"/>
                    <w:autoSpaceDN w:val="0"/>
                    <w:snapToGrid w:val="0"/>
                    <w:jc w:val="center"/>
                    <w:rPr>
                      <w:rFonts w:hint="eastAsia" w:ascii="宋体" w:hAnsi="宋体" w:cs="宋体"/>
                      <w:sz w:val="21"/>
                      <w:szCs w:val="21"/>
                    </w:rPr>
                  </w:pPr>
                  <w:r>
                    <w:rPr>
                      <w:rFonts w:hint="eastAsia" w:ascii="宋体" w:hAnsi="宋体" w:cs="宋体"/>
                      <w:sz w:val="21"/>
                      <w:szCs w:val="21"/>
                    </w:rPr>
                    <w:t>资源开发效率要求</w:t>
                  </w:r>
                </w:p>
              </w:tc>
              <w:tc>
                <w:tcPr>
                  <w:tcW w:w="2636" w:type="pct"/>
                  <w:noWrap w:val="0"/>
                  <w:vAlign w:val="center"/>
                </w:tcPr>
                <w:p>
                  <w:pPr>
                    <w:autoSpaceDE w:val="0"/>
                    <w:autoSpaceDN w:val="0"/>
                    <w:snapToGrid w:val="0"/>
                    <w:jc w:val="left"/>
                    <w:rPr>
                      <w:rFonts w:hint="eastAsia" w:ascii="宋体" w:hAnsi="宋体" w:cs="宋体"/>
                      <w:sz w:val="21"/>
                      <w:szCs w:val="21"/>
                    </w:rPr>
                  </w:pPr>
                  <w:r>
                    <w:rPr>
                      <w:rFonts w:ascii="宋体" w:hAnsi="宋体" w:cs="Times New Roman"/>
                      <w:color w:val="000000"/>
                      <w:kern w:val="0"/>
                      <w:sz w:val="21"/>
                      <w:szCs w:val="21"/>
                    </w:rPr>
                    <w:t>（1）大力倡导使用清洁能源。</w:t>
                  </w:r>
                  <w:r>
                    <w:rPr>
                      <w:rFonts w:ascii="宋体" w:hAnsi="宋体" w:cs="Times New Roman"/>
                      <w:color w:val="000000"/>
                      <w:kern w:val="0"/>
                      <w:sz w:val="21"/>
                      <w:szCs w:val="21"/>
                    </w:rPr>
                    <w:br w:type="textWrapping"/>
                  </w:r>
                  <w:r>
                    <w:rPr>
                      <w:rFonts w:ascii="宋体" w:hAnsi="宋体" w:cs="Times New Roman"/>
                      <w:color w:val="000000"/>
                      <w:kern w:val="0"/>
                      <w:sz w:val="21"/>
                      <w:szCs w:val="21"/>
                    </w:rPr>
                    <w:t>（2）提升废水资源化技术，提高水资源回用率。</w:t>
                  </w:r>
                  <w:r>
                    <w:rPr>
                      <w:rFonts w:ascii="宋体" w:hAnsi="宋体" w:cs="Times New Roman"/>
                      <w:color w:val="000000"/>
                      <w:kern w:val="0"/>
                      <w:sz w:val="21"/>
                      <w:szCs w:val="21"/>
                    </w:rPr>
                    <w:br w:type="textWrapping"/>
                  </w:r>
                  <w:r>
                    <w:rPr>
                      <w:rFonts w:ascii="宋体" w:hAnsi="宋体" w:cs="Times New Roman"/>
                      <w:color w:val="000000"/>
                      <w:kern w:val="0"/>
                      <w:sz w:val="21"/>
                      <w:szCs w:val="21"/>
                    </w:rPr>
                    <w:t>（3）禁燃区内禁止新建、扩建燃用高污染燃料的项目和设施，已建成的应逐步或依法限期改用天然气、电或者其他清洁能源。</w:t>
                  </w:r>
                </w:p>
              </w:tc>
              <w:tc>
                <w:tcPr>
                  <w:tcW w:w="1129" w:type="pct"/>
                  <w:noWrap w:val="0"/>
                  <w:vAlign w:val="center"/>
                </w:tcPr>
                <w:p>
                  <w:pPr>
                    <w:autoSpaceDE w:val="0"/>
                    <w:autoSpaceDN w:val="0"/>
                    <w:snapToGrid w:val="0"/>
                    <w:jc w:val="center"/>
                    <w:rPr>
                      <w:rFonts w:hint="default" w:ascii="宋体" w:hAnsi="宋体" w:eastAsia="宋体" w:cs="宋体"/>
                      <w:sz w:val="21"/>
                      <w:szCs w:val="21"/>
                      <w:lang w:val="en-US" w:eastAsia="zh-CN"/>
                    </w:rPr>
                  </w:pPr>
                  <w:r>
                    <w:rPr>
                      <w:color w:val="000000"/>
                      <w:kern w:val="0"/>
                      <w:sz w:val="21"/>
                      <w:szCs w:val="21"/>
                    </w:rPr>
                    <w:t>本项目使用天然气作为燃料，属清洁能源</w:t>
                  </w:r>
                  <w:r>
                    <w:rPr>
                      <w:rFonts w:hint="eastAsia"/>
                      <w:color w:val="000000"/>
                      <w:kern w:val="0"/>
                      <w:sz w:val="21"/>
                      <w:szCs w:val="21"/>
                      <w:lang w:eastAsia="zh-CN"/>
                    </w:rPr>
                    <w:t>；</w:t>
                  </w:r>
                  <w:r>
                    <w:rPr>
                      <w:rFonts w:hint="eastAsia"/>
                      <w:color w:val="000000"/>
                      <w:kern w:val="0"/>
                      <w:sz w:val="21"/>
                      <w:szCs w:val="21"/>
                      <w:lang w:val="en-US" w:eastAsia="zh-CN"/>
                    </w:rPr>
                    <w:t>无废水产生；本项目不在禁燃区规定范围内</w:t>
                  </w:r>
                </w:p>
              </w:tc>
            </w:tr>
          </w:tbl>
          <w:p>
            <w:pPr>
              <w:autoSpaceDE w:val="0"/>
              <w:autoSpaceDN w:val="0"/>
              <w:adjustRightInd w:val="0"/>
              <w:snapToGrid w:val="0"/>
              <w:spacing w:line="360" w:lineRule="auto"/>
              <w:ind w:firstLine="480" w:firstLineChars="200"/>
              <w:rPr>
                <w:b w:val="0"/>
                <w:bCs w:val="0"/>
                <w:sz w:val="24"/>
              </w:rPr>
            </w:pPr>
            <w:r>
              <w:rPr>
                <w:rFonts w:hint="eastAsia"/>
                <w:b w:val="0"/>
                <w:bCs w:val="0"/>
                <w:sz w:val="24"/>
                <w:lang w:val="en-US" w:eastAsia="zh-CN"/>
              </w:rPr>
              <w:t>综上</w:t>
            </w:r>
            <w:r>
              <w:rPr>
                <w:rFonts w:hint="eastAsia"/>
                <w:b w:val="0"/>
                <w:bCs w:val="0"/>
                <w:sz w:val="24"/>
              </w:rPr>
              <w:t>，本项目符合“三线一单”（即生态保护红线、环境质量底线、资源利用上线、环境准入负面清单）管理机制的要求。</w:t>
            </w:r>
          </w:p>
          <w:p>
            <w:pPr>
              <w:autoSpaceDE w:val="0"/>
              <w:autoSpaceDN w:val="0"/>
              <w:adjustRightInd w:val="0"/>
              <w:snapToGrid w:val="0"/>
              <w:spacing w:line="360" w:lineRule="auto"/>
              <w:rPr>
                <w:b/>
                <w:bCs/>
                <w:sz w:val="24"/>
              </w:rPr>
            </w:pPr>
            <w:r>
              <w:rPr>
                <w:b/>
                <w:bCs/>
                <w:sz w:val="24"/>
              </w:rPr>
              <w:t>2、与相关生态环境保护法律法规政策</w:t>
            </w:r>
          </w:p>
          <w:p>
            <w:pPr>
              <w:autoSpaceDE w:val="0"/>
              <w:autoSpaceDN w:val="0"/>
              <w:adjustRightInd w:val="0"/>
              <w:snapToGrid w:val="0"/>
              <w:spacing w:line="360" w:lineRule="auto"/>
              <w:ind w:firstLine="480" w:firstLineChars="200"/>
              <w:jc w:val="left"/>
              <w:rPr>
                <w:sz w:val="24"/>
              </w:rPr>
            </w:pPr>
            <w:r>
              <w:rPr>
                <w:sz w:val="24"/>
              </w:rPr>
              <w:t>（1）与《江苏省“两减六治三提升”专项行动实施方案》（苏政办发〔2017〕30号）相符性分析。</w:t>
            </w:r>
          </w:p>
          <w:p>
            <w:pPr>
              <w:pStyle w:val="8"/>
              <w:spacing w:after="0"/>
              <w:ind w:left="0" w:leftChars="0" w:right="0" w:rightChars="0"/>
              <w:jc w:val="center"/>
              <w:rPr>
                <w:rFonts w:ascii="Times New Roman" w:hAnsi="Times New Roman"/>
                <w:b/>
                <w:bCs/>
                <w:sz w:val="24"/>
                <w:szCs w:val="24"/>
              </w:rPr>
            </w:pPr>
            <w:r>
              <w:rPr>
                <w:rFonts w:ascii="Times New Roman" w:hAnsi="Times New Roman"/>
                <w:b/>
                <w:bCs/>
                <w:sz w:val="24"/>
                <w:szCs w:val="24"/>
              </w:rPr>
              <w:t>表1-</w:t>
            </w:r>
            <w:r>
              <w:rPr>
                <w:rFonts w:hint="eastAsia" w:ascii="Times New Roman" w:hAnsi="Times New Roman"/>
                <w:b/>
                <w:bCs/>
                <w:sz w:val="24"/>
                <w:szCs w:val="24"/>
                <w:lang w:val="en-US" w:eastAsia="zh-CN"/>
              </w:rPr>
              <w:t>5</w:t>
            </w:r>
            <w:r>
              <w:rPr>
                <w:rFonts w:ascii="Times New Roman" w:hAnsi="Times New Roman"/>
                <w:b/>
                <w:bCs/>
                <w:sz w:val="24"/>
                <w:szCs w:val="24"/>
              </w:rPr>
              <w:t xml:space="preserve">  与苏政办发〔2017〕30号相符性分析</w:t>
            </w:r>
          </w:p>
          <w:tbl>
            <w:tblPr>
              <w:tblStyle w:val="22"/>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4243"/>
              <w:gridCol w:w="26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328" w:type="pct"/>
                  <w:gridSpan w:val="2"/>
                  <w:vAlign w:val="center"/>
                </w:tcPr>
                <w:p>
                  <w:pPr>
                    <w:widowControl/>
                    <w:jc w:val="center"/>
                    <w:textAlignment w:val="bottom"/>
                    <w:rPr>
                      <w:b/>
                      <w:bCs/>
                      <w:szCs w:val="21"/>
                    </w:rPr>
                  </w:pPr>
                  <w:r>
                    <w:rPr>
                      <w:b/>
                      <w:bCs/>
                      <w:color w:val="000000"/>
                      <w:kern w:val="0"/>
                      <w:szCs w:val="21"/>
                    </w:rPr>
                    <w:t>文件要求</w:t>
                  </w:r>
                </w:p>
              </w:tc>
              <w:tc>
                <w:tcPr>
                  <w:tcW w:w="1671" w:type="pct"/>
                  <w:vAlign w:val="center"/>
                </w:tcPr>
                <w:p>
                  <w:pPr>
                    <w:widowControl/>
                    <w:jc w:val="center"/>
                    <w:textAlignment w:val="bottom"/>
                    <w:rPr>
                      <w:b/>
                      <w:bCs/>
                      <w:szCs w:val="21"/>
                    </w:rPr>
                  </w:pPr>
                  <w:r>
                    <w:rPr>
                      <w:b/>
                      <w:bCs/>
                      <w:color w:val="000000"/>
                      <w:kern w:val="0"/>
                      <w:szCs w:val="21"/>
                    </w:rPr>
                    <w:t>相符性分析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699" w:type="pct"/>
                  <w:vMerge w:val="restart"/>
                  <w:vAlign w:val="center"/>
                </w:tcPr>
                <w:p>
                  <w:pPr>
                    <w:widowControl/>
                    <w:jc w:val="center"/>
                    <w:textAlignment w:val="bottom"/>
                    <w:rPr>
                      <w:szCs w:val="21"/>
                    </w:rPr>
                  </w:pPr>
                  <w:r>
                    <w:rPr>
                      <w:color w:val="000000"/>
                      <w:kern w:val="0"/>
                      <w:szCs w:val="21"/>
                    </w:rPr>
                    <w:t>“两减”</w:t>
                  </w:r>
                </w:p>
              </w:tc>
              <w:tc>
                <w:tcPr>
                  <w:tcW w:w="2629" w:type="pct"/>
                  <w:vAlign w:val="center"/>
                </w:tcPr>
                <w:p>
                  <w:pPr>
                    <w:widowControl/>
                    <w:jc w:val="center"/>
                    <w:textAlignment w:val="bottom"/>
                    <w:rPr>
                      <w:szCs w:val="21"/>
                    </w:rPr>
                  </w:pPr>
                  <w:r>
                    <w:rPr>
                      <w:color w:val="000000"/>
                      <w:kern w:val="0"/>
                      <w:szCs w:val="21"/>
                    </w:rPr>
                    <w:t>减少煤炭消费总量</w:t>
                  </w:r>
                </w:p>
              </w:tc>
              <w:tc>
                <w:tcPr>
                  <w:tcW w:w="1671" w:type="pct"/>
                  <w:vAlign w:val="center"/>
                </w:tcPr>
                <w:p>
                  <w:pPr>
                    <w:widowControl/>
                    <w:jc w:val="center"/>
                    <w:textAlignment w:val="bottom"/>
                    <w:rPr>
                      <w:szCs w:val="21"/>
                    </w:rPr>
                  </w:pPr>
                  <w:r>
                    <w:rPr>
                      <w:color w:val="000000"/>
                      <w:kern w:val="0"/>
                      <w:szCs w:val="21"/>
                    </w:rPr>
                    <w:t>本项目不消费煤炭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exact"/>
                <w:jc w:val="center"/>
              </w:trPr>
              <w:tc>
                <w:tcPr>
                  <w:tcW w:w="699" w:type="pct"/>
                  <w:vMerge w:val="continue"/>
                  <w:vAlign w:val="center"/>
                </w:tcPr>
                <w:p>
                  <w:pPr>
                    <w:jc w:val="center"/>
                    <w:rPr>
                      <w:szCs w:val="21"/>
                    </w:rPr>
                  </w:pPr>
                </w:p>
              </w:tc>
              <w:tc>
                <w:tcPr>
                  <w:tcW w:w="2629" w:type="pct"/>
                  <w:vAlign w:val="center"/>
                </w:tcPr>
                <w:p>
                  <w:pPr>
                    <w:widowControl/>
                    <w:jc w:val="center"/>
                    <w:textAlignment w:val="bottom"/>
                    <w:rPr>
                      <w:szCs w:val="21"/>
                    </w:rPr>
                  </w:pPr>
                  <w:r>
                    <w:rPr>
                      <w:color w:val="000000"/>
                      <w:kern w:val="0"/>
                      <w:szCs w:val="21"/>
                    </w:rPr>
                    <w:t>减少落后化工产能</w:t>
                  </w:r>
                </w:p>
              </w:tc>
              <w:tc>
                <w:tcPr>
                  <w:tcW w:w="1671" w:type="pct"/>
                  <w:vAlign w:val="center"/>
                </w:tcPr>
                <w:p>
                  <w:pPr>
                    <w:widowControl/>
                    <w:jc w:val="center"/>
                    <w:textAlignment w:val="bottom"/>
                    <w:rPr>
                      <w:szCs w:val="21"/>
                    </w:rPr>
                  </w:pPr>
                  <w:r>
                    <w:rPr>
                      <w:color w:val="000000"/>
                      <w:kern w:val="0"/>
                      <w:szCs w:val="21"/>
                    </w:rPr>
                    <w:t>本项目不属于化工行业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99" w:type="pct"/>
                  <w:vMerge w:val="restart"/>
                  <w:vAlign w:val="center"/>
                </w:tcPr>
                <w:p>
                  <w:pPr>
                    <w:jc w:val="center"/>
                    <w:rPr>
                      <w:szCs w:val="21"/>
                    </w:rPr>
                  </w:pPr>
                  <w:r>
                    <w:rPr>
                      <w:szCs w:val="21"/>
                    </w:rPr>
                    <w:t>“六治”</w:t>
                  </w:r>
                </w:p>
                <w:p>
                  <w:pPr>
                    <w:jc w:val="center"/>
                    <w:rPr>
                      <w:szCs w:val="21"/>
                    </w:rPr>
                  </w:pPr>
                  <w:r>
                    <w:rPr>
                      <w:szCs w:val="21"/>
                    </w:rPr>
                    <w:t>治理太湖及长江流域</w:t>
                  </w:r>
                </w:p>
              </w:tc>
              <w:tc>
                <w:tcPr>
                  <w:tcW w:w="2629" w:type="pct"/>
                  <w:vAlign w:val="center"/>
                </w:tcPr>
                <w:p>
                  <w:pPr>
                    <w:widowControl/>
                    <w:jc w:val="center"/>
                    <w:textAlignment w:val="bottom"/>
                    <w:rPr>
                      <w:szCs w:val="21"/>
                    </w:rPr>
                  </w:pPr>
                  <w:r>
                    <w:rPr>
                      <w:color w:val="000000"/>
                      <w:kern w:val="0"/>
                      <w:szCs w:val="21"/>
                    </w:rPr>
                    <w:t>水环境：严控工业废水排放废水，接管企业严格执行间接排放标准，不得影响城镇污水处理厂达标排放。</w:t>
                  </w:r>
                </w:p>
              </w:tc>
              <w:tc>
                <w:tcPr>
                  <w:tcW w:w="1671" w:type="pct"/>
                  <w:vAlign w:val="center"/>
                </w:tcPr>
                <w:p>
                  <w:pPr>
                    <w:jc w:val="center"/>
                    <w:rPr>
                      <w:szCs w:val="21"/>
                    </w:rPr>
                  </w:pPr>
                  <w:r>
                    <w:rPr>
                      <w:szCs w:val="21"/>
                    </w:rPr>
                    <w:t>本项目不涉及废水的产生与排放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99" w:type="pct"/>
                  <w:vMerge w:val="continue"/>
                  <w:vAlign w:val="center"/>
                </w:tcPr>
                <w:p>
                  <w:pPr>
                    <w:ind w:firstLine="420" w:firstLineChars="200"/>
                    <w:jc w:val="center"/>
                    <w:rPr>
                      <w:szCs w:val="21"/>
                    </w:rPr>
                  </w:pPr>
                </w:p>
              </w:tc>
              <w:tc>
                <w:tcPr>
                  <w:tcW w:w="2629" w:type="pct"/>
                  <w:vAlign w:val="center"/>
                </w:tcPr>
                <w:p>
                  <w:pPr>
                    <w:widowControl/>
                    <w:jc w:val="center"/>
                    <w:textAlignment w:val="bottom"/>
                    <w:rPr>
                      <w:szCs w:val="21"/>
                    </w:rPr>
                  </w:pPr>
                  <w:r>
                    <w:rPr>
                      <w:color w:val="000000"/>
                      <w:kern w:val="0"/>
                      <w:szCs w:val="21"/>
                    </w:rPr>
                    <w:t>生活垃圾：实现垃圾减量化、资源化和无害化处置。</w:t>
                  </w:r>
                </w:p>
              </w:tc>
              <w:tc>
                <w:tcPr>
                  <w:tcW w:w="1671" w:type="pct"/>
                  <w:vAlign w:val="center"/>
                </w:tcPr>
                <w:p>
                  <w:pPr>
                    <w:jc w:val="center"/>
                    <w:rPr>
                      <w:szCs w:val="21"/>
                    </w:rPr>
                  </w:pPr>
                  <w:r>
                    <w:rPr>
                      <w:szCs w:val="21"/>
                    </w:rPr>
                    <w:t>本项目不新增员工，无生活垃圾产生及排放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9" w:type="pct"/>
                  <w:vMerge w:val="continue"/>
                  <w:vAlign w:val="center"/>
                </w:tcPr>
                <w:p>
                  <w:pPr>
                    <w:ind w:firstLine="420" w:firstLineChars="200"/>
                    <w:jc w:val="center"/>
                    <w:rPr>
                      <w:szCs w:val="21"/>
                    </w:rPr>
                  </w:pPr>
                </w:p>
              </w:tc>
              <w:tc>
                <w:tcPr>
                  <w:tcW w:w="2629" w:type="pct"/>
                  <w:vAlign w:val="center"/>
                </w:tcPr>
                <w:p>
                  <w:pPr>
                    <w:widowControl/>
                    <w:jc w:val="center"/>
                    <w:textAlignment w:val="bottom"/>
                    <w:rPr>
                      <w:szCs w:val="21"/>
                    </w:rPr>
                  </w:pPr>
                  <w:r>
                    <w:rPr>
                      <w:color w:val="000000"/>
                      <w:kern w:val="0"/>
                      <w:szCs w:val="21"/>
                    </w:rPr>
                    <w:t>治理黑臭水体</w:t>
                  </w:r>
                </w:p>
              </w:tc>
              <w:tc>
                <w:tcPr>
                  <w:tcW w:w="1671" w:type="pct"/>
                  <w:vAlign w:val="center"/>
                </w:tcPr>
                <w:p>
                  <w:pPr>
                    <w:jc w:val="center"/>
                    <w:rPr>
                      <w:szCs w:val="21"/>
                    </w:rPr>
                  </w:pPr>
                  <w:r>
                    <w:rPr>
                      <w:szCs w:val="21"/>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9" w:type="pct"/>
                  <w:vMerge w:val="continue"/>
                  <w:vAlign w:val="center"/>
                </w:tcPr>
                <w:p>
                  <w:pPr>
                    <w:ind w:firstLine="420" w:firstLineChars="200"/>
                    <w:jc w:val="center"/>
                    <w:rPr>
                      <w:szCs w:val="21"/>
                    </w:rPr>
                  </w:pPr>
                </w:p>
              </w:tc>
              <w:tc>
                <w:tcPr>
                  <w:tcW w:w="2629" w:type="pct"/>
                  <w:vAlign w:val="center"/>
                </w:tcPr>
                <w:p>
                  <w:pPr>
                    <w:widowControl/>
                    <w:jc w:val="center"/>
                    <w:textAlignment w:val="bottom"/>
                    <w:rPr>
                      <w:szCs w:val="21"/>
                    </w:rPr>
                  </w:pPr>
                  <w:r>
                    <w:rPr>
                      <w:color w:val="000000"/>
                      <w:kern w:val="0"/>
                      <w:szCs w:val="21"/>
                    </w:rPr>
                    <w:t>治理畜禽养殖污染</w:t>
                  </w:r>
                </w:p>
              </w:tc>
              <w:tc>
                <w:tcPr>
                  <w:tcW w:w="1671" w:type="pct"/>
                  <w:vAlign w:val="center"/>
                </w:tcPr>
                <w:p>
                  <w:pPr>
                    <w:jc w:val="center"/>
                    <w:rPr>
                      <w:szCs w:val="21"/>
                    </w:rPr>
                  </w:pPr>
                  <w:r>
                    <w:rPr>
                      <w:szCs w:val="21"/>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699" w:type="pct"/>
                  <w:vMerge w:val="continue"/>
                  <w:vAlign w:val="center"/>
                </w:tcPr>
                <w:p>
                  <w:pPr>
                    <w:ind w:firstLine="420" w:firstLineChars="200"/>
                    <w:jc w:val="center"/>
                    <w:rPr>
                      <w:szCs w:val="21"/>
                    </w:rPr>
                  </w:pPr>
                </w:p>
              </w:tc>
              <w:tc>
                <w:tcPr>
                  <w:tcW w:w="2629" w:type="pct"/>
                  <w:vAlign w:val="center"/>
                </w:tcPr>
                <w:p>
                  <w:pPr>
                    <w:widowControl/>
                    <w:jc w:val="center"/>
                    <w:textAlignment w:val="bottom"/>
                    <w:rPr>
                      <w:szCs w:val="21"/>
                    </w:rPr>
                  </w:pPr>
                  <w:r>
                    <w:rPr>
                      <w:szCs w:val="21"/>
                    </w:rPr>
                    <w:t>以源头控制、结构优化、综合治理、总量控制为原则，通过采用结构调整以及原料替代、过程管理、末端治理全过程污染控制措施，全面开展VOCs减排工作</w:t>
                  </w:r>
                </w:p>
              </w:tc>
              <w:tc>
                <w:tcPr>
                  <w:tcW w:w="1671" w:type="pct"/>
                  <w:vAlign w:val="center"/>
                </w:tcPr>
                <w:p>
                  <w:pPr>
                    <w:jc w:val="center"/>
                    <w:rPr>
                      <w:szCs w:val="21"/>
                    </w:rPr>
                  </w:pPr>
                  <w:r>
                    <w:rPr>
                      <w:szCs w:val="21"/>
                    </w:rPr>
                    <w:t>本项目不涉及挥发性有机物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699" w:type="pct"/>
                  <w:vMerge w:val="continue"/>
                  <w:vAlign w:val="center"/>
                </w:tcPr>
                <w:p>
                  <w:pPr>
                    <w:ind w:firstLine="420" w:firstLineChars="200"/>
                    <w:jc w:val="center"/>
                    <w:rPr>
                      <w:szCs w:val="21"/>
                    </w:rPr>
                  </w:pPr>
                </w:p>
              </w:tc>
              <w:tc>
                <w:tcPr>
                  <w:tcW w:w="2629" w:type="pct"/>
                  <w:vAlign w:val="center"/>
                </w:tcPr>
                <w:p>
                  <w:pPr>
                    <w:widowControl/>
                    <w:jc w:val="center"/>
                    <w:textAlignment w:val="bottom"/>
                    <w:rPr>
                      <w:szCs w:val="21"/>
                    </w:rPr>
                  </w:pPr>
                  <w:r>
                    <w:rPr>
                      <w:color w:val="000000"/>
                      <w:kern w:val="0"/>
                      <w:szCs w:val="21"/>
                    </w:rPr>
                    <w:t>环境隐患：加强危险废物规范化管理。</w:t>
                  </w:r>
                </w:p>
              </w:tc>
              <w:tc>
                <w:tcPr>
                  <w:tcW w:w="1671" w:type="pct"/>
                  <w:vAlign w:val="center"/>
                </w:tcPr>
                <w:p>
                  <w:pPr>
                    <w:jc w:val="center"/>
                    <w:rPr>
                      <w:szCs w:val="21"/>
                    </w:rPr>
                  </w:pPr>
                  <w:r>
                    <w:rPr>
                      <w:szCs w:val="21"/>
                    </w:rPr>
                    <w:t>本项目危险废物均委托有资质单位处置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9" w:type="pct"/>
                  <w:vMerge w:val="restart"/>
                  <w:vAlign w:val="center"/>
                </w:tcPr>
                <w:p>
                  <w:pPr>
                    <w:jc w:val="center"/>
                    <w:rPr>
                      <w:szCs w:val="21"/>
                    </w:rPr>
                  </w:pPr>
                  <w:r>
                    <w:rPr>
                      <w:szCs w:val="21"/>
                    </w:rPr>
                    <w:t>“三提升”</w:t>
                  </w:r>
                </w:p>
              </w:tc>
              <w:tc>
                <w:tcPr>
                  <w:tcW w:w="2629" w:type="pct"/>
                  <w:vAlign w:val="center"/>
                </w:tcPr>
                <w:p>
                  <w:pPr>
                    <w:widowControl/>
                    <w:jc w:val="center"/>
                    <w:textAlignment w:val="bottom"/>
                    <w:rPr>
                      <w:szCs w:val="21"/>
                    </w:rPr>
                  </w:pPr>
                  <w:r>
                    <w:rPr>
                      <w:color w:val="000000"/>
                      <w:kern w:val="0"/>
                      <w:szCs w:val="21"/>
                    </w:rPr>
                    <w:t>提升生态保护水平</w:t>
                  </w:r>
                </w:p>
              </w:tc>
              <w:tc>
                <w:tcPr>
                  <w:tcW w:w="1671" w:type="pct"/>
                  <w:vMerge w:val="restart"/>
                  <w:vAlign w:val="center"/>
                </w:tcPr>
                <w:p>
                  <w:pPr>
                    <w:jc w:val="center"/>
                    <w:rPr>
                      <w:szCs w:val="21"/>
                    </w:rPr>
                  </w:pPr>
                  <w:r>
                    <w:rPr>
                      <w:szCs w:val="21"/>
                    </w:rPr>
                    <w:t>建设单位在项目营运期将积极配合环境执法监管，提升本项目的环境保护水平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9" w:type="pct"/>
                  <w:vMerge w:val="continue"/>
                  <w:vAlign w:val="center"/>
                </w:tcPr>
                <w:p>
                  <w:pPr>
                    <w:ind w:firstLine="420" w:firstLineChars="200"/>
                    <w:jc w:val="center"/>
                  </w:pPr>
                </w:p>
              </w:tc>
              <w:tc>
                <w:tcPr>
                  <w:tcW w:w="2629" w:type="pct"/>
                  <w:vAlign w:val="center"/>
                </w:tcPr>
                <w:p>
                  <w:pPr>
                    <w:widowControl/>
                    <w:jc w:val="center"/>
                    <w:textAlignment w:val="bottom"/>
                    <w:rPr>
                      <w:szCs w:val="21"/>
                    </w:rPr>
                  </w:pPr>
                  <w:r>
                    <w:rPr>
                      <w:color w:val="000000"/>
                      <w:kern w:val="0"/>
                      <w:szCs w:val="21"/>
                    </w:rPr>
                    <w:t>提升环境经济政策调控水平</w:t>
                  </w:r>
                </w:p>
              </w:tc>
              <w:tc>
                <w:tcPr>
                  <w:tcW w:w="1671" w:type="pct"/>
                  <w:vMerge w:val="continue"/>
                  <w:vAlign w:val="center"/>
                </w:tcPr>
                <w:p>
                  <w:pPr>
                    <w:ind w:firstLine="420" w:firstLineChars="200"/>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9" w:type="pct"/>
                  <w:vMerge w:val="continue"/>
                  <w:vAlign w:val="center"/>
                </w:tcPr>
                <w:p>
                  <w:pPr>
                    <w:ind w:firstLine="420" w:firstLineChars="200"/>
                    <w:jc w:val="center"/>
                  </w:pPr>
                </w:p>
              </w:tc>
              <w:tc>
                <w:tcPr>
                  <w:tcW w:w="2629" w:type="pct"/>
                  <w:vAlign w:val="center"/>
                </w:tcPr>
                <w:p>
                  <w:pPr>
                    <w:widowControl/>
                    <w:jc w:val="center"/>
                    <w:textAlignment w:val="bottom"/>
                    <w:rPr>
                      <w:szCs w:val="21"/>
                    </w:rPr>
                  </w:pPr>
                  <w:r>
                    <w:rPr>
                      <w:color w:val="000000"/>
                      <w:kern w:val="0"/>
                      <w:szCs w:val="21"/>
                    </w:rPr>
                    <w:t>提升环境执法监管水平</w:t>
                  </w:r>
                </w:p>
              </w:tc>
              <w:tc>
                <w:tcPr>
                  <w:tcW w:w="1671" w:type="pct"/>
                  <w:vMerge w:val="continue"/>
                  <w:vAlign w:val="center"/>
                </w:tcPr>
                <w:p>
                  <w:pPr>
                    <w:ind w:firstLine="420" w:firstLineChars="200"/>
                  </w:pPr>
                </w:p>
              </w:tc>
            </w:tr>
          </w:tbl>
          <w:p>
            <w:pPr>
              <w:autoSpaceDE w:val="0"/>
              <w:autoSpaceDN w:val="0"/>
              <w:adjustRightInd w:val="0"/>
              <w:snapToGrid w:val="0"/>
              <w:spacing w:line="360" w:lineRule="auto"/>
              <w:ind w:firstLine="480" w:firstLineChars="200"/>
              <w:jc w:val="left"/>
              <w:rPr>
                <w:sz w:val="24"/>
              </w:rPr>
            </w:pPr>
            <w:r>
              <w:rPr>
                <w:sz w:val="24"/>
              </w:rPr>
              <w:t>综上，本项目与《江苏省“两减六治三提升”专项行动实施方案》（苏政办发〔2017〕30号）的要求相符。</w:t>
            </w:r>
          </w:p>
          <w:p>
            <w:pPr>
              <w:autoSpaceDE w:val="0"/>
              <w:autoSpaceDN w:val="0"/>
              <w:adjustRightInd w:val="0"/>
              <w:snapToGrid w:val="0"/>
              <w:spacing w:line="360" w:lineRule="auto"/>
              <w:ind w:firstLine="480" w:firstLineChars="200"/>
              <w:jc w:val="left"/>
              <w:rPr>
                <w:sz w:val="24"/>
              </w:rPr>
            </w:pPr>
            <w:r>
              <w:rPr>
                <w:sz w:val="24"/>
              </w:rPr>
              <w:t>（2）</w:t>
            </w:r>
            <w:r>
              <w:rPr>
                <w:bCs/>
                <w:sz w:val="24"/>
              </w:rPr>
              <w:t>与《国务院关于印发打赢蓝天保卫战三年行动计划的通知》（国发〔2018〕22号）、《江苏省打赢蓝天保卫战三年行动计划实施方案》（苏政发〔2018〕122号）、</w:t>
            </w:r>
            <w:r>
              <w:rPr>
                <w:sz w:val="24"/>
              </w:rPr>
              <w:t>《常州市打赢蓝天保卫战行动计划实施方案》（常政发[2019]27号）相符性分析。</w:t>
            </w:r>
          </w:p>
          <w:p>
            <w:pPr>
              <w:pStyle w:val="8"/>
              <w:spacing w:after="0"/>
              <w:ind w:left="0" w:leftChars="0" w:right="0" w:rightChars="0"/>
              <w:jc w:val="center"/>
              <w:rPr>
                <w:rFonts w:ascii="Times New Roman" w:hAnsi="Times New Roman"/>
                <w:b/>
                <w:bCs/>
                <w:sz w:val="24"/>
                <w:szCs w:val="24"/>
              </w:rPr>
            </w:pPr>
            <w:r>
              <w:rPr>
                <w:rFonts w:ascii="Times New Roman" w:hAnsi="Times New Roman"/>
                <w:b/>
                <w:bCs/>
                <w:sz w:val="24"/>
                <w:szCs w:val="24"/>
              </w:rPr>
              <w:t>表1-</w:t>
            </w:r>
            <w:r>
              <w:rPr>
                <w:rFonts w:hint="eastAsia" w:ascii="Times New Roman" w:hAnsi="Times New Roman"/>
                <w:b/>
                <w:bCs/>
                <w:sz w:val="24"/>
                <w:szCs w:val="24"/>
                <w:lang w:val="en-US" w:eastAsia="zh-CN"/>
              </w:rPr>
              <w:t>6</w:t>
            </w:r>
            <w:r>
              <w:rPr>
                <w:rFonts w:ascii="Times New Roman" w:hAnsi="Times New Roman"/>
                <w:b/>
                <w:bCs/>
                <w:sz w:val="24"/>
                <w:szCs w:val="24"/>
              </w:rPr>
              <w:t xml:space="preserve">  与国发〔2018〕22号相符性分析</w:t>
            </w:r>
          </w:p>
          <w:tbl>
            <w:tblPr>
              <w:tblStyle w:val="2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48"/>
              <w:gridCol w:w="151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58" w:type="pct"/>
                  <w:vAlign w:val="center"/>
                </w:tcPr>
                <w:p>
                  <w:pPr>
                    <w:jc w:val="center"/>
                    <w:rPr>
                      <w:b/>
                      <w:szCs w:val="21"/>
                    </w:rPr>
                  </w:pPr>
                  <w:r>
                    <w:rPr>
                      <w:b/>
                      <w:szCs w:val="21"/>
                    </w:rPr>
                    <w:t>要求</w:t>
                  </w:r>
                </w:p>
              </w:tc>
              <w:tc>
                <w:tcPr>
                  <w:tcW w:w="941" w:type="pct"/>
                  <w:vAlign w:val="center"/>
                </w:tcPr>
                <w:p>
                  <w:pPr>
                    <w:jc w:val="center"/>
                    <w:rPr>
                      <w:b/>
                      <w:szCs w:val="21"/>
                    </w:rPr>
                  </w:pPr>
                  <w:r>
                    <w:rPr>
                      <w:b/>
                      <w:szCs w:val="21"/>
                    </w:rPr>
                    <w:t>相符性分析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058" w:type="pct"/>
                  <w:vAlign w:val="center"/>
                </w:tcPr>
                <w:p>
                  <w:pPr>
                    <w:widowControl/>
                    <w:jc w:val="left"/>
                    <w:textAlignment w:val="bottom"/>
                    <w:rPr>
                      <w:color w:val="000000"/>
                      <w:kern w:val="0"/>
                      <w:szCs w:val="21"/>
                    </w:rPr>
                  </w:pPr>
                  <w:r>
                    <w:rPr>
                      <w:color w:val="000000"/>
                      <w:kern w:val="0"/>
                      <w:szCs w:val="21"/>
                    </w:rPr>
                    <w:t>（四）优化产业布局。各地完成生态保护红线、环境质量底线、资源利用上线、环境准入清单编制工作，明确禁止和限制发展的行业、生产工艺和产业目录。修订完善高耗能、高污染和资源型行业准入条件，环境空气质量未达标城市应制订更严格的产业准入门槛。积极推行区域、规划环境影响评价，新、改、扩建钢铁、石化、化工、焦化、建材、有色等项目的环境影响评价，应满足区域、规划环评要求。</w:t>
                  </w:r>
                </w:p>
              </w:tc>
              <w:tc>
                <w:tcPr>
                  <w:tcW w:w="941" w:type="pct"/>
                  <w:vAlign w:val="center"/>
                </w:tcPr>
                <w:p>
                  <w:pPr>
                    <w:widowControl/>
                    <w:jc w:val="left"/>
                    <w:textAlignment w:val="bottom"/>
                    <w:rPr>
                      <w:color w:val="000000"/>
                      <w:kern w:val="0"/>
                      <w:szCs w:val="21"/>
                    </w:rPr>
                  </w:pPr>
                  <w:r>
                    <w:rPr>
                      <w:color w:val="000000"/>
                      <w:kern w:val="0"/>
                      <w:szCs w:val="21"/>
                    </w:rPr>
                    <w:t>本项目不属于禁止和限制发展的行业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058" w:type="pct"/>
                  <w:vAlign w:val="center"/>
                </w:tcPr>
                <w:p>
                  <w:pPr>
                    <w:widowControl/>
                    <w:jc w:val="left"/>
                    <w:textAlignment w:val="bottom"/>
                    <w:rPr>
                      <w:color w:val="000000"/>
                      <w:kern w:val="0"/>
                      <w:szCs w:val="21"/>
                    </w:rPr>
                  </w:pPr>
                  <w:r>
                    <w:rPr>
                      <w:color w:val="000000"/>
                      <w:kern w:val="0"/>
                      <w:szCs w:val="21"/>
                    </w:rPr>
                    <w:t>（五）严控“两高”行业产能。重点区域严禁新增钢铁、焦化、电解铝、铸造、水泥和平板玻璃等产能；严格执行钢铁、水泥、平板玻璃等行业产能置换实施办法；新、改、扩建涉及大宗物料运输的建设项目，原则上不得采用公路运输。</w:t>
                  </w:r>
                </w:p>
              </w:tc>
              <w:tc>
                <w:tcPr>
                  <w:tcW w:w="941" w:type="pct"/>
                  <w:vAlign w:val="center"/>
                </w:tcPr>
                <w:p>
                  <w:pPr>
                    <w:widowControl/>
                    <w:jc w:val="left"/>
                    <w:textAlignment w:val="bottom"/>
                    <w:rPr>
                      <w:color w:val="000000"/>
                      <w:kern w:val="0"/>
                      <w:szCs w:val="21"/>
                    </w:rPr>
                  </w:pPr>
                  <w:r>
                    <w:rPr>
                      <w:color w:val="000000"/>
                      <w:kern w:val="0"/>
                      <w:szCs w:val="21"/>
                    </w:rPr>
                    <w:t>本项目不属于“两高”行业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710" w:hRule="atLeast"/>
              </w:trPr>
              <w:tc>
                <w:tcPr>
                  <w:tcW w:w="4058" w:type="pct"/>
                  <w:vAlign w:val="center"/>
                </w:tcPr>
                <w:p>
                  <w:pPr>
                    <w:widowControl/>
                    <w:jc w:val="left"/>
                    <w:textAlignment w:val="bottom"/>
                    <w:rPr>
                      <w:color w:val="000000"/>
                      <w:kern w:val="0"/>
                      <w:szCs w:val="21"/>
                    </w:rPr>
                  </w:pPr>
                  <w:r>
                    <w:rPr>
                      <w:color w:val="000000"/>
                      <w:kern w:val="0"/>
                      <w:szCs w:val="21"/>
                    </w:rPr>
                    <w:t>（十一）开展燃煤锅炉综合整治。加大燃煤小锅炉淘汰力度。县级及以上城市建成区基本淘汰每小时10蒸吨及以下燃煤锅炉及茶水炉、经营性炉灶、储粮烘干设备等燃煤设施，原则上不再新建每小时35蒸吨以下的燃煤锅炉，其他地区原则上不再新建每小时10蒸吨以下的燃煤锅炉。环境空气质量未达标城市应进一步加大淘汰力度。重点区域基本淘汰每小时35蒸吨以下燃煤锅炉，每小时65蒸吨及以上燃煤锅炉全部完成节能和超低排放改造；燃气锅炉基本完成低氮改造；城市建成区生物质锅炉实施超低排放改造。。</w:t>
                  </w:r>
                </w:p>
              </w:tc>
              <w:tc>
                <w:tcPr>
                  <w:tcW w:w="941" w:type="pct"/>
                  <w:vAlign w:val="center"/>
                </w:tcPr>
                <w:p>
                  <w:pPr>
                    <w:widowControl/>
                    <w:jc w:val="left"/>
                    <w:textAlignment w:val="bottom"/>
                    <w:rPr>
                      <w:color w:val="000000"/>
                      <w:kern w:val="0"/>
                      <w:szCs w:val="21"/>
                    </w:rPr>
                  </w:pPr>
                  <w:r>
                    <w:rPr>
                      <w:color w:val="000000"/>
                      <w:kern w:val="0"/>
                      <w:szCs w:val="21"/>
                    </w:rPr>
                    <w:t>本项目为燃气锅炉，并配套安装低氮燃烧器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058" w:type="pct"/>
                  <w:vAlign w:val="center"/>
                </w:tcPr>
                <w:p>
                  <w:pPr>
                    <w:widowControl/>
                    <w:jc w:val="left"/>
                    <w:textAlignment w:val="bottom"/>
                    <w:rPr>
                      <w:color w:val="000000"/>
                      <w:kern w:val="0"/>
                      <w:szCs w:val="21"/>
                    </w:rPr>
                  </w:pPr>
                  <w:r>
                    <w:rPr>
                      <w:color w:val="000000"/>
                      <w:kern w:val="0"/>
                      <w:szCs w:val="21"/>
                    </w:rPr>
                    <w:t>（十三）加快发展清洁能源和新能源。到2020年，非化石能源占能源消费总量比重达到15%。有序发展水电，安全高效发展核电，优化风能、太阳能开发布局，因地制宜发展生物质能、地热能等。在具备资源条件的地方，鼓励发展县域生物质热电联产、生物质成型燃料锅炉及生物天然气。加大可再生能源消纳力度，基本解决弃水、弃风、弃光问题。</w:t>
                  </w:r>
                </w:p>
              </w:tc>
              <w:tc>
                <w:tcPr>
                  <w:tcW w:w="941" w:type="pct"/>
                  <w:vAlign w:val="center"/>
                </w:tcPr>
                <w:p>
                  <w:pPr>
                    <w:widowControl/>
                    <w:jc w:val="left"/>
                    <w:textAlignment w:val="bottom"/>
                    <w:rPr>
                      <w:color w:val="000000"/>
                      <w:kern w:val="0"/>
                      <w:szCs w:val="21"/>
                    </w:rPr>
                  </w:pPr>
                  <w:r>
                    <w:rPr>
                      <w:color w:val="000000"/>
                      <w:kern w:val="0"/>
                      <w:szCs w:val="21"/>
                    </w:rPr>
                    <w:t>本项目使用天然气作为燃料，属清洁能源</w:t>
                  </w:r>
                </w:p>
              </w:tc>
            </w:tr>
          </w:tbl>
          <w:p>
            <w:pPr>
              <w:pStyle w:val="8"/>
              <w:spacing w:after="0"/>
              <w:ind w:left="0" w:leftChars="0" w:right="0" w:rightChars="0"/>
              <w:jc w:val="center"/>
              <w:rPr>
                <w:rFonts w:ascii="Times New Roman" w:hAnsi="Times New Roman"/>
                <w:b/>
                <w:bCs/>
                <w:sz w:val="24"/>
                <w:szCs w:val="24"/>
              </w:rPr>
            </w:pPr>
            <w:r>
              <w:rPr>
                <w:rFonts w:ascii="Times New Roman" w:hAnsi="Times New Roman"/>
                <w:b/>
                <w:bCs/>
                <w:sz w:val="24"/>
                <w:szCs w:val="24"/>
              </w:rPr>
              <w:t>表1-</w:t>
            </w:r>
            <w:r>
              <w:rPr>
                <w:rFonts w:hint="eastAsia" w:ascii="Times New Roman" w:hAnsi="Times New Roman"/>
                <w:b/>
                <w:bCs/>
                <w:sz w:val="24"/>
                <w:szCs w:val="24"/>
                <w:lang w:val="en-US" w:eastAsia="zh-CN"/>
              </w:rPr>
              <w:t>7</w:t>
            </w:r>
            <w:r>
              <w:rPr>
                <w:rFonts w:ascii="Times New Roman" w:hAnsi="Times New Roman"/>
                <w:b/>
                <w:bCs/>
                <w:sz w:val="24"/>
                <w:szCs w:val="24"/>
              </w:rPr>
              <w:t xml:space="preserve">  与苏政发〔2018〕122号相符性分析</w:t>
            </w:r>
          </w:p>
          <w:tbl>
            <w:tblPr>
              <w:tblStyle w:val="2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48"/>
              <w:gridCol w:w="151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58" w:type="pct"/>
                  <w:vAlign w:val="center"/>
                </w:tcPr>
                <w:p>
                  <w:pPr>
                    <w:jc w:val="center"/>
                    <w:rPr>
                      <w:b/>
                      <w:szCs w:val="21"/>
                    </w:rPr>
                  </w:pPr>
                  <w:r>
                    <w:rPr>
                      <w:b/>
                      <w:szCs w:val="21"/>
                    </w:rPr>
                    <w:t>要求</w:t>
                  </w:r>
                </w:p>
              </w:tc>
              <w:tc>
                <w:tcPr>
                  <w:tcW w:w="941" w:type="pct"/>
                  <w:vAlign w:val="center"/>
                </w:tcPr>
                <w:p>
                  <w:pPr>
                    <w:jc w:val="center"/>
                    <w:rPr>
                      <w:b/>
                      <w:szCs w:val="21"/>
                    </w:rPr>
                  </w:pPr>
                  <w:r>
                    <w:rPr>
                      <w:b/>
                      <w:szCs w:val="21"/>
                    </w:rPr>
                    <w:t>相符性分析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058" w:type="pct"/>
                  <w:vAlign w:val="center"/>
                </w:tcPr>
                <w:p>
                  <w:pPr>
                    <w:widowControl/>
                    <w:jc w:val="left"/>
                    <w:textAlignment w:val="bottom"/>
                    <w:rPr>
                      <w:color w:val="000000"/>
                      <w:kern w:val="0"/>
                      <w:szCs w:val="21"/>
                    </w:rPr>
                  </w:pPr>
                  <w:r>
                    <w:rPr>
                      <w:color w:val="000000"/>
                      <w:kern w:val="0"/>
                      <w:szCs w:val="21"/>
                    </w:rPr>
                    <w:t>（三）优化产业布局。2018年底前，编制完成全省“三线一单”（生态保护红线、环境质量底线、资源利用上线和环境准入清单）。明确禁止和限制发展的行业、生产工艺和产业目录，严格执行江苏省产业结构调整限制、淘汰和禁止目录，各市根据空气质量改善需求可制定更严格的产业准入门槛。</w:t>
                  </w:r>
                </w:p>
              </w:tc>
              <w:tc>
                <w:tcPr>
                  <w:tcW w:w="941" w:type="pct"/>
                  <w:vAlign w:val="center"/>
                </w:tcPr>
                <w:p>
                  <w:pPr>
                    <w:widowControl/>
                    <w:jc w:val="left"/>
                    <w:textAlignment w:val="bottom"/>
                    <w:rPr>
                      <w:color w:val="000000"/>
                      <w:kern w:val="0"/>
                      <w:szCs w:val="21"/>
                    </w:rPr>
                  </w:pPr>
                  <w:r>
                    <w:rPr>
                      <w:color w:val="000000"/>
                      <w:kern w:val="0"/>
                      <w:szCs w:val="21"/>
                    </w:rPr>
                    <w:t>本项目不属于江苏省产业结构调整限制、淘汰和禁止项目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058" w:type="pct"/>
                  <w:vAlign w:val="center"/>
                </w:tcPr>
                <w:p>
                  <w:pPr>
                    <w:widowControl/>
                    <w:jc w:val="left"/>
                    <w:textAlignment w:val="bottom"/>
                    <w:rPr>
                      <w:color w:val="000000"/>
                      <w:kern w:val="0"/>
                      <w:szCs w:val="21"/>
                    </w:rPr>
                  </w:pPr>
                  <w:r>
                    <w:rPr>
                      <w:color w:val="000000"/>
                      <w:kern w:val="0"/>
                      <w:szCs w:val="21"/>
                    </w:rPr>
                    <w:t>（六）深化工业污染治理。持续推进工业污染源全面达标排放，加大超标处罚和联合惩戒力度，未达标排放的企业一律依法停产整治。建立覆盖所有固定污染源的企业排放许可制度，2020年底前完成排污许可分类管理名录规定的行业许可证核发。推进重点行业污染治理升级改造。全省范围内二氧化硫、氮氧化物、颗粒物、VOCs全面执行大气污染物特别排放限值。推进非电行业氮氧化物深度减排，钢铁等行业实施超低排放改造，城市建成区内焦炉实施炉体加罩封闭，并对废气进行收集处理。</w:t>
                  </w:r>
                </w:p>
              </w:tc>
              <w:tc>
                <w:tcPr>
                  <w:tcW w:w="941" w:type="pct"/>
                  <w:vAlign w:val="center"/>
                </w:tcPr>
                <w:p>
                  <w:pPr>
                    <w:widowControl/>
                    <w:jc w:val="left"/>
                    <w:textAlignment w:val="bottom"/>
                    <w:rPr>
                      <w:color w:val="000000"/>
                      <w:kern w:val="0"/>
                      <w:szCs w:val="21"/>
                    </w:rPr>
                  </w:pPr>
                  <w:r>
                    <w:rPr>
                      <w:color w:val="000000"/>
                      <w:kern w:val="0"/>
                      <w:szCs w:val="21"/>
                    </w:rPr>
                    <w:t>企业已取得排污许可证；本项目二氧化硫、氮氧化物、颗粒物执行大气污染物特别排放限值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058" w:type="pct"/>
                  <w:vAlign w:val="center"/>
                </w:tcPr>
                <w:p>
                  <w:pPr>
                    <w:widowControl/>
                    <w:jc w:val="left"/>
                    <w:textAlignment w:val="bottom"/>
                    <w:rPr>
                      <w:color w:val="000000"/>
                      <w:kern w:val="0"/>
                      <w:szCs w:val="21"/>
                    </w:rPr>
                  </w:pPr>
                  <w:r>
                    <w:rPr>
                      <w:color w:val="000000"/>
                      <w:kern w:val="0"/>
                      <w:szCs w:val="21"/>
                    </w:rPr>
                    <w:t>（十）开展燃煤锅炉综合整治。2019年底前，35蒸吨/小时及以下燃煤锅炉全部淘汰或实施清洁能源替代，按照宜电则电、宜气则气等原则进行整治，鼓励使用太阳能、生物质能等；推进煤炭清洁化利用，推广清洁高效燃煤锅炉，65蒸吨/小时及以上的燃煤锅炉全部完成节能和超低排放改造；燃气锅炉基本完成低氮改造；城市建成区生物质锅炉实施超低排放改造；其余燃煤锅炉全部达到特别排放限值要求。</w:t>
                  </w:r>
                </w:p>
              </w:tc>
              <w:tc>
                <w:tcPr>
                  <w:tcW w:w="941" w:type="pct"/>
                  <w:vAlign w:val="center"/>
                </w:tcPr>
                <w:p>
                  <w:pPr>
                    <w:widowControl/>
                    <w:jc w:val="left"/>
                    <w:textAlignment w:val="bottom"/>
                    <w:rPr>
                      <w:color w:val="000000"/>
                      <w:kern w:val="0"/>
                      <w:szCs w:val="21"/>
                    </w:rPr>
                  </w:pPr>
                  <w:r>
                    <w:rPr>
                      <w:color w:val="000000"/>
                      <w:kern w:val="0"/>
                      <w:szCs w:val="21"/>
                    </w:rPr>
                    <w:t>本项目为燃气锅炉，并配套安装低氮燃烧器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058" w:type="pct"/>
                  <w:vAlign w:val="center"/>
                </w:tcPr>
                <w:p>
                  <w:pPr>
                    <w:widowControl/>
                    <w:jc w:val="left"/>
                    <w:textAlignment w:val="bottom"/>
                    <w:rPr>
                      <w:color w:val="000000"/>
                      <w:kern w:val="0"/>
                      <w:szCs w:val="21"/>
                    </w:rPr>
                  </w:pPr>
                  <w:r>
                    <w:rPr>
                      <w:color w:val="000000"/>
                      <w:kern w:val="0"/>
                      <w:szCs w:val="21"/>
                    </w:rPr>
                    <w:t>（十二）加快发展清洁能源和新能源。坚持集中开发与分散利用并举，调整优化开发布局，有序发展水电，安全高效发展核电，优化风能、太阳能开发布局，因地制宜发展生物质能、地热能等。在具备资源条件的地方，鼓励发展县域生物质热电联产、生物质成型燃料锅炉及生物天然气。推进建筑陶瓷行业清洁能源改造。到2020年，非化石能源发电装机力争达到2600万千瓦，占省内电力装机的20%左右；非化石能源占一次能源消费比重达约11%。</w:t>
                  </w:r>
                </w:p>
              </w:tc>
              <w:tc>
                <w:tcPr>
                  <w:tcW w:w="941" w:type="pct"/>
                  <w:vAlign w:val="center"/>
                </w:tcPr>
                <w:p>
                  <w:pPr>
                    <w:widowControl/>
                    <w:jc w:val="left"/>
                    <w:textAlignment w:val="bottom"/>
                    <w:rPr>
                      <w:color w:val="000000"/>
                      <w:kern w:val="0"/>
                      <w:szCs w:val="21"/>
                    </w:rPr>
                  </w:pPr>
                  <w:r>
                    <w:rPr>
                      <w:color w:val="000000"/>
                      <w:kern w:val="0"/>
                      <w:szCs w:val="21"/>
                    </w:rPr>
                    <w:t>本项目使用天然气作为燃料，属清洁能源</w:t>
                  </w:r>
                </w:p>
              </w:tc>
            </w:tr>
          </w:tbl>
          <w:p>
            <w:pPr>
              <w:pStyle w:val="8"/>
              <w:spacing w:after="0"/>
              <w:ind w:left="0" w:leftChars="0" w:right="0" w:rightChars="0"/>
              <w:jc w:val="center"/>
              <w:rPr>
                <w:rFonts w:ascii="Times New Roman" w:hAnsi="Times New Roman"/>
                <w:b/>
                <w:bCs/>
                <w:sz w:val="24"/>
                <w:szCs w:val="24"/>
              </w:rPr>
            </w:pPr>
            <w:r>
              <w:rPr>
                <w:rFonts w:ascii="Times New Roman" w:hAnsi="Times New Roman"/>
                <w:b/>
                <w:bCs/>
                <w:sz w:val="24"/>
                <w:szCs w:val="24"/>
              </w:rPr>
              <w:t>表1-</w:t>
            </w:r>
            <w:r>
              <w:rPr>
                <w:rFonts w:hint="eastAsia" w:ascii="Times New Roman" w:hAnsi="Times New Roman"/>
                <w:b/>
                <w:bCs/>
                <w:sz w:val="24"/>
                <w:szCs w:val="24"/>
                <w:lang w:val="en-US" w:eastAsia="zh-CN"/>
              </w:rPr>
              <w:t>8</w:t>
            </w:r>
            <w:r>
              <w:rPr>
                <w:rFonts w:ascii="Times New Roman" w:hAnsi="Times New Roman"/>
                <w:b/>
                <w:bCs/>
                <w:sz w:val="24"/>
                <w:szCs w:val="24"/>
              </w:rPr>
              <w:t xml:space="preserve">  与常政发[2019]27号相符性分析</w:t>
            </w:r>
          </w:p>
          <w:tbl>
            <w:tblPr>
              <w:tblStyle w:val="2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48"/>
              <w:gridCol w:w="151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58" w:type="pct"/>
                  <w:vAlign w:val="center"/>
                </w:tcPr>
                <w:p>
                  <w:pPr>
                    <w:jc w:val="center"/>
                    <w:rPr>
                      <w:b/>
                      <w:szCs w:val="21"/>
                    </w:rPr>
                  </w:pPr>
                  <w:r>
                    <w:rPr>
                      <w:b/>
                      <w:szCs w:val="21"/>
                    </w:rPr>
                    <w:t>要求</w:t>
                  </w:r>
                </w:p>
              </w:tc>
              <w:tc>
                <w:tcPr>
                  <w:tcW w:w="941" w:type="pct"/>
                  <w:vAlign w:val="center"/>
                </w:tcPr>
                <w:p>
                  <w:pPr>
                    <w:jc w:val="center"/>
                    <w:rPr>
                      <w:b/>
                      <w:szCs w:val="21"/>
                    </w:rPr>
                  </w:pPr>
                  <w:r>
                    <w:rPr>
                      <w:b/>
                      <w:szCs w:val="21"/>
                    </w:rPr>
                    <w:t>相符性分析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058" w:type="pct"/>
                  <w:vAlign w:val="center"/>
                </w:tcPr>
                <w:p>
                  <w:pPr>
                    <w:widowControl/>
                    <w:jc w:val="left"/>
                    <w:textAlignment w:val="bottom"/>
                    <w:rPr>
                      <w:color w:val="000000"/>
                      <w:kern w:val="0"/>
                      <w:szCs w:val="21"/>
                    </w:rPr>
                  </w:pPr>
                  <w:r>
                    <w:rPr>
                      <w:color w:val="000000"/>
                      <w:kern w:val="0"/>
                      <w:szCs w:val="21"/>
                    </w:rPr>
                    <w:t>（三）优化产业布局。按上级要求编制完成全市“三线一单”（生态保护红线、环境质量底线、资源利用上线和环境准入清单），划定单元细化、精确到每个乡镇，为优化发展布局、推动产业结构调整提供科学指南。明确禁止和限制发展的行业、生产工艺和产业目录，严格执行江苏省产业结构调整限制、淘汰和禁止目录，各辖市、区根据空气质量改善需求可制订更严格的产业准入门槛。积极推行区域、规划环境影响评价，新、改、扩建钢铁、石化、化工、焦化、建材、有色等项目的环境影响评价，应满足区域、规划环评要求，其中钢铁和煤电项目不得新建，化工项目应符合江苏省相关行业环境准入和排放标准。在园区内开展环境政策和制度集成改革试点，放大政策扶持和改革集成效应。</w:t>
                  </w:r>
                </w:p>
              </w:tc>
              <w:tc>
                <w:tcPr>
                  <w:tcW w:w="941" w:type="pct"/>
                  <w:vAlign w:val="center"/>
                </w:tcPr>
                <w:p>
                  <w:pPr>
                    <w:widowControl/>
                    <w:jc w:val="left"/>
                    <w:textAlignment w:val="bottom"/>
                    <w:rPr>
                      <w:color w:val="000000"/>
                      <w:kern w:val="0"/>
                      <w:szCs w:val="21"/>
                    </w:rPr>
                  </w:pPr>
                  <w:r>
                    <w:rPr>
                      <w:color w:val="000000"/>
                      <w:kern w:val="0"/>
                      <w:szCs w:val="21"/>
                    </w:rPr>
                    <w:t>本项目不属于产业结构调整限制、淘汰和禁止项目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058" w:type="pct"/>
                  <w:vAlign w:val="center"/>
                </w:tcPr>
                <w:p>
                  <w:pPr>
                    <w:widowControl/>
                    <w:jc w:val="left"/>
                    <w:textAlignment w:val="bottom"/>
                    <w:rPr>
                      <w:color w:val="000000"/>
                      <w:kern w:val="0"/>
                      <w:szCs w:val="21"/>
                    </w:rPr>
                  </w:pPr>
                  <w:r>
                    <w:rPr>
                      <w:color w:val="000000"/>
                      <w:kern w:val="0"/>
                      <w:szCs w:val="21"/>
                    </w:rPr>
                    <w:t>（六）深化工业污染治理。持续推进工业污染源全面达标排放，加大超标处罚和联合惩戒力度，未达标排放的企业一律依法停产整治。建立覆盖所有固定污染源的企业排放许可制度，2020年底前完成排污许可管理名录规定的行业许可证核发。</w:t>
                  </w:r>
                </w:p>
              </w:tc>
              <w:tc>
                <w:tcPr>
                  <w:tcW w:w="941" w:type="pct"/>
                  <w:vAlign w:val="center"/>
                </w:tcPr>
                <w:p>
                  <w:pPr>
                    <w:widowControl/>
                    <w:jc w:val="left"/>
                    <w:textAlignment w:val="bottom"/>
                    <w:rPr>
                      <w:color w:val="000000"/>
                      <w:kern w:val="0"/>
                      <w:szCs w:val="21"/>
                    </w:rPr>
                  </w:pPr>
                  <w:r>
                    <w:rPr>
                      <w:color w:val="000000"/>
                      <w:kern w:val="0"/>
                      <w:szCs w:val="21"/>
                    </w:rPr>
                    <w:t>企业已取得排污许可证；本项目二氧化硫、氮氧化物、颗粒物可达标排放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058" w:type="pct"/>
                  <w:vAlign w:val="center"/>
                </w:tcPr>
                <w:p>
                  <w:pPr>
                    <w:widowControl/>
                    <w:jc w:val="left"/>
                    <w:textAlignment w:val="bottom"/>
                    <w:rPr>
                      <w:color w:val="000000"/>
                      <w:kern w:val="0"/>
                      <w:szCs w:val="21"/>
                    </w:rPr>
                  </w:pPr>
                  <w:r>
                    <w:rPr>
                      <w:color w:val="000000"/>
                      <w:kern w:val="0"/>
                      <w:szCs w:val="21"/>
                    </w:rPr>
                    <w:t>（十）开展燃煤锅炉综合整治。2019年底前，35蒸吨/小时及以下燃煤锅炉全部淘汰或实施清洁能源替代，按照宜电则电、宜气则气等原则进行整治，鼓励使用太阳能、生物质能等；推进煤炭清洁化利用，推广清洁高效燃煤锅炉，65蒸吨/小时及以上的燃煤锅炉全部完成节能和超低排放改造；燃气锅炉基本完成低氮改造；城市建成区生物质锅炉实施超低排放改造；其余燃煤锅炉全部达到特别排放限值要求。</w:t>
                  </w:r>
                </w:p>
              </w:tc>
              <w:tc>
                <w:tcPr>
                  <w:tcW w:w="941" w:type="pct"/>
                  <w:vAlign w:val="center"/>
                </w:tcPr>
                <w:p>
                  <w:pPr>
                    <w:widowControl/>
                    <w:jc w:val="left"/>
                    <w:textAlignment w:val="bottom"/>
                    <w:rPr>
                      <w:color w:val="000000"/>
                      <w:kern w:val="0"/>
                      <w:szCs w:val="21"/>
                    </w:rPr>
                  </w:pPr>
                  <w:r>
                    <w:rPr>
                      <w:color w:val="000000"/>
                      <w:kern w:val="0"/>
                      <w:szCs w:val="21"/>
                    </w:rPr>
                    <w:t>本项目为燃气锅炉，并配套安装低氮燃烧器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058" w:type="pct"/>
                  <w:vAlign w:val="center"/>
                </w:tcPr>
                <w:p>
                  <w:pPr>
                    <w:widowControl/>
                    <w:jc w:val="left"/>
                    <w:textAlignment w:val="bottom"/>
                    <w:rPr>
                      <w:color w:val="000000"/>
                      <w:kern w:val="0"/>
                      <w:szCs w:val="21"/>
                    </w:rPr>
                  </w:pPr>
                  <w:r>
                    <w:rPr>
                      <w:color w:val="000000"/>
                      <w:kern w:val="0"/>
                      <w:szCs w:val="21"/>
                    </w:rPr>
                    <w:t>（十二）加快发展清洁能源和新能源。坚持集中开发与分散利用并举，调整优化开发布局，优化太阳能开发布局，因地制宜发展生物质能、地热能等。在具备资源条件的地方，鼓励乡镇发展生物质热电联产、生物质成型燃料锅炉及生物天然气。到2020年，非化石能源发电装机容量逐步提高。</w:t>
                  </w:r>
                </w:p>
              </w:tc>
              <w:tc>
                <w:tcPr>
                  <w:tcW w:w="941" w:type="pct"/>
                  <w:vAlign w:val="center"/>
                </w:tcPr>
                <w:p>
                  <w:pPr>
                    <w:widowControl/>
                    <w:jc w:val="left"/>
                    <w:textAlignment w:val="bottom"/>
                    <w:rPr>
                      <w:color w:val="000000"/>
                      <w:kern w:val="0"/>
                      <w:szCs w:val="21"/>
                    </w:rPr>
                  </w:pPr>
                  <w:r>
                    <w:rPr>
                      <w:color w:val="000000"/>
                      <w:kern w:val="0"/>
                      <w:szCs w:val="21"/>
                    </w:rPr>
                    <w:t>本项目使用天然气作为燃料，属清洁能源</w:t>
                  </w:r>
                </w:p>
              </w:tc>
            </w:tr>
          </w:tbl>
          <w:p>
            <w:pPr>
              <w:autoSpaceDE w:val="0"/>
              <w:autoSpaceDN w:val="0"/>
              <w:adjustRightInd w:val="0"/>
              <w:snapToGrid w:val="0"/>
              <w:spacing w:line="360" w:lineRule="auto"/>
              <w:ind w:firstLine="480" w:firstLineChars="200"/>
              <w:jc w:val="left"/>
              <w:rPr>
                <w:sz w:val="24"/>
              </w:rPr>
            </w:pPr>
            <w:r>
              <w:rPr>
                <w:sz w:val="24"/>
              </w:rPr>
              <w:t>综上，本项目建设符合“蓝天保卫战三年行动计划”要求。</w:t>
            </w:r>
          </w:p>
          <w:p>
            <w:pPr>
              <w:autoSpaceDE w:val="0"/>
              <w:autoSpaceDN w:val="0"/>
              <w:adjustRightInd w:val="0"/>
              <w:snapToGrid w:val="0"/>
              <w:spacing w:line="360" w:lineRule="auto"/>
              <w:ind w:firstLine="480" w:firstLineChars="200"/>
              <w:jc w:val="left"/>
              <w:rPr>
                <w:sz w:val="24"/>
              </w:rPr>
            </w:pPr>
            <w:r>
              <w:rPr>
                <w:sz w:val="24"/>
              </w:rPr>
              <w:t>（3）与《江苏省太湖水污染防治条例》（2018年本）相符性分析</w:t>
            </w:r>
          </w:p>
          <w:p>
            <w:pPr>
              <w:pStyle w:val="8"/>
              <w:spacing w:after="0"/>
              <w:ind w:left="0" w:leftChars="0" w:right="0" w:rightChars="0"/>
              <w:jc w:val="center"/>
              <w:rPr>
                <w:rFonts w:ascii="Times New Roman" w:hAnsi="Times New Roman"/>
                <w:b/>
                <w:bCs/>
                <w:sz w:val="24"/>
                <w:szCs w:val="24"/>
              </w:rPr>
            </w:pPr>
            <w:r>
              <w:rPr>
                <w:rFonts w:ascii="Times New Roman" w:hAnsi="Times New Roman"/>
                <w:b/>
                <w:bCs/>
                <w:sz w:val="24"/>
                <w:szCs w:val="24"/>
              </w:rPr>
              <w:t>表1-</w:t>
            </w:r>
            <w:r>
              <w:rPr>
                <w:rFonts w:hint="eastAsia" w:ascii="Times New Roman" w:hAnsi="Times New Roman"/>
                <w:b/>
                <w:bCs/>
                <w:sz w:val="24"/>
                <w:szCs w:val="24"/>
                <w:lang w:val="en-US" w:eastAsia="zh-CN"/>
              </w:rPr>
              <w:t>9</w:t>
            </w:r>
            <w:r>
              <w:rPr>
                <w:rFonts w:ascii="Times New Roman" w:hAnsi="Times New Roman"/>
                <w:b/>
                <w:bCs/>
                <w:sz w:val="24"/>
                <w:szCs w:val="24"/>
              </w:rPr>
              <w:t xml:space="preserve">  与《江苏省太湖水污染防治条例》的相符性分析</w:t>
            </w:r>
          </w:p>
          <w:tbl>
            <w:tblPr>
              <w:tblStyle w:val="2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49"/>
              <w:gridCol w:w="15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4059" w:type="pct"/>
                  <w:vAlign w:val="center"/>
                </w:tcPr>
                <w:p>
                  <w:pPr>
                    <w:jc w:val="center"/>
                    <w:rPr>
                      <w:b/>
                    </w:rPr>
                  </w:pPr>
                  <w:r>
                    <w:rPr>
                      <w:b/>
                    </w:rPr>
                    <w:t>要求</w:t>
                  </w:r>
                </w:p>
              </w:tc>
              <w:tc>
                <w:tcPr>
                  <w:tcW w:w="941" w:type="pct"/>
                  <w:vAlign w:val="center"/>
                </w:tcPr>
                <w:p>
                  <w:pPr>
                    <w:jc w:val="center"/>
                    <w:rPr>
                      <w:b/>
                    </w:rPr>
                  </w:pPr>
                  <w:r>
                    <w:rPr>
                      <w:b/>
                    </w:rPr>
                    <w:t>相符性分析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059" w:type="pct"/>
                  <w:vAlign w:val="center"/>
                </w:tcPr>
                <w:p>
                  <w:pPr>
                    <w:ind w:firstLine="420" w:firstLineChars="200"/>
                  </w:pPr>
                  <w:r>
                    <w:t>根据《江苏省太湖水污染防治条例》（2018年修订）：第四十三条：太湖流域一、二、三级保护区禁止下列行为：</w:t>
                  </w:r>
                </w:p>
                <w:p>
                  <w:pPr>
                    <w:ind w:firstLine="420" w:firstLineChars="200"/>
                  </w:pPr>
                  <w:r>
                    <w:t>（一）新建、改建、扩建化学制浆造纸、制革、酿造、染料、印染、电镀以及其他排放含磷、氮等污染物的企业和项目，城镇污水集中处理等环境基础设施项目和第四十六条规定的情形除外；</w:t>
                  </w:r>
                </w:p>
                <w:p>
                  <w:pPr>
                    <w:ind w:firstLine="420" w:firstLineChars="200"/>
                  </w:pPr>
                  <w:r>
                    <w:t>（二）销售、使用含磷洗涤用品；</w:t>
                  </w:r>
                </w:p>
                <w:p>
                  <w:pPr>
                    <w:ind w:firstLine="420" w:firstLineChars="200"/>
                  </w:pPr>
                  <w:r>
                    <w:t>（三）向水体排放或者倾倒油类、酸液、碱液、剧毒废渣废液、含放射性废渣废液、含病原体污水、工业废渣以及其他废弃物；</w:t>
                  </w:r>
                </w:p>
                <w:p>
                  <w:pPr>
                    <w:ind w:firstLine="420" w:firstLineChars="200"/>
                  </w:pPr>
                  <w:r>
                    <w:t>（四）在水体清洗装贮过油类或者有毒有害污染物的车辆、船舶和容器等；</w:t>
                  </w:r>
                </w:p>
                <w:p>
                  <w:pPr>
                    <w:ind w:firstLine="420" w:firstLineChars="200"/>
                  </w:pPr>
                  <w:r>
                    <w:t>（五）使用农药等有毒物毒杀水生生物；</w:t>
                  </w:r>
                </w:p>
                <w:p>
                  <w:pPr>
                    <w:ind w:firstLine="420" w:firstLineChars="200"/>
                  </w:pPr>
                  <w:r>
                    <w:t>（六）向水体直接排放人畜粪便、倾倒垃圾；</w:t>
                  </w:r>
                </w:p>
                <w:p>
                  <w:pPr>
                    <w:ind w:firstLine="420" w:firstLineChars="200"/>
                  </w:pPr>
                  <w:r>
                    <w:t>（七）围湖造地；</w:t>
                  </w:r>
                </w:p>
                <w:p>
                  <w:pPr>
                    <w:ind w:firstLine="420" w:firstLineChars="200"/>
                  </w:pPr>
                  <w:r>
                    <w:t>（八）违法开山采石，或者进行破坏林木、植被、水生生物的活动；</w:t>
                  </w:r>
                </w:p>
                <w:p>
                  <w:pPr>
                    <w:ind w:firstLine="420" w:firstLineChars="200"/>
                  </w:pPr>
                  <w:r>
                    <w:t>（九）法律、法规禁止的其他行为。</w:t>
                  </w:r>
                </w:p>
              </w:tc>
              <w:tc>
                <w:tcPr>
                  <w:tcW w:w="941" w:type="pct"/>
                  <w:vAlign w:val="center"/>
                </w:tcPr>
                <w:p>
                  <w:pPr>
                    <w:ind w:firstLine="420" w:firstLineChars="200"/>
                  </w:pPr>
                  <w:r>
                    <w:t>本项目无废水产生和排放，不属于上述禁止类项目。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059" w:type="pct"/>
                  <w:vAlign w:val="center"/>
                </w:tcPr>
                <w:p>
                  <w:pPr>
                    <w:ind w:firstLine="420" w:firstLineChars="200"/>
                  </w:pPr>
                  <w:r>
                    <w:t>第四十六条：太湖流域二、三级保护区内，在工业集聚区新建、改建、扩建排放含磷、氮等污染物的战略性新兴产业项目和改建印染项目，以及排放含磷、氮等污染物的现有企业在不增加产能的前提下实施提升环保标准的技术改造项目，应当符合国家产业政策和水环境综合治理要求，在实现国家和省减排目标的基础上，实施区域磷、氮等重点水污染物年排放总量减量替代。其中，战略性新兴产业新建、扩建项目新增的磷、氮等重点水污染物排放总量应当从本区域通过产业置换、淘汰、关闭等方式获得的指标中取得，且按照不低于该项目新增年排放总量的1.1倍实施减量替代；战略性新兴产业改建项目应当实现项目磷、氮等重点水污染物年排放总量减少，印染改建项目应当按照不低于该项目磷、氮等重点水污染物年排放总量指标的二倍实行减量替代；提升环保标准的技术改造项目的磷、氮等重点水污染物年排放总量减少幅度应当不低于该项目原年排放总量的百分之二十。前述减少的磷、氮等重点水污染物年排放总量指标不得用于其他项目。具体减量替代办法由省人民政府根据经济社会发展水平和区域水环境质量改善情况制定。</w:t>
                  </w:r>
                </w:p>
              </w:tc>
              <w:tc>
                <w:tcPr>
                  <w:tcW w:w="941" w:type="pct"/>
                  <w:vAlign w:val="center"/>
                </w:tcPr>
                <w:p>
                  <w:pPr>
                    <w:ind w:firstLine="420" w:firstLineChars="200"/>
                  </w:pPr>
                  <w:r>
                    <w:rPr>
                      <w:szCs w:val="21"/>
                    </w:rPr>
                    <w:t>本项目位于常州市武进区礼嘉镇工业集中区，属于太湖流域三级保护区，</w:t>
                  </w:r>
                  <w:r>
                    <w:t>生产过程中无含磷、氮生产废水排放。</w:t>
                  </w:r>
                </w:p>
              </w:tc>
            </w:tr>
          </w:tbl>
          <w:p>
            <w:pPr>
              <w:spacing w:line="360" w:lineRule="auto"/>
              <w:ind w:firstLine="480" w:firstLineChars="200"/>
              <w:rPr>
                <w:sz w:val="24"/>
              </w:rPr>
            </w:pPr>
            <w:r>
              <w:rPr>
                <w:sz w:val="24"/>
              </w:rPr>
              <w:t>综上，本项目与《江苏省太湖水污染防治条例》（2018年本）的要求相符。</w:t>
            </w:r>
          </w:p>
          <w:p>
            <w:pPr>
              <w:widowControl/>
              <w:adjustRightInd w:val="0"/>
              <w:snapToGrid w:val="0"/>
              <w:spacing w:line="360" w:lineRule="auto"/>
              <w:ind w:left="420" w:leftChars="200"/>
              <w:rPr>
                <w:sz w:val="24"/>
              </w:rPr>
            </w:pPr>
            <w:r>
              <w:rPr>
                <w:sz w:val="24"/>
              </w:rPr>
              <w:t>（</w:t>
            </w:r>
            <w:r>
              <w:rPr>
                <w:rFonts w:hint="eastAsia"/>
                <w:sz w:val="24"/>
                <w:lang w:val="en-US" w:eastAsia="zh-CN"/>
              </w:rPr>
              <w:t>4</w:t>
            </w:r>
            <w:r>
              <w:rPr>
                <w:sz w:val="24"/>
              </w:rPr>
              <w:t>）与《太湖流域管理条例》(国务院令第604号)相符性分析</w:t>
            </w:r>
          </w:p>
          <w:p>
            <w:pPr>
              <w:pStyle w:val="8"/>
              <w:spacing w:after="0"/>
              <w:ind w:left="0" w:leftChars="0" w:right="0" w:rightChars="0"/>
              <w:jc w:val="center"/>
              <w:rPr>
                <w:rFonts w:ascii="Times New Roman" w:hAnsi="Times New Roman"/>
                <w:b/>
                <w:bCs/>
                <w:sz w:val="24"/>
                <w:szCs w:val="24"/>
              </w:rPr>
            </w:pPr>
            <w:r>
              <w:rPr>
                <w:rFonts w:ascii="Times New Roman" w:hAnsi="Times New Roman"/>
                <w:b/>
                <w:bCs/>
                <w:sz w:val="24"/>
                <w:szCs w:val="24"/>
              </w:rPr>
              <w:t>表1-</w:t>
            </w:r>
            <w:r>
              <w:rPr>
                <w:rFonts w:hint="eastAsia" w:ascii="Times New Roman" w:hAnsi="Times New Roman"/>
                <w:b/>
                <w:bCs/>
                <w:sz w:val="24"/>
                <w:szCs w:val="24"/>
                <w:lang w:val="en-US" w:eastAsia="zh-CN"/>
              </w:rPr>
              <w:t>10</w:t>
            </w:r>
            <w:r>
              <w:rPr>
                <w:rFonts w:ascii="Times New Roman" w:hAnsi="Times New Roman"/>
                <w:b/>
                <w:bCs/>
                <w:sz w:val="24"/>
                <w:szCs w:val="24"/>
              </w:rPr>
              <w:t xml:space="preserve">  与《太湖流域管理条例》的相符性分析</w:t>
            </w:r>
          </w:p>
          <w:tbl>
            <w:tblPr>
              <w:tblStyle w:val="2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02"/>
              <w:gridCol w:w="14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091" w:type="pct"/>
                  <w:tcBorders>
                    <w:top w:val="single" w:color="auto" w:sz="12" w:space="0"/>
                  </w:tcBorders>
                  <w:vAlign w:val="center"/>
                </w:tcPr>
                <w:p>
                  <w:pPr>
                    <w:jc w:val="center"/>
                    <w:rPr>
                      <w:b/>
                    </w:rPr>
                  </w:pPr>
                  <w:r>
                    <w:rPr>
                      <w:b/>
                    </w:rPr>
                    <w:t>要求</w:t>
                  </w:r>
                </w:p>
              </w:tc>
              <w:tc>
                <w:tcPr>
                  <w:tcW w:w="908" w:type="pct"/>
                  <w:tcBorders>
                    <w:top w:val="single" w:color="auto" w:sz="12" w:space="0"/>
                  </w:tcBorders>
                  <w:vAlign w:val="center"/>
                </w:tcPr>
                <w:p>
                  <w:pPr>
                    <w:jc w:val="center"/>
                    <w:rPr>
                      <w:b/>
                    </w:rPr>
                  </w:pPr>
                  <w:r>
                    <w:rPr>
                      <w:b/>
                    </w:rPr>
                    <w:t>相符性分析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91" w:type="pct"/>
                  <w:tcBorders>
                    <w:bottom w:val="single" w:color="auto" w:sz="2" w:space="0"/>
                  </w:tcBorders>
                  <w:vAlign w:val="center"/>
                </w:tcPr>
                <w:p>
                  <w:pPr>
                    <w:ind w:firstLine="420" w:firstLineChars="200"/>
                  </w:pPr>
                  <w:r>
                    <w:t>第二十八条：禁止在太湖流域设置不符合国家产业政策和水环境综合治理要求的造纸、制革、酒精、淀粉、冶金、酿造、印染、电镀等排放水污染物的生产项目”；</w:t>
                  </w:r>
                </w:p>
              </w:tc>
              <w:tc>
                <w:tcPr>
                  <w:tcW w:w="908" w:type="pct"/>
                  <w:tcBorders>
                    <w:bottom w:val="single" w:color="auto" w:sz="2" w:space="0"/>
                  </w:tcBorders>
                  <w:vAlign w:val="center"/>
                </w:tcPr>
                <w:p>
                  <w:pPr>
                    <w:jc w:val="center"/>
                  </w:pPr>
                  <w:r>
                    <w:t>本项目为热力生产和供应工程，不属于禁止类项目。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4091" w:type="pct"/>
                  <w:tcBorders>
                    <w:top w:val="single" w:color="auto" w:sz="2" w:space="0"/>
                    <w:bottom w:val="single" w:color="auto" w:sz="2" w:space="0"/>
                  </w:tcBorders>
                  <w:vAlign w:val="center"/>
                </w:tcPr>
                <w:p>
                  <w:pPr>
                    <w:ind w:firstLine="420" w:firstLineChars="200"/>
                  </w:pPr>
                  <w:r>
                    <w:t>第二十九条：新孟河、望虞河以外的其他主要入太湖河道，自河口1万米上溯至5万米河道岸线内及其岸线两侧各1000米范围内，禁止下列行为：</w:t>
                  </w:r>
                </w:p>
                <w:p>
                  <w:pPr>
                    <w:ind w:firstLine="420" w:firstLineChars="200"/>
                  </w:pPr>
                  <w:r>
                    <w:t>（一）新建、扩建化工、医药生产项目；</w:t>
                  </w:r>
                </w:p>
                <w:p>
                  <w:pPr>
                    <w:ind w:firstLine="420" w:firstLineChars="200"/>
                  </w:pPr>
                  <w:r>
                    <w:t>（二）新建、扩建污水集中处理设施排污口以外的排污口；</w:t>
                  </w:r>
                </w:p>
                <w:p>
                  <w:pPr>
                    <w:ind w:firstLine="420" w:firstLineChars="200"/>
                  </w:pPr>
                  <w:r>
                    <w:t>（三）扩大水产养殖规模。</w:t>
                  </w:r>
                </w:p>
              </w:tc>
              <w:tc>
                <w:tcPr>
                  <w:tcW w:w="908" w:type="pct"/>
                  <w:tcBorders>
                    <w:top w:val="single" w:color="auto" w:sz="2" w:space="0"/>
                    <w:bottom w:val="single" w:color="auto" w:sz="2" w:space="0"/>
                  </w:tcBorders>
                  <w:vAlign w:val="center"/>
                </w:tcPr>
                <w:p>
                  <w:pPr>
                    <w:jc w:val="center"/>
                  </w:pPr>
                  <w:r>
                    <w:t>本项目周边不涉及入太湖河道。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4091" w:type="pct"/>
                  <w:tcBorders>
                    <w:top w:val="single" w:color="auto" w:sz="2" w:space="0"/>
                    <w:bottom w:val="single" w:color="auto" w:sz="12" w:space="0"/>
                  </w:tcBorders>
                  <w:vAlign w:val="center"/>
                </w:tcPr>
                <w:p>
                  <w:pPr>
                    <w:ind w:firstLine="420" w:firstLineChars="200"/>
                  </w:pPr>
                  <w:r>
                    <w:t>第三十条：太湖岸线内和岸线周边5000米范围内，淀山湖岸线内和岸线周边2000米范围内，太浦河、新孟河、望虞河岸线内和岸线两侧各1000米范围内，其他主要入太湖河道自河口上溯至1万米河道岸线内及其岸线两侧各1000米范围内，禁止下列行为：（一）设置剧毒物质、危险化学品的贮存、输送设施和废物回收场、垃圾场；（二）设置水上餐饮经营设施；（三）新建、扩建高尔夫球场；（四）新建、扩建畜禽养殖场；（五）新建、扩建向水体排放污染物的建设项目；（六）本条例第二十九条规定的行为。已经设置前款第一项、第二项规定设施的，当地县级人民政府应当责令拆除或者关闭”的项目。</w:t>
                  </w:r>
                </w:p>
              </w:tc>
              <w:tc>
                <w:tcPr>
                  <w:tcW w:w="908" w:type="pct"/>
                  <w:tcBorders>
                    <w:top w:val="single" w:color="auto" w:sz="2" w:space="0"/>
                    <w:bottom w:val="single" w:color="auto" w:sz="12" w:space="0"/>
                  </w:tcBorders>
                  <w:vAlign w:val="center"/>
                </w:tcPr>
                <w:p>
                  <w:pPr>
                    <w:jc w:val="center"/>
                  </w:pPr>
                  <w:r>
                    <w:t>本项目不属于上述区域内。</w:t>
                  </w:r>
                </w:p>
              </w:tc>
            </w:tr>
          </w:tbl>
          <w:p>
            <w:pPr>
              <w:widowControl/>
              <w:adjustRightInd w:val="0"/>
              <w:snapToGrid w:val="0"/>
              <w:spacing w:line="360" w:lineRule="auto"/>
              <w:ind w:left="479" w:leftChars="228"/>
              <w:rPr>
                <w:sz w:val="24"/>
              </w:rPr>
            </w:pPr>
            <w:r>
              <w:rPr>
                <w:sz w:val="24"/>
              </w:rPr>
              <w:t>综上，本项目与《太湖流域管理条例》(国务院令第604号)的要求相符。</w:t>
            </w:r>
          </w:p>
          <w:p>
            <w:pPr>
              <w:autoSpaceDE w:val="0"/>
              <w:autoSpaceDN w:val="0"/>
              <w:snapToGrid w:val="0"/>
              <w:spacing w:line="360" w:lineRule="auto"/>
              <w:jc w:val="left"/>
              <w:rPr>
                <w:b/>
                <w:sz w:val="24"/>
              </w:rPr>
            </w:pPr>
            <w:r>
              <w:rPr>
                <w:rFonts w:hint="eastAsia"/>
                <w:b/>
                <w:sz w:val="24"/>
                <w:lang w:val="en-US" w:eastAsia="zh-CN"/>
              </w:rPr>
              <w:t>3</w:t>
            </w:r>
            <w:r>
              <w:rPr>
                <w:b/>
                <w:sz w:val="24"/>
              </w:rPr>
              <w:t>、与《省生态环境厅关于进一步加强建设项目环评审批和服务工作的指导意见》（苏环办〔2020〕225号）相符性分析</w:t>
            </w:r>
          </w:p>
          <w:p>
            <w:pPr>
              <w:autoSpaceDE w:val="0"/>
              <w:autoSpaceDN w:val="0"/>
              <w:snapToGrid w:val="0"/>
              <w:jc w:val="center"/>
              <w:rPr>
                <w:b/>
                <w:bCs/>
                <w:sz w:val="24"/>
              </w:rPr>
            </w:pPr>
            <w:r>
              <w:rPr>
                <w:b/>
                <w:bCs/>
                <w:sz w:val="24"/>
              </w:rPr>
              <w:t>表1-1</w:t>
            </w:r>
            <w:r>
              <w:rPr>
                <w:rFonts w:hint="eastAsia"/>
                <w:b/>
                <w:bCs/>
                <w:sz w:val="24"/>
                <w:lang w:val="en-US" w:eastAsia="zh-CN"/>
              </w:rPr>
              <w:t>1</w:t>
            </w:r>
            <w:r>
              <w:rPr>
                <w:b/>
                <w:bCs/>
                <w:sz w:val="24"/>
              </w:rPr>
              <w:t xml:space="preserve">  与苏环办〔2020〕225号文相符性分析表</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2977"/>
              <w:gridCol w:w="3437"/>
              <w:gridCol w:w="7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44" w:type="pct"/>
                  <w:tcBorders>
                    <w:top w:val="single" w:color="auto" w:sz="12" w:space="0"/>
                    <w:left w:val="nil"/>
                    <w:bottom w:val="single" w:color="auto" w:sz="4" w:space="0"/>
                    <w:right w:val="single" w:color="auto" w:sz="4" w:space="0"/>
                  </w:tcBorders>
                  <w:vAlign w:val="center"/>
                </w:tcPr>
                <w:p>
                  <w:pPr>
                    <w:autoSpaceDE w:val="0"/>
                    <w:autoSpaceDN w:val="0"/>
                    <w:snapToGrid w:val="0"/>
                    <w:jc w:val="center"/>
                    <w:rPr>
                      <w:b/>
                      <w:bCs/>
                      <w:szCs w:val="21"/>
                    </w:rPr>
                  </w:pPr>
                  <w:r>
                    <w:rPr>
                      <w:b/>
                      <w:bCs/>
                    </w:rPr>
                    <w:t>类别</w:t>
                  </w:r>
                </w:p>
              </w:tc>
              <w:tc>
                <w:tcPr>
                  <w:tcW w:w="1845" w:type="pct"/>
                  <w:tcBorders>
                    <w:top w:val="single" w:color="auto" w:sz="12" w:space="0"/>
                    <w:left w:val="single" w:color="auto" w:sz="4" w:space="0"/>
                    <w:bottom w:val="single" w:color="auto" w:sz="4" w:space="0"/>
                    <w:right w:val="single" w:color="auto" w:sz="4" w:space="0"/>
                  </w:tcBorders>
                  <w:vAlign w:val="center"/>
                </w:tcPr>
                <w:p>
                  <w:pPr>
                    <w:autoSpaceDE w:val="0"/>
                    <w:autoSpaceDN w:val="0"/>
                    <w:snapToGrid w:val="0"/>
                    <w:jc w:val="center"/>
                    <w:rPr>
                      <w:b/>
                      <w:bCs/>
                      <w:szCs w:val="21"/>
                    </w:rPr>
                  </w:pPr>
                  <w:r>
                    <w:rPr>
                      <w:b/>
                      <w:bCs/>
                    </w:rPr>
                    <w:t>文件要求</w:t>
                  </w:r>
                </w:p>
              </w:tc>
              <w:tc>
                <w:tcPr>
                  <w:tcW w:w="2130" w:type="pct"/>
                  <w:tcBorders>
                    <w:top w:val="single" w:color="auto" w:sz="12" w:space="0"/>
                    <w:left w:val="single" w:color="auto" w:sz="4" w:space="0"/>
                    <w:bottom w:val="single" w:color="auto" w:sz="4" w:space="0"/>
                    <w:right w:val="single" w:color="auto" w:sz="4" w:space="0"/>
                  </w:tcBorders>
                  <w:vAlign w:val="center"/>
                </w:tcPr>
                <w:p>
                  <w:pPr>
                    <w:autoSpaceDE w:val="0"/>
                    <w:autoSpaceDN w:val="0"/>
                    <w:snapToGrid w:val="0"/>
                    <w:jc w:val="center"/>
                    <w:rPr>
                      <w:b/>
                      <w:bCs/>
                      <w:szCs w:val="21"/>
                    </w:rPr>
                  </w:pPr>
                  <w:r>
                    <w:rPr>
                      <w:b/>
                      <w:bCs/>
                    </w:rPr>
                    <w:t>本项目情况</w:t>
                  </w:r>
                </w:p>
              </w:tc>
              <w:tc>
                <w:tcPr>
                  <w:tcW w:w="481" w:type="pct"/>
                  <w:tcBorders>
                    <w:top w:val="single" w:color="auto" w:sz="12" w:space="0"/>
                    <w:left w:val="single" w:color="auto" w:sz="4" w:space="0"/>
                    <w:bottom w:val="single" w:color="auto" w:sz="4" w:space="0"/>
                    <w:right w:val="nil"/>
                  </w:tcBorders>
                  <w:vAlign w:val="center"/>
                </w:tcPr>
                <w:p>
                  <w:pPr>
                    <w:autoSpaceDE w:val="0"/>
                    <w:autoSpaceDN w:val="0"/>
                    <w:snapToGrid w:val="0"/>
                    <w:jc w:val="center"/>
                    <w:rPr>
                      <w:b/>
                      <w:bCs/>
                      <w:szCs w:val="21"/>
                    </w:rPr>
                  </w:pPr>
                  <w:r>
                    <w:rPr>
                      <w:b/>
                      <w:bCs/>
                    </w:rPr>
                    <w:t>是否相符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4" w:type="pct"/>
                  <w:vMerge w:val="restart"/>
                  <w:tcBorders>
                    <w:top w:val="single" w:color="auto" w:sz="4" w:space="0"/>
                    <w:left w:val="nil"/>
                    <w:bottom w:val="single" w:color="auto" w:sz="4" w:space="0"/>
                    <w:right w:val="single" w:color="auto" w:sz="4" w:space="0"/>
                  </w:tcBorders>
                  <w:vAlign w:val="center"/>
                </w:tcPr>
                <w:p>
                  <w:pPr>
                    <w:autoSpaceDE w:val="0"/>
                    <w:autoSpaceDN w:val="0"/>
                    <w:snapToGrid w:val="0"/>
                    <w:jc w:val="center"/>
                    <w:rPr>
                      <w:szCs w:val="21"/>
                    </w:rPr>
                  </w:pPr>
                  <w:r>
                    <w:t>严守生态环境质量底线</w:t>
                  </w:r>
                </w:p>
              </w:tc>
              <w:tc>
                <w:tcPr>
                  <w:tcW w:w="1845"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ind w:firstLine="420" w:firstLineChars="200"/>
                    <w:rPr>
                      <w:szCs w:val="21"/>
                    </w:rPr>
                  </w:pPr>
                  <w:r>
                    <w:t>建设项目所在区域环境质量末达到国家或地方环境质量标准，且项目拟采取的污染防治措施不能满足区域环境质量改善目标管理要求的，一律不得审批。</w:t>
                  </w:r>
                </w:p>
              </w:tc>
              <w:tc>
                <w:tcPr>
                  <w:tcW w:w="2130"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ind w:firstLine="420" w:firstLineChars="200"/>
                    <w:rPr>
                      <w:szCs w:val="21"/>
                    </w:rPr>
                  </w:pPr>
                  <w:r>
                    <w:t>根据《常州市生态环境状况公报（2020）》，项目所在区域大气环境质量属于不达标区。根据环境质量现状监测数据，地表水、声环境质量均能够满足相应功能区划要求。项目建成后采取严格的污染防治措施，废气、厂界噪声均可达标排放，不会突破项目所在地环境质量底线。</w:t>
                  </w:r>
                </w:p>
              </w:tc>
              <w:tc>
                <w:tcPr>
                  <w:tcW w:w="481" w:type="pct"/>
                  <w:tcBorders>
                    <w:top w:val="single" w:color="auto" w:sz="4" w:space="0"/>
                    <w:left w:val="single" w:color="auto" w:sz="4" w:space="0"/>
                    <w:bottom w:val="single" w:color="auto" w:sz="4" w:space="0"/>
                    <w:right w:val="nil"/>
                  </w:tcBorders>
                  <w:vAlign w:val="center"/>
                </w:tcPr>
                <w:p>
                  <w:pPr>
                    <w:autoSpaceDE w:val="0"/>
                    <w:autoSpaceDN w:val="0"/>
                    <w:snapToGrid w:val="0"/>
                    <w:jc w:val="center"/>
                    <w:rPr>
                      <w:szCs w:val="21"/>
                    </w:rPr>
                  </w:pPr>
                  <w: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544" w:type="pct"/>
                  <w:vMerge w:val="continue"/>
                  <w:tcBorders>
                    <w:top w:val="single" w:color="auto" w:sz="4" w:space="0"/>
                    <w:left w:val="nil"/>
                    <w:bottom w:val="single" w:color="auto" w:sz="4" w:space="0"/>
                    <w:right w:val="single" w:color="auto" w:sz="4" w:space="0"/>
                  </w:tcBorders>
                  <w:vAlign w:val="center"/>
                </w:tcPr>
                <w:p>
                  <w:pPr>
                    <w:widowControl/>
                    <w:jc w:val="left"/>
                    <w:rPr>
                      <w:szCs w:val="21"/>
                    </w:rPr>
                  </w:pPr>
                </w:p>
              </w:tc>
              <w:tc>
                <w:tcPr>
                  <w:tcW w:w="1845"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ind w:firstLine="420" w:firstLineChars="200"/>
                    <w:rPr>
                      <w:szCs w:val="21"/>
                    </w:rPr>
                  </w:pPr>
                  <w:r>
                    <w:t>加强规划环评与建设项目环评联动，对不符合规划环评结论及审查意见的项目环评，依法不予审批。规划所包含项目的环评内容，可根据规划环评结论和审查意见予以简化。</w:t>
                  </w:r>
                </w:p>
              </w:tc>
              <w:tc>
                <w:tcPr>
                  <w:tcW w:w="2130"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ind w:firstLine="420" w:firstLineChars="200"/>
                    <w:rPr>
                      <w:szCs w:val="21"/>
                    </w:rPr>
                  </w:pPr>
                  <w:r>
                    <w:t>本项目位于江苏省常州市武进区礼嘉镇工业集中区，用地为工业用地，与礼嘉镇规划相符。</w:t>
                  </w:r>
                </w:p>
              </w:tc>
              <w:tc>
                <w:tcPr>
                  <w:tcW w:w="481" w:type="pct"/>
                  <w:tcBorders>
                    <w:top w:val="single" w:color="auto" w:sz="4" w:space="0"/>
                    <w:left w:val="single" w:color="auto" w:sz="4" w:space="0"/>
                    <w:bottom w:val="single" w:color="auto" w:sz="4" w:space="0"/>
                    <w:right w:val="nil"/>
                  </w:tcBorders>
                  <w:vAlign w:val="center"/>
                </w:tcPr>
                <w:p>
                  <w:pPr>
                    <w:autoSpaceDE w:val="0"/>
                    <w:autoSpaceDN w:val="0"/>
                    <w:snapToGrid w:val="0"/>
                    <w:jc w:val="center"/>
                    <w:rPr>
                      <w:szCs w:val="21"/>
                    </w:rPr>
                  </w:pPr>
                  <w: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544" w:type="pct"/>
                  <w:vMerge w:val="continue"/>
                  <w:tcBorders>
                    <w:top w:val="single" w:color="auto" w:sz="4" w:space="0"/>
                    <w:left w:val="nil"/>
                    <w:bottom w:val="single" w:color="auto" w:sz="4" w:space="0"/>
                    <w:right w:val="single" w:color="auto" w:sz="4" w:space="0"/>
                  </w:tcBorders>
                  <w:vAlign w:val="center"/>
                </w:tcPr>
                <w:p>
                  <w:pPr>
                    <w:widowControl/>
                    <w:jc w:val="left"/>
                    <w:rPr>
                      <w:szCs w:val="21"/>
                    </w:rPr>
                  </w:pPr>
                </w:p>
              </w:tc>
              <w:tc>
                <w:tcPr>
                  <w:tcW w:w="1845"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ind w:firstLine="420" w:firstLineChars="200"/>
                    <w:rPr>
                      <w:szCs w:val="21"/>
                    </w:rPr>
                  </w:pPr>
                  <w:r>
                    <w:t>切实加强区域环境容量、环境承载力研究，不得审批突破环境容量和环境承载力的建设项目。</w:t>
                  </w:r>
                </w:p>
              </w:tc>
              <w:tc>
                <w:tcPr>
                  <w:tcW w:w="2130"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ind w:firstLine="420" w:firstLineChars="200"/>
                    <w:rPr>
                      <w:szCs w:val="21"/>
                    </w:rPr>
                  </w:pPr>
                  <w:r>
                    <w:t>在环境影响评价文件审批前，取得主要污染物排放总量指标</w:t>
                  </w:r>
                </w:p>
              </w:tc>
              <w:tc>
                <w:tcPr>
                  <w:tcW w:w="481" w:type="pct"/>
                  <w:tcBorders>
                    <w:top w:val="single" w:color="auto" w:sz="4" w:space="0"/>
                    <w:left w:val="single" w:color="auto" w:sz="4" w:space="0"/>
                    <w:bottom w:val="single" w:color="auto" w:sz="4" w:space="0"/>
                    <w:right w:val="nil"/>
                  </w:tcBorders>
                  <w:vAlign w:val="center"/>
                </w:tcPr>
                <w:p>
                  <w:pPr>
                    <w:autoSpaceDE w:val="0"/>
                    <w:autoSpaceDN w:val="0"/>
                    <w:snapToGrid w:val="0"/>
                    <w:jc w:val="center"/>
                    <w:rPr>
                      <w:szCs w:val="21"/>
                    </w:rPr>
                  </w:pPr>
                  <w: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544" w:type="pct"/>
                  <w:vMerge w:val="continue"/>
                  <w:tcBorders>
                    <w:top w:val="single" w:color="auto" w:sz="4" w:space="0"/>
                    <w:left w:val="nil"/>
                    <w:bottom w:val="single" w:color="auto" w:sz="4" w:space="0"/>
                    <w:right w:val="single" w:color="auto" w:sz="4" w:space="0"/>
                  </w:tcBorders>
                  <w:vAlign w:val="center"/>
                </w:tcPr>
                <w:p>
                  <w:pPr>
                    <w:widowControl/>
                    <w:jc w:val="left"/>
                    <w:rPr>
                      <w:szCs w:val="21"/>
                    </w:rPr>
                  </w:pPr>
                </w:p>
              </w:tc>
              <w:tc>
                <w:tcPr>
                  <w:tcW w:w="1845"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ind w:firstLine="420" w:firstLineChars="200"/>
                    <w:rPr>
                      <w:szCs w:val="21"/>
                    </w:rPr>
                  </w:pPr>
                  <w:r>
                    <w:t>应将“三线一单”作为建设项目环评审批的重要依据，严格落实生态环境分区管控要求，从严把好环境准入关。</w:t>
                  </w:r>
                </w:p>
              </w:tc>
              <w:tc>
                <w:tcPr>
                  <w:tcW w:w="2130"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ind w:firstLine="420" w:firstLineChars="200"/>
                    <w:rPr>
                      <w:szCs w:val="21"/>
                    </w:rPr>
                  </w:pPr>
                  <w:r>
                    <w:t>本项目符合“三线一单”（即生态保护红线、环境质量底线、资源利用上线、环境准入负面清单）管理机制的要求</w:t>
                  </w:r>
                </w:p>
              </w:tc>
              <w:tc>
                <w:tcPr>
                  <w:tcW w:w="481" w:type="pct"/>
                  <w:tcBorders>
                    <w:top w:val="single" w:color="auto" w:sz="4" w:space="0"/>
                    <w:left w:val="single" w:color="auto" w:sz="4" w:space="0"/>
                    <w:bottom w:val="single" w:color="auto" w:sz="4" w:space="0"/>
                    <w:right w:val="nil"/>
                  </w:tcBorders>
                  <w:vAlign w:val="center"/>
                </w:tcPr>
                <w:p>
                  <w:pPr>
                    <w:autoSpaceDE w:val="0"/>
                    <w:autoSpaceDN w:val="0"/>
                    <w:snapToGrid w:val="0"/>
                    <w:jc w:val="center"/>
                    <w:rPr>
                      <w:szCs w:val="21"/>
                    </w:rPr>
                  </w:pPr>
                  <w: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4" w:type="pct"/>
                  <w:tcBorders>
                    <w:top w:val="single" w:color="auto" w:sz="4" w:space="0"/>
                    <w:left w:val="nil"/>
                    <w:bottom w:val="single" w:color="auto" w:sz="12" w:space="0"/>
                    <w:right w:val="single" w:color="auto" w:sz="4" w:space="0"/>
                  </w:tcBorders>
                  <w:vAlign w:val="center"/>
                </w:tcPr>
                <w:p>
                  <w:pPr>
                    <w:autoSpaceDE w:val="0"/>
                    <w:autoSpaceDN w:val="0"/>
                    <w:snapToGrid w:val="0"/>
                    <w:jc w:val="center"/>
                    <w:rPr>
                      <w:szCs w:val="21"/>
                    </w:rPr>
                  </w:pPr>
                  <w:r>
                    <w:t>严格重点行业环评审批</w:t>
                  </w:r>
                </w:p>
              </w:tc>
              <w:tc>
                <w:tcPr>
                  <w:tcW w:w="1845" w:type="pct"/>
                  <w:tcBorders>
                    <w:top w:val="single" w:color="auto" w:sz="4" w:space="0"/>
                    <w:left w:val="single" w:color="auto" w:sz="4" w:space="0"/>
                    <w:bottom w:val="single" w:color="auto" w:sz="12" w:space="0"/>
                    <w:right w:val="single" w:color="auto" w:sz="4" w:space="0"/>
                  </w:tcBorders>
                  <w:vAlign w:val="center"/>
                </w:tcPr>
                <w:p>
                  <w:pPr>
                    <w:autoSpaceDE w:val="0"/>
                    <w:autoSpaceDN w:val="0"/>
                    <w:snapToGrid w:val="0"/>
                    <w:ind w:firstLine="420" w:firstLineChars="200"/>
                    <w:rPr>
                      <w:szCs w:val="21"/>
                    </w:rPr>
                  </w:pPr>
                  <w:r>
                    <w:t>严格执行《江苏省长江经济带发展负面清单实施细则(试行)》，禁止在合规园区外新建、扩建钢铁、石化、化工、焦化少一。建材、有色等行业中的高污染项目。禁止新建燃媒自备电厂。</w:t>
                  </w:r>
                </w:p>
              </w:tc>
              <w:tc>
                <w:tcPr>
                  <w:tcW w:w="2130" w:type="pct"/>
                  <w:tcBorders>
                    <w:top w:val="single" w:color="auto" w:sz="4" w:space="0"/>
                    <w:left w:val="single" w:color="auto" w:sz="4" w:space="0"/>
                    <w:bottom w:val="single" w:color="auto" w:sz="12" w:space="0"/>
                    <w:right w:val="single" w:color="auto" w:sz="4" w:space="0"/>
                  </w:tcBorders>
                  <w:vAlign w:val="center"/>
                </w:tcPr>
                <w:p>
                  <w:pPr>
                    <w:autoSpaceDE w:val="0"/>
                    <w:autoSpaceDN w:val="0"/>
                    <w:snapToGrid w:val="0"/>
                    <w:ind w:firstLine="420" w:firstLineChars="200"/>
                    <w:rPr>
                      <w:szCs w:val="21"/>
                    </w:rPr>
                  </w:pPr>
                  <w:r>
                    <w:t>本项目不属于禁止类项目</w:t>
                  </w:r>
                </w:p>
              </w:tc>
              <w:tc>
                <w:tcPr>
                  <w:tcW w:w="481" w:type="pct"/>
                  <w:tcBorders>
                    <w:top w:val="single" w:color="auto" w:sz="4" w:space="0"/>
                    <w:left w:val="single" w:color="auto" w:sz="4" w:space="0"/>
                    <w:bottom w:val="single" w:color="auto" w:sz="12" w:space="0"/>
                    <w:right w:val="nil"/>
                  </w:tcBorders>
                  <w:vAlign w:val="center"/>
                </w:tcPr>
                <w:p>
                  <w:pPr>
                    <w:autoSpaceDE w:val="0"/>
                    <w:autoSpaceDN w:val="0"/>
                    <w:snapToGrid w:val="0"/>
                    <w:jc w:val="center"/>
                    <w:rPr>
                      <w:szCs w:val="21"/>
                    </w:rPr>
                  </w:pPr>
                  <w:r>
                    <w:t>符合</w:t>
                  </w:r>
                </w:p>
              </w:tc>
            </w:tr>
          </w:tbl>
          <w:p>
            <w:pPr>
              <w:adjustRightInd w:val="0"/>
              <w:snapToGrid w:val="0"/>
              <w:spacing w:line="360" w:lineRule="auto"/>
              <w:ind w:firstLine="480" w:firstLineChars="200"/>
              <w:rPr>
                <w:b/>
                <w:bCs/>
                <w:sz w:val="24"/>
              </w:rPr>
            </w:pPr>
            <w:r>
              <w:rPr>
                <w:sz w:val="24"/>
              </w:rPr>
              <w:t>综上，本项目与</w:t>
            </w:r>
            <w:r>
              <w:rPr>
                <w:sz w:val="24"/>
                <w:lang w:val="zh-CN"/>
              </w:rPr>
              <w:t>《省生态环境厅关于进一步加强建设项目环评审批和服务工作的指导意见》（苏环办〔2020〕225号）</w:t>
            </w:r>
            <w:r>
              <w:rPr>
                <w:sz w:val="24"/>
              </w:rPr>
              <w:t>的要求相符。</w:t>
            </w:r>
          </w:p>
          <w:p>
            <w:pPr>
              <w:adjustRightInd w:val="0"/>
              <w:snapToGrid w:val="0"/>
              <w:spacing w:line="360" w:lineRule="auto"/>
              <w:rPr>
                <w:b/>
                <w:bCs/>
                <w:sz w:val="24"/>
              </w:rPr>
            </w:pPr>
            <w:r>
              <w:rPr>
                <w:rFonts w:hint="eastAsia"/>
                <w:b/>
                <w:bCs/>
                <w:sz w:val="24"/>
                <w:lang w:val="en-US" w:eastAsia="zh-CN"/>
              </w:rPr>
              <w:t>4</w:t>
            </w:r>
            <w:r>
              <w:rPr>
                <w:b/>
                <w:bCs/>
                <w:sz w:val="24"/>
              </w:rPr>
              <w:t>、《关于做好生态环境和应急管理部门联动工作的意见》（苏环办〔2020〕101号）要求分析</w:t>
            </w:r>
          </w:p>
          <w:p>
            <w:pPr>
              <w:pStyle w:val="8"/>
              <w:spacing w:after="0"/>
              <w:ind w:left="0" w:leftChars="0" w:right="0" w:rightChars="0"/>
              <w:jc w:val="center"/>
              <w:rPr>
                <w:rFonts w:ascii="Times New Roman" w:hAnsi="Times New Roman"/>
                <w:b/>
                <w:bCs/>
                <w:sz w:val="24"/>
                <w:szCs w:val="24"/>
              </w:rPr>
            </w:pPr>
            <w:r>
              <w:rPr>
                <w:rFonts w:ascii="Times New Roman" w:hAnsi="Times New Roman"/>
                <w:b/>
                <w:bCs/>
                <w:sz w:val="24"/>
                <w:szCs w:val="24"/>
              </w:rPr>
              <w:t>表1-1</w:t>
            </w:r>
            <w:r>
              <w:rPr>
                <w:rFonts w:hint="eastAsia" w:ascii="Times New Roman" w:hAnsi="Times New Roman"/>
                <w:b/>
                <w:bCs/>
                <w:sz w:val="24"/>
                <w:szCs w:val="24"/>
                <w:lang w:val="en-US" w:eastAsia="zh-CN"/>
              </w:rPr>
              <w:t>2</w:t>
            </w:r>
            <w:r>
              <w:rPr>
                <w:rFonts w:ascii="Times New Roman" w:hAnsi="Times New Roman"/>
                <w:b/>
                <w:bCs/>
                <w:sz w:val="24"/>
                <w:szCs w:val="24"/>
              </w:rPr>
              <w:t xml:space="preserve">  与苏环办</w:t>
            </w:r>
            <w:r>
              <w:rPr>
                <w:rFonts w:ascii="Times New Roman" w:hAnsi="Times New Roman"/>
                <w:b/>
                <w:bCs/>
                <w:sz w:val="24"/>
              </w:rPr>
              <w:t>〔2020〕101号</w:t>
            </w:r>
            <w:r>
              <w:rPr>
                <w:rFonts w:ascii="Times New Roman" w:hAnsi="Times New Roman"/>
                <w:b/>
                <w:bCs/>
                <w:sz w:val="24"/>
                <w:szCs w:val="24"/>
              </w:rPr>
              <w:t>的相符性分析</w:t>
            </w:r>
          </w:p>
          <w:tbl>
            <w:tblPr>
              <w:tblStyle w:val="2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49"/>
              <w:gridCol w:w="15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59" w:type="pct"/>
                  <w:vAlign w:val="center"/>
                </w:tcPr>
                <w:p>
                  <w:pPr>
                    <w:jc w:val="center"/>
                    <w:rPr>
                      <w:b/>
                    </w:rPr>
                  </w:pPr>
                  <w:r>
                    <w:rPr>
                      <w:b/>
                    </w:rPr>
                    <w:t>要求</w:t>
                  </w:r>
                </w:p>
              </w:tc>
              <w:tc>
                <w:tcPr>
                  <w:tcW w:w="941" w:type="pct"/>
                  <w:vAlign w:val="center"/>
                </w:tcPr>
                <w:p>
                  <w:pPr>
                    <w:jc w:val="center"/>
                    <w:rPr>
                      <w:b/>
                    </w:rPr>
                  </w:pPr>
                  <w:r>
                    <w:rPr>
                      <w:b/>
                    </w:rPr>
                    <w:t>建议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710" w:hRule="atLeast"/>
              </w:trPr>
              <w:tc>
                <w:tcPr>
                  <w:tcW w:w="4059" w:type="pct"/>
                  <w:vAlign w:val="center"/>
                </w:tcPr>
                <w:p>
                  <w:pPr>
                    <w:ind w:firstLine="420" w:firstLineChars="200"/>
                  </w:pPr>
                  <w:r>
                    <w:t>二、建立危险废物监管联动机制</w:t>
                  </w:r>
                </w:p>
                <w:p>
                  <w:pPr>
                    <w:ind w:firstLine="420" w:firstLineChars="200"/>
                  </w:pPr>
                  <w:r>
                    <w:t>企业法定代表人和实际控制人是企业废弃危险化学品等危险废物安全环保全过程管理的第一责任人。企业要切实履行好从危险废物产生、收集、贮存、运输、利用、处置等环节各项环保和安全职责；要制定危险废物管理计划并报属地生态环境部门备案。申请备案时，对废弃危险化学品、物理危险性尚不确定、根据相关文件无法认定达到稳定化要求的，要提供有资质单位出具的化学品物理危险性报告及其他证明材料，认定达到稳定化要求。</w:t>
                  </w:r>
                </w:p>
                <w:p>
                  <w:pPr>
                    <w:ind w:firstLine="420" w:firstLineChars="200"/>
                  </w:pPr>
                  <w:r>
                    <w:t>生态环境部门依法对危险废物的收集、贮存、处置等进行监督管理。收到企业废弃危险化学品等危险废物管理计划后，对符合备案要求的，纳入危险废物管理。生态环境部门要将危险废物管理计划备案情况及时通报应急管理部门。</w:t>
                  </w:r>
                </w:p>
                <w:p>
                  <w:pPr>
                    <w:ind w:firstLine="420" w:firstLineChars="200"/>
                  </w:pPr>
                  <w:r>
                    <w:t>应急管理部门要督促企业加强安全生产工作，加强危险化学品企业中间产品、最终产品以及拟废弃危险化学品的安全管理。生态环境和应急管理部门对于被列入危险废物管理的上述物料，要共同加强安全监管。生态环境部门对日常环境监管过程中发现的安全隐患线索，及时移送同级应急管理部门；应急管理部门接到生态环境部门移送安全隐患线索的函后，应组织现场核查，依法依规查处，并督促企业将隐患整改到位。对于涉及安全和环保标准要求存在不一致的，要及时会商，帮助企业解决。</w:t>
                  </w:r>
                </w:p>
              </w:tc>
              <w:tc>
                <w:tcPr>
                  <w:tcW w:w="941" w:type="pct"/>
                  <w:vAlign w:val="center"/>
                </w:tcPr>
                <w:p>
                  <w:pPr>
                    <w:jc w:val="center"/>
                  </w:pPr>
                  <w:r>
                    <w:t>企业已制定危险废物管理计划并到报属地生态环境部门备案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059" w:type="pct"/>
                  <w:vAlign w:val="center"/>
                </w:tcPr>
                <w:p>
                  <w:pPr>
                    <w:ind w:firstLine="420" w:firstLineChars="200"/>
                  </w:pPr>
                  <w:r>
                    <w:t>三、建立环境治理设施监管联动机制</w:t>
                  </w:r>
                </w:p>
                <w:p>
                  <w:pPr>
                    <w:ind w:firstLine="420" w:firstLineChars="200"/>
                  </w:pPr>
                  <w:r>
                    <w:t>企业是各类环境治理设施建设、运行、维护、拆除的责任主体。企业要对脱硫脱硝、煤改气、挥发性有机物回收、污水处理、粉尘治理、RTO焚烧炉等六类环境治理设施开展安全风险辨识管控，要健全内部污染防治设施稳定运行和管理责任制度，严格依据标准规范建设环境治理设施，确保环境治理设施安全、稳定、有效运行。</w:t>
                  </w:r>
                </w:p>
                <w:p>
                  <w:pPr>
                    <w:ind w:firstLine="420" w:firstLineChars="200"/>
                  </w:pPr>
                  <w:r>
                    <w:t>生态环境部门在上述六类环境治理设施的环评审批过程中，要督促企业开展安全风险辨识，并将已审批的环境治理设施项目及时通报应急管理部门。生态环境部门在日常环境监管中，将发现的安全隐患线索及时移送应急管理部门。</w:t>
                  </w:r>
                </w:p>
                <w:p>
                  <w:pPr>
                    <w:ind w:firstLine="420" w:firstLineChars="200"/>
                  </w:pPr>
                  <w:r>
                    <w:t>应急管理部门应当将上述六类环境治理设施纳入安全监管范围，推进企业安全生产标准化体系建设。对生态环境部门发现移送的安全隐患线索进行核查，督促企业进行整改，消除安全隐患。</w:t>
                  </w:r>
                </w:p>
              </w:tc>
              <w:tc>
                <w:tcPr>
                  <w:tcW w:w="941" w:type="pct"/>
                  <w:vAlign w:val="center"/>
                </w:tcPr>
                <w:p>
                  <w:pPr>
                    <w:jc w:val="center"/>
                  </w:pPr>
                  <w:r>
                    <w:t>本项目涉及煤改气环境治理设施，企业已开展安全风险辨识管控</w:t>
                  </w:r>
                </w:p>
              </w:tc>
            </w:tr>
          </w:tbl>
          <w:p>
            <w:pPr>
              <w:autoSpaceDE w:val="0"/>
              <w:autoSpaceDN w:val="0"/>
              <w:adjustRightInd w:val="0"/>
              <w:snapToGrid w:val="0"/>
              <w:ind w:firstLine="480" w:firstLineChars="200"/>
              <w:rPr>
                <w:color w:val="0000FF"/>
                <w:kern w:val="0"/>
                <w:szCs w:val="21"/>
              </w:rPr>
            </w:pPr>
            <w:r>
              <w:rPr>
                <w:sz w:val="24"/>
              </w:rPr>
              <w:t>综上，本项目与《关于做好生态环境和应急管理部门联动工作的意见》（苏环办〔2020〕101号）的要求相符。</w:t>
            </w:r>
          </w:p>
        </w:tc>
      </w:tr>
    </w:tbl>
    <w:p>
      <w:pPr>
        <w:spacing w:line="360" w:lineRule="auto"/>
        <w:outlineLvl w:val="0"/>
        <w:rPr>
          <w:color w:val="0000FF"/>
          <w:sz w:val="30"/>
        </w:rPr>
        <w:sectPr>
          <w:footerReference r:id="rId6" w:type="default"/>
          <w:pgSz w:w="11906" w:h="16838"/>
          <w:pgMar w:top="1701" w:right="1531" w:bottom="1701" w:left="1531" w:header="851" w:footer="1077" w:gutter="0"/>
          <w:cols w:space="720" w:num="1"/>
          <w:docGrid w:linePitch="312" w:charSpace="0"/>
        </w:sectPr>
      </w:pPr>
    </w:p>
    <w:p>
      <w:pPr>
        <w:pStyle w:val="18"/>
        <w:spacing w:before="0" w:beforeAutospacing="0" w:after="0" w:afterAutospacing="0"/>
        <w:jc w:val="center"/>
        <w:outlineLvl w:val="0"/>
        <w:rPr>
          <w:rFonts w:ascii="Times New Roman" w:hAnsi="Times New Roman"/>
          <w:snapToGrid w:val="0"/>
          <w:sz w:val="30"/>
          <w:szCs w:val="30"/>
        </w:rPr>
      </w:pPr>
      <w:r>
        <w:rPr>
          <w:rFonts w:ascii="Times New Roman" w:hAnsi="Times New Roman"/>
          <w:snapToGrid w:val="0"/>
          <w:sz w:val="30"/>
          <w:szCs w:val="30"/>
        </w:rPr>
        <w:t>二、建设项目工程分析</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7" w:hRule="atLeast"/>
          <w:jc w:val="center"/>
        </w:trPr>
        <w:tc>
          <w:tcPr>
            <w:tcW w:w="414" w:type="dxa"/>
            <w:tcBorders>
              <w:bottom w:val="single" w:color="auto" w:sz="4" w:space="0"/>
            </w:tcBorders>
            <w:vAlign w:val="center"/>
          </w:tcPr>
          <w:p>
            <w:pPr>
              <w:pStyle w:val="18"/>
              <w:adjustRightInd w:val="0"/>
              <w:snapToGrid w:val="0"/>
              <w:spacing w:before="0" w:beforeAutospacing="0" w:after="0" w:afterAutospacing="0"/>
              <w:jc w:val="center"/>
              <w:rPr>
                <w:rFonts w:ascii="Times New Roman" w:hAnsi="Times New Roman"/>
                <w:color w:val="0000FF"/>
                <w:sz w:val="21"/>
                <w:szCs w:val="21"/>
              </w:rPr>
            </w:pPr>
            <w:r>
              <w:rPr>
                <w:rFonts w:ascii="Times New Roman" w:hAnsi="Times New Roman"/>
                <w:sz w:val="21"/>
                <w:szCs w:val="21"/>
              </w:rPr>
              <w:t>建设内容</w:t>
            </w:r>
          </w:p>
        </w:tc>
        <w:tc>
          <w:tcPr>
            <w:tcW w:w="8442" w:type="dxa"/>
            <w:tcBorders>
              <w:bottom w:val="single" w:color="auto" w:sz="4" w:space="0"/>
            </w:tcBorders>
          </w:tcPr>
          <w:p>
            <w:pPr>
              <w:snapToGrid w:val="0"/>
              <w:spacing w:line="360" w:lineRule="auto"/>
              <w:rPr>
                <w:b/>
                <w:sz w:val="24"/>
              </w:rPr>
            </w:pPr>
            <w:r>
              <w:rPr>
                <w:b/>
                <w:sz w:val="24"/>
              </w:rPr>
              <w:t>1、项目由来</w:t>
            </w:r>
          </w:p>
          <w:p>
            <w:pPr>
              <w:snapToGrid w:val="0"/>
              <w:spacing w:line="360" w:lineRule="auto"/>
              <w:ind w:firstLine="570"/>
              <w:rPr>
                <w:sz w:val="24"/>
              </w:rPr>
            </w:pPr>
            <w:r>
              <w:rPr>
                <w:sz w:val="24"/>
              </w:rPr>
              <w:t>常州市江南塑料有限公司成立于1988年04月30日，经营范围：</w:t>
            </w:r>
            <w:bookmarkStart w:id="6" w:name="_GoBack"/>
            <w:bookmarkEnd w:id="6"/>
            <w:r>
              <w:rPr>
                <w:sz w:val="24"/>
              </w:rPr>
              <w:t>塑料薄膜、塑料雨披、车篷制造，加工；织布；自营和代理各类商品及技术的进出口业务，但国家限定企业经营或禁止进出口的商品和技术除外；光伏发电、售电；废塑料加工；废塑料收购。（依法须经批准的项目，经相关部门批准后方可开展经营活动） 许可项目：道路货物运输（不含危险货物）（依法须经批准的项目，经相关部门批准后方可开展经营活动，具体经营项目以审批结果为准）。</w:t>
            </w:r>
          </w:p>
          <w:p>
            <w:pPr>
              <w:snapToGrid w:val="0"/>
              <w:spacing w:line="360" w:lineRule="auto"/>
              <w:ind w:firstLine="570"/>
              <w:rPr>
                <w:sz w:val="24"/>
              </w:rPr>
            </w:pPr>
            <w:r>
              <w:rPr>
                <w:sz w:val="24"/>
              </w:rPr>
              <w:t>常州市江南塑料有限公司于2016年11月编制了《纳入环境保护登记管理建设项目自查评估报告》（以下简称“自查报告”），并取得武进区礼嘉镇人民政府审核意见。</w:t>
            </w:r>
          </w:p>
          <w:p>
            <w:pPr>
              <w:snapToGrid w:val="0"/>
              <w:spacing w:line="360" w:lineRule="auto"/>
              <w:ind w:firstLine="570"/>
              <w:rPr>
                <w:color w:val="auto"/>
                <w:sz w:val="24"/>
              </w:rPr>
            </w:pPr>
            <w:r>
              <w:rPr>
                <w:sz w:val="24"/>
              </w:rPr>
              <w:t>常州市江南塑料有限公司锅炉房始建于1988年，当时建设两台燃煤锅炉。为响应《市政府关于扩大高污染燃料禁燃区的通告》（常政发[2016]151号）中“禁燃区禁止使用高污</w:t>
            </w:r>
            <w:r>
              <w:rPr>
                <w:color w:val="auto"/>
                <w:sz w:val="24"/>
              </w:rPr>
              <w:t>染燃料锅炉”的要求，企业于2018年对锅炉房进行煤改气改造：新增一台额定出力12MW的天然气锅炉，并拆除原先两台燃煤锅炉。</w:t>
            </w:r>
          </w:p>
          <w:p>
            <w:pPr>
              <w:snapToGrid w:val="0"/>
              <w:spacing w:line="360" w:lineRule="auto"/>
              <w:ind w:firstLine="570"/>
              <w:rPr>
                <w:b/>
                <w:bCs/>
                <w:color w:val="auto"/>
                <w:sz w:val="24"/>
              </w:rPr>
            </w:pPr>
            <w:r>
              <w:rPr>
                <w:b/>
                <w:bCs/>
                <w:color w:val="auto"/>
                <w:sz w:val="24"/>
              </w:rPr>
              <w:t>2021年11月30日对常州市江南塑料有限公司进行大气强化督查</w:t>
            </w:r>
            <w:r>
              <w:rPr>
                <w:rFonts w:hint="eastAsia"/>
                <w:b/>
                <w:bCs/>
                <w:color w:val="auto"/>
                <w:sz w:val="24"/>
              </w:rPr>
              <w:t>时发现燃气锅炉未有相关环保手续</w:t>
            </w:r>
            <w:r>
              <w:rPr>
                <w:b/>
                <w:bCs/>
                <w:color w:val="auto"/>
                <w:sz w:val="24"/>
              </w:rPr>
              <w:t>，</w:t>
            </w:r>
            <w:r>
              <w:rPr>
                <w:rFonts w:hint="eastAsia"/>
                <w:b/>
                <w:bCs/>
                <w:color w:val="auto"/>
                <w:sz w:val="24"/>
              </w:rPr>
              <w:t>于</w:t>
            </w:r>
            <w:r>
              <w:rPr>
                <w:b/>
                <w:bCs/>
                <w:color w:val="auto"/>
                <w:sz w:val="24"/>
              </w:rPr>
              <w:t>现场出具了常州市环保督查问题现场核查及反馈情况表（详见附件3），检查情况中提出：企业燃气锅炉应编制环境影响报告表。</w:t>
            </w:r>
          </w:p>
          <w:p>
            <w:pPr>
              <w:snapToGrid w:val="0"/>
              <w:spacing w:line="360" w:lineRule="auto"/>
              <w:ind w:firstLine="480" w:firstLineChars="200"/>
              <w:rPr>
                <w:color w:val="auto"/>
                <w:sz w:val="24"/>
              </w:rPr>
            </w:pPr>
            <w:r>
              <w:rPr>
                <w:color w:val="auto"/>
                <w:sz w:val="24"/>
              </w:rPr>
              <w:t>接到大气强化督察整改要求后，常州市江南塑料有限公司</w:t>
            </w:r>
            <w:r>
              <w:rPr>
                <w:rFonts w:hint="eastAsia"/>
                <w:color w:val="auto"/>
                <w:sz w:val="24"/>
              </w:rPr>
              <w:t>立即</w:t>
            </w:r>
            <w:r>
              <w:rPr>
                <w:color w:val="auto"/>
                <w:sz w:val="24"/>
              </w:rPr>
              <w:t>按要求进行整改，对已经建设完成的燃气锅炉补办环保手续，并于2021年12月29日取得了常州市武进区行政审批局的本项目备案证明，项目代码：2112-320412-89-02-790272。</w:t>
            </w:r>
          </w:p>
          <w:p>
            <w:pPr>
              <w:snapToGrid w:val="0"/>
              <w:spacing w:line="360" w:lineRule="auto"/>
              <w:ind w:firstLine="480" w:firstLineChars="200"/>
              <w:rPr>
                <w:sz w:val="24"/>
              </w:rPr>
            </w:pPr>
            <w:r>
              <w:rPr>
                <w:sz w:val="24"/>
              </w:rPr>
              <w:t>根据《中华人民共和国环境保护法》（2014年修订）、《中华人民共和国环境影响评价法》（2018年修订）和《建设项目环境影响评价分类管理名录》（2021年）的有关规定，本项目属于“四十一、电力、热力生产和供应业、91热力生产和供应工程（包括建设单位自建自用的供热工程）”中“燃煤、燃油锅炉总容量65吨/小时（45.5兆瓦）及以下的；天然气锅炉总容量1吨/小时（0.7兆瓦）以上的；使用其他高污染燃料的（高污染燃料指国环规大气〔2017〕2号《高污染燃料目录》中规定的燃料）”类别，应该编制环境影响报告表。因此，常州市江南塑料有限公司委托江苏晶昱宝环境科技有限公司承担该项目环境影响评价工作，作为环保审批部门的审批依据。</w:t>
            </w:r>
          </w:p>
          <w:p>
            <w:pPr>
              <w:adjustRightInd w:val="0"/>
              <w:snapToGrid w:val="0"/>
              <w:spacing w:line="360" w:lineRule="auto"/>
              <w:rPr>
                <w:b/>
                <w:bCs/>
                <w:sz w:val="24"/>
              </w:rPr>
            </w:pPr>
            <w:r>
              <w:rPr>
                <w:b/>
                <w:bCs/>
                <w:sz w:val="24"/>
              </w:rPr>
              <w:t>2、项目工程概况</w:t>
            </w:r>
          </w:p>
          <w:p>
            <w:pPr>
              <w:spacing w:line="360" w:lineRule="auto"/>
              <w:ind w:left="1540" w:leftChars="219" w:right="25" w:rightChars="12" w:hanging="1080" w:hangingChars="450"/>
              <w:rPr>
                <w:sz w:val="24"/>
              </w:rPr>
            </w:pPr>
            <w:r>
              <w:rPr>
                <w:sz w:val="24"/>
              </w:rPr>
              <w:t>项目名称：</w:t>
            </w:r>
            <w:r>
              <w:rPr>
                <w:rFonts w:hint="eastAsia"/>
                <w:sz w:val="24"/>
                <w:lang w:eastAsia="zh-CN"/>
              </w:rPr>
              <w:t>供热系统提升改造项目</w:t>
            </w:r>
            <w:r>
              <w:rPr>
                <w:sz w:val="24"/>
              </w:rPr>
              <w:t>；</w:t>
            </w:r>
          </w:p>
          <w:p>
            <w:pPr>
              <w:spacing w:line="360" w:lineRule="auto"/>
              <w:ind w:right="25" w:rightChars="12" w:firstLine="460" w:firstLineChars="192"/>
              <w:rPr>
                <w:sz w:val="24"/>
              </w:rPr>
            </w:pPr>
            <w:r>
              <w:rPr>
                <w:sz w:val="24"/>
              </w:rPr>
              <w:t>建设地点：江苏省常州市武进区礼嘉镇工业集中区；</w:t>
            </w:r>
          </w:p>
          <w:p>
            <w:pPr>
              <w:spacing w:line="360" w:lineRule="auto"/>
              <w:ind w:right="25" w:rightChars="12" w:firstLine="460" w:firstLineChars="192"/>
              <w:rPr>
                <w:sz w:val="24"/>
              </w:rPr>
            </w:pPr>
            <w:r>
              <w:rPr>
                <w:sz w:val="24"/>
              </w:rPr>
              <w:t>建设单位：常州市江南塑料有限公司；</w:t>
            </w:r>
          </w:p>
          <w:p>
            <w:pPr>
              <w:spacing w:line="360" w:lineRule="auto"/>
              <w:ind w:right="25" w:rightChars="12" w:firstLine="460" w:firstLineChars="192"/>
              <w:rPr>
                <w:sz w:val="24"/>
              </w:rPr>
            </w:pPr>
            <w:r>
              <w:rPr>
                <w:sz w:val="24"/>
              </w:rPr>
              <w:t>建设性质：改建；</w:t>
            </w:r>
          </w:p>
          <w:p>
            <w:pPr>
              <w:adjustRightInd w:val="0"/>
              <w:spacing w:line="360" w:lineRule="auto"/>
              <w:ind w:left="1559" w:leftChars="228" w:hanging="1080" w:hangingChars="450"/>
              <w:rPr>
                <w:sz w:val="24"/>
              </w:rPr>
            </w:pPr>
            <w:r>
              <w:rPr>
                <w:sz w:val="24"/>
              </w:rPr>
              <w:t>建设规模：项目坐落于礼嘉镇工业集中区，租赁百兴集团有限公司厂房，购置燃气锅炉1台，并配套了低氮燃烧器。</w:t>
            </w:r>
          </w:p>
          <w:p>
            <w:pPr>
              <w:spacing w:line="360" w:lineRule="auto"/>
              <w:ind w:right="25" w:rightChars="12" w:firstLine="458" w:firstLineChars="191"/>
              <w:rPr>
                <w:sz w:val="24"/>
              </w:rPr>
            </w:pPr>
            <w:r>
              <w:rPr>
                <w:sz w:val="24"/>
              </w:rPr>
              <w:t>项目投资：总投资300万元，其中环保投资30万元，占总投资的10%。</w:t>
            </w:r>
          </w:p>
          <w:p>
            <w:pPr>
              <w:adjustRightInd w:val="0"/>
              <w:snapToGrid w:val="0"/>
              <w:rPr>
                <w:b/>
                <w:bCs/>
                <w:sz w:val="24"/>
              </w:rPr>
            </w:pPr>
            <w:r>
              <w:rPr>
                <w:b/>
                <w:bCs/>
                <w:sz w:val="24"/>
              </w:rPr>
              <w:t>3、主体工程</w:t>
            </w:r>
          </w:p>
          <w:p>
            <w:pPr>
              <w:jc w:val="center"/>
              <w:rPr>
                <w:b/>
                <w:bCs/>
                <w:sz w:val="24"/>
              </w:rPr>
            </w:pPr>
            <w:r>
              <w:rPr>
                <w:b/>
                <w:bCs/>
                <w:sz w:val="24"/>
              </w:rPr>
              <w:t>表2-1  主体工程一览表</w:t>
            </w:r>
          </w:p>
          <w:tbl>
            <w:tblPr>
              <w:tblStyle w:val="21"/>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748"/>
              <w:gridCol w:w="2065"/>
              <w:gridCol w:w="2272"/>
              <w:gridCol w:w="2055"/>
              <w:gridCol w:w="108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55" w:type="pct"/>
                  <w:vAlign w:val="center"/>
                </w:tcPr>
                <w:p>
                  <w:pPr>
                    <w:pStyle w:val="50"/>
                    <w:spacing w:before="1"/>
                    <w:jc w:val="center"/>
                    <w:rPr>
                      <w:rFonts w:ascii="Times New Roman" w:hAnsi="Times New Roman"/>
                      <w:b/>
                      <w:bCs/>
                      <w:sz w:val="21"/>
                      <w:szCs w:val="21"/>
                    </w:rPr>
                  </w:pPr>
                  <w:r>
                    <w:rPr>
                      <w:rFonts w:ascii="Times New Roman" w:hAnsi="Times New Roman"/>
                      <w:b/>
                      <w:bCs/>
                      <w:sz w:val="21"/>
                      <w:szCs w:val="21"/>
                    </w:rPr>
                    <w:t>类别</w:t>
                  </w:r>
                </w:p>
              </w:tc>
              <w:tc>
                <w:tcPr>
                  <w:tcW w:w="1255" w:type="pct"/>
                  <w:vAlign w:val="center"/>
                </w:tcPr>
                <w:p>
                  <w:pPr>
                    <w:widowControl/>
                    <w:jc w:val="center"/>
                    <w:textAlignment w:val="center"/>
                    <w:rPr>
                      <w:b/>
                      <w:bCs/>
                      <w:szCs w:val="21"/>
                    </w:rPr>
                  </w:pPr>
                  <w:r>
                    <w:rPr>
                      <w:b/>
                      <w:kern w:val="0"/>
                      <w:szCs w:val="21"/>
                    </w:rPr>
                    <w:t>名称</w:t>
                  </w:r>
                </w:p>
              </w:tc>
              <w:tc>
                <w:tcPr>
                  <w:tcW w:w="1381" w:type="pct"/>
                  <w:vAlign w:val="center"/>
                </w:tcPr>
                <w:p>
                  <w:pPr>
                    <w:widowControl/>
                    <w:jc w:val="center"/>
                    <w:textAlignment w:val="center"/>
                    <w:rPr>
                      <w:b/>
                      <w:bCs/>
                      <w:szCs w:val="21"/>
                    </w:rPr>
                  </w:pPr>
                  <w:r>
                    <w:rPr>
                      <w:b/>
                      <w:kern w:val="0"/>
                      <w:szCs w:val="21"/>
                    </w:rPr>
                    <w:t>基底面积/m</w:t>
                  </w:r>
                  <w:r>
                    <w:rPr>
                      <w:b/>
                      <w:kern w:val="0"/>
                      <w:szCs w:val="21"/>
                      <w:vertAlign w:val="superscript"/>
                    </w:rPr>
                    <w:t>2</w:t>
                  </w:r>
                </w:p>
              </w:tc>
              <w:tc>
                <w:tcPr>
                  <w:tcW w:w="1249" w:type="pct"/>
                  <w:vAlign w:val="center"/>
                </w:tcPr>
                <w:p>
                  <w:pPr>
                    <w:widowControl/>
                    <w:jc w:val="center"/>
                    <w:textAlignment w:val="center"/>
                    <w:rPr>
                      <w:b/>
                      <w:bCs/>
                      <w:szCs w:val="21"/>
                    </w:rPr>
                  </w:pPr>
                  <w:r>
                    <w:rPr>
                      <w:b/>
                      <w:kern w:val="0"/>
                      <w:szCs w:val="21"/>
                    </w:rPr>
                    <w:t>建筑面积/m</w:t>
                  </w:r>
                  <w:r>
                    <w:rPr>
                      <w:b/>
                      <w:kern w:val="0"/>
                      <w:szCs w:val="21"/>
                      <w:vertAlign w:val="superscript"/>
                    </w:rPr>
                    <w:t>2</w:t>
                  </w:r>
                </w:p>
              </w:tc>
              <w:tc>
                <w:tcPr>
                  <w:tcW w:w="658" w:type="pct"/>
                  <w:vAlign w:val="center"/>
                </w:tcPr>
                <w:p>
                  <w:pPr>
                    <w:widowControl/>
                    <w:jc w:val="center"/>
                    <w:textAlignment w:val="center"/>
                    <w:rPr>
                      <w:b/>
                      <w:kern w:val="0"/>
                      <w:szCs w:val="21"/>
                    </w:rPr>
                  </w:pPr>
                  <w:r>
                    <w:rPr>
                      <w:b/>
                      <w:kern w:val="0"/>
                      <w:szCs w:val="21"/>
                    </w:rPr>
                    <w:t>层数</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55" w:type="pct"/>
                  <w:vMerge w:val="restart"/>
                  <w:vAlign w:val="center"/>
                </w:tcPr>
                <w:p>
                  <w:pPr>
                    <w:pStyle w:val="50"/>
                    <w:spacing w:before="15"/>
                    <w:jc w:val="center"/>
                    <w:rPr>
                      <w:rFonts w:ascii="Times New Roman" w:hAnsi="Times New Roman"/>
                      <w:sz w:val="21"/>
                      <w:szCs w:val="21"/>
                    </w:rPr>
                  </w:pPr>
                  <w:r>
                    <w:rPr>
                      <w:rFonts w:ascii="Times New Roman" w:hAnsi="Times New Roman"/>
                      <w:sz w:val="21"/>
                      <w:szCs w:val="21"/>
                    </w:rPr>
                    <w:t>原有项目</w:t>
                  </w:r>
                </w:p>
              </w:tc>
              <w:tc>
                <w:tcPr>
                  <w:tcW w:w="1255" w:type="pct"/>
                  <w:tcBorders>
                    <w:bottom w:val="single" w:color="auto" w:sz="2" w:space="0"/>
                  </w:tcBorders>
                  <w:vAlign w:val="center"/>
                </w:tcPr>
                <w:p>
                  <w:pPr>
                    <w:widowControl/>
                    <w:jc w:val="center"/>
                    <w:rPr>
                      <w:szCs w:val="21"/>
                    </w:rPr>
                  </w:pPr>
                  <w:r>
                    <w:rPr>
                      <w:kern w:val="0"/>
                      <w:szCs w:val="21"/>
                    </w:rPr>
                    <w:t>1号涂布车间</w:t>
                  </w:r>
                </w:p>
              </w:tc>
              <w:tc>
                <w:tcPr>
                  <w:tcW w:w="1381" w:type="pct"/>
                  <w:vAlign w:val="center"/>
                </w:tcPr>
                <w:p>
                  <w:pPr>
                    <w:jc w:val="center"/>
                    <w:rPr>
                      <w:szCs w:val="21"/>
                    </w:rPr>
                  </w:pPr>
                  <w:r>
                    <w:rPr>
                      <w:szCs w:val="21"/>
                    </w:rPr>
                    <w:t>1286</w:t>
                  </w:r>
                </w:p>
              </w:tc>
              <w:tc>
                <w:tcPr>
                  <w:tcW w:w="1249" w:type="pct"/>
                  <w:vAlign w:val="center"/>
                </w:tcPr>
                <w:p>
                  <w:pPr>
                    <w:jc w:val="center"/>
                    <w:rPr>
                      <w:szCs w:val="21"/>
                    </w:rPr>
                  </w:pPr>
                  <w:r>
                    <w:rPr>
                      <w:szCs w:val="21"/>
                    </w:rPr>
                    <w:t>1286</w:t>
                  </w:r>
                </w:p>
              </w:tc>
              <w:tc>
                <w:tcPr>
                  <w:tcW w:w="658" w:type="pct"/>
                  <w:vAlign w:val="center"/>
                </w:tcPr>
                <w:p>
                  <w:pPr>
                    <w:spacing w:before="8" w:line="255" w:lineRule="exact"/>
                    <w:ind w:left="207" w:right="183"/>
                    <w:jc w:val="center"/>
                    <w:rPr>
                      <w:szCs w:val="21"/>
                    </w:rPr>
                  </w:pPr>
                  <w:r>
                    <w:rPr>
                      <w:szCs w:val="21"/>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55" w:type="pct"/>
                  <w:vMerge w:val="continue"/>
                  <w:vAlign w:val="center"/>
                </w:tcPr>
                <w:p>
                  <w:pPr>
                    <w:pStyle w:val="50"/>
                    <w:spacing w:before="12"/>
                    <w:jc w:val="center"/>
                    <w:rPr>
                      <w:rFonts w:ascii="Times New Roman" w:hAnsi="Times New Roman"/>
                      <w:sz w:val="21"/>
                      <w:szCs w:val="21"/>
                    </w:rPr>
                  </w:pPr>
                </w:p>
              </w:tc>
              <w:tc>
                <w:tcPr>
                  <w:tcW w:w="1255" w:type="pct"/>
                  <w:tcBorders>
                    <w:top w:val="single" w:color="auto" w:sz="2" w:space="0"/>
                    <w:bottom w:val="single" w:color="auto" w:sz="2" w:space="0"/>
                  </w:tcBorders>
                  <w:vAlign w:val="center"/>
                </w:tcPr>
                <w:p>
                  <w:pPr>
                    <w:widowControl/>
                    <w:jc w:val="center"/>
                    <w:rPr>
                      <w:szCs w:val="21"/>
                    </w:rPr>
                  </w:pPr>
                  <w:r>
                    <w:rPr>
                      <w:kern w:val="0"/>
                      <w:szCs w:val="21"/>
                    </w:rPr>
                    <w:t>2号涂布车间</w:t>
                  </w:r>
                </w:p>
              </w:tc>
              <w:tc>
                <w:tcPr>
                  <w:tcW w:w="2272" w:type="dxa"/>
                  <w:vAlign w:val="center"/>
                </w:tcPr>
                <w:p>
                  <w:pPr>
                    <w:jc w:val="center"/>
                    <w:rPr>
                      <w:szCs w:val="21"/>
                    </w:rPr>
                  </w:pPr>
                  <w:r>
                    <w:rPr>
                      <w:szCs w:val="21"/>
                    </w:rPr>
                    <w:t>1286</w:t>
                  </w:r>
                </w:p>
              </w:tc>
              <w:tc>
                <w:tcPr>
                  <w:tcW w:w="2055" w:type="dxa"/>
                  <w:vAlign w:val="center"/>
                </w:tcPr>
                <w:p>
                  <w:pPr>
                    <w:jc w:val="center"/>
                    <w:rPr>
                      <w:szCs w:val="21"/>
                    </w:rPr>
                  </w:pPr>
                  <w:r>
                    <w:rPr>
                      <w:szCs w:val="21"/>
                    </w:rPr>
                    <w:t>1286</w:t>
                  </w:r>
                </w:p>
              </w:tc>
              <w:tc>
                <w:tcPr>
                  <w:tcW w:w="658" w:type="pct"/>
                  <w:vAlign w:val="center"/>
                </w:tcPr>
                <w:p>
                  <w:pPr>
                    <w:pStyle w:val="50"/>
                    <w:spacing w:before="5" w:line="255" w:lineRule="exact"/>
                    <w:ind w:left="207" w:right="183"/>
                    <w:jc w:val="center"/>
                    <w:rPr>
                      <w:rFonts w:ascii="Times New Roman" w:hAnsi="Times New Roman"/>
                      <w:sz w:val="21"/>
                      <w:szCs w:val="21"/>
                    </w:rPr>
                  </w:pPr>
                  <w:r>
                    <w:rPr>
                      <w:rFonts w:ascii="Times New Roman" w:hAnsi="Times New Roman"/>
                      <w:sz w:val="21"/>
                      <w:szCs w:val="21"/>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55" w:type="pct"/>
                  <w:vMerge w:val="continue"/>
                  <w:vAlign w:val="center"/>
                </w:tcPr>
                <w:p>
                  <w:pPr>
                    <w:pStyle w:val="50"/>
                    <w:spacing w:before="15"/>
                    <w:jc w:val="center"/>
                    <w:rPr>
                      <w:rFonts w:ascii="Times New Roman" w:hAnsi="Times New Roman"/>
                      <w:sz w:val="21"/>
                      <w:szCs w:val="21"/>
                    </w:rPr>
                  </w:pPr>
                </w:p>
              </w:tc>
              <w:tc>
                <w:tcPr>
                  <w:tcW w:w="1255" w:type="pct"/>
                  <w:tcBorders>
                    <w:top w:val="single" w:color="auto" w:sz="2" w:space="0"/>
                    <w:bottom w:val="single" w:color="auto" w:sz="2" w:space="0"/>
                  </w:tcBorders>
                  <w:vAlign w:val="center"/>
                </w:tcPr>
                <w:p>
                  <w:pPr>
                    <w:widowControl/>
                    <w:jc w:val="center"/>
                    <w:rPr>
                      <w:szCs w:val="21"/>
                    </w:rPr>
                  </w:pPr>
                  <w:r>
                    <w:rPr>
                      <w:kern w:val="0"/>
                      <w:szCs w:val="21"/>
                    </w:rPr>
                    <w:t>涂布仓库</w:t>
                  </w:r>
                </w:p>
              </w:tc>
              <w:tc>
                <w:tcPr>
                  <w:tcW w:w="1381" w:type="pct"/>
                  <w:vAlign w:val="center"/>
                </w:tcPr>
                <w:p>
                  <w:pPr>
                    <w:jc w:val="center"/>
                    <w:rPr>
                      <w:szCs w:val="21"/>
                    </w:rPr>
                  </w:pPr>
                  <w:r>
                    <w:rPr>
                      <w:szCs w:val="21"/>
                    </w:rPr>
                    <w:t>1946</w:t>
                  </w:r>
                </w:p>
              </w:tc>
              <w:tc>
                <w:tcPr>
                  <w:tcW w:w="1249" w:type="pct"/>
                  <w:vAlign w:val="center"/>
                </w:tcPr>
                <w:p>
                  <w:pPr>
                    <w:jc w:val="center"/>
                    <w:rPr>
                      <w:szCs w:val="21"/>
                    </w:rPr>
                  </w:pPr>
                  <w:r>
                    <w:rPr>
                      <w:szCs w:val="21"/>
                    </w:rPr>
                    <w:t>1946</w:t>
                  </w:r>
                </w:p>
              </w:tc>
              <w:tc>
                <w:tcPr>
                  <w:tcW w:w="658" w:type="pct"/>
                  <w:vAlign w:val="center"/>
                </w:tcPr>
                <w:p>
                  <w:pPr>
                    <w:spacing w:before="6" w:line="257" w:lineRule="exact"/>
                    <w:ind w:left="207" w:right="182"/>
                    <w:jc w:val="center"/>
                    <w:rPr>
                      <w:szCs w:val="21"/>
                    </w:rPr>
                  </w:pPr>
                  <w:r>
                    <w:rPr>
                      <w:szCs w:val="21"/>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55" w:type="pct"/>
                  <w:vMerge w:val="continue"/>
                  <w:vAlign w:val="center"/>
                </w:tcPr>
                <w:p>
                  <w:pPr>
                    <w:pStyle w:val="50"/>
                    <w:spacing w:before="15"/>
                    <w:jc w:val="center"/>
                    <w:rPr>
                      <w:rFonts w:ascii="Times New Roman" w:hAnsi="Times New Roman"/>
                      <w:sz w:val="21"/>
                      <w:szCs w:val="21"/>
                    </w:rPr>
                  </w:pPr>
                </w:p>
              </w:tc>
              <w:tc>
                <w:tcPr>
                  <w:tcW w:w="1255" w:type="pct"/>
                  <w:tcBorders>
                    <w:top w:val="single" w:color="auto" w:sz="2" w:space="0"/>
                    <w:bottom w:val="single" w:color="auto" w:sz="2" w:space="0"/>
                  </w:tcBorders>
                  <w:vAlign w:val="center"/>
                </w:tcPr>
                <w:p>
                  <w:pPr>
                    <w:widowControl/>
                    <w:jc w:val="center"/>
                    <w:rPr>
                      <w:szCs w:val="21"/>
                    </w:rPr>
                  </w:pPr>
                  <w:r>
                    <w:rPr>
                      <w:kern w:val="0"/>
                      <w:szCs w:val="21"/>
                    </w:rPr>
                    <w:t>配料房</w:t>
                  </w:r>
                </w:p>
              </w:tc>
              <w:tc>
                <w:tcPr>
                  <w:tcW w:w="1381" w:type="pct"/>
                  <w:vAlign w:val="center"/>
                </w:tcPr>
                <w:p>
                  <w:pPr>
                    <w:jc w:val="center"/>
                    <w:rPr>
                      <w:szCs w:val="21"/>
                    </w:rPr>
                  </w:pPr>
                  <w:r>
                    <w:rPr>
                      <w:szCs w:val="21"/>
                    </w:rPr>
                    <w:t>993</w:t>
                  </w:r>
                </w:p>
              </w:tc>
              <w:tc>
                <w:tcPr>
                  <w:tcW w:w="1249" w:type="pct"/>
                  <w:vAlign w:val="center"/>
                </w:tcPr>
                <w:p>
                  <w:pPr>
                    <w:jc w:val="center"/>
                    <w:rPr>
                      <w:szCs w:val="21"/>
                    </w:rPr>
                  </w:pPr>
                  <w:r>
                    <w:rPr>
                      <w:szCs w:val="21"/>
                    </w:rPr>
                    <w:t>993</w:t>
                  </w:r>
                </w:p>
              </w:tc>
              <w:tc>
                <w:tcPr>
                  <w:tcW w:w="658" w:type="pct"/>
                  <w:vAlign w:val="center"/>
                </w:tcPr>
                <w:p>
                  <w:pPr>
                    <w:spacing w:before="5" w:line="255" w:lineRule="exact"/>
                    <w:ind w:left="207" w:right="183"/>
                    <w:jc w:val="center"/>
                    <w:rPr>
                      <w:szCs w:val="21"/>
                    </w:rPr>
                  </w:pPr>
                  <w:r>
                    <w:rPr>
                      <w:szCs w:val="21"/>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55" w:type="pct"/>
                  <w:vMerge w:val="continue"/>
                  <w:tcBorders>
                    <w:bottom w:val="single" w:color="auto" w:sz="2" w:space="0"/>
                  </w:tcBorders>
                  <w:vAlign w:val="center"/>
                </w:tcPr>
                <w:p>
                  <w:pPr>
                    <w:pStyle w:val="50"/>
                    <w:spacing w:before="15"/>
                    <w:jc w:val="center"/>
                    <w:rPr>
                      <w:rFonts w:ascii="Times New Roman" w:hAnsi="Times New Roman"/>
                      <w:sz w:val="21"/>
                      <w:szCs w:val="21"/>
                    </w:rPr>
                  </w:pPr>
                </w:p>
              </w:tc>
              <w:tc>
                <w:tcPr>
                  <w:tcW w:w="1255" w:type="pct"/>
                  <w:tcBorders>
                    <w:top w:val="single" w:color="auto" w:sz="2" w:space="0"/>
                    <w:bottom w:val="single" w:color="auto" w:sz="2" w:space="0"/>
                  </w:tcBorders>
                  <w:vAlign w:val="center"/>
                </w:tcPr>
                <w:p>
                  <w:pPr>
                    <w:widowControl/>
                    <w:jc w:val="center"/>
                    <w:rPr>
                      <w:szCs w:val="21"/>
                    </w:rPr>
                  </w:pPr>
                  <w:r>
                    <w:rPr>
                      <w:kern w:val="0"/>
                      <w:szCs w:val="21"/>
                    </w:rPr>
                    <w:t>定型车间</w:t>
                  </w:r>
                </w:p>
              </w:tc>
              <w:tc>
                <w:tcPr>
                  <w:tcW w:w="1381" w:type="pct"/>
                  <w:vAlign w:val="center"/>
                </w:tcPr>
                <w:p>
                  <w:pPr>
                    <w:jc w:val="center"/>
                    <w:rPr>
                      <w:szCs w:val="21"/>
                    </w:rPr>
                  </w:pPr>
                  <w:r>
                    <w:rPr>
                      <w:szCs w:val="21"/>
                    </w:rPr>
                    <w:t>2012</w:t>
                  </w:r>
                </w:p>
              </w:tc>
              <w:tc>
                <w:tcPr>
                  <w:tcW w:w="1249" w:type="pct"/>
                  <w:vAlign w:val="center"/>
                </w:tcPr>
                <w:p>
                  <w:pPr>
                    <w:jc w:val="center"/>
                    <w:rPr>
                      <w:szCs w:val="21"/>
                    </w:rPr>
                  </w:pPr>
                  <w:r>
                    <w:rPr>
                      <w:szCs w:val="21"/>
                    </w:rPr>
                    <w:t>2012</w:t>
                  </w:r>
                </w:p>
              </w:tc>
              <w:tc>
                <w:tcPr>
                  <w:tcW w:w="658" w:type="pct"/>
                  <w:vAlign w:val="center"/>
                </w:tcPr>
                <w:p>
                  <w:pPr>
                    <w:spacing w:before="5" w:line="255" w:lineRule="exact"/>
                    <w:ind w:left="207" w:right="183"/>
                    <w:jc w:val="center"/>
                    <w:rPr>
                      <w:szCs w:val="21"/>
                    </w:rPr>
                  </w:pPr>
                  <w:r>
                    <w:rPr>
                      <w:szCs w:val="21"/>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55" w:type="pct"/>
                  <w:tcBorders>
                    <w:top w:val="single" w:color="auto" w:sz="2" w:space="0"/>
                    <w:bottom w:val="single" w:color="auto" w:sz="12" w:space="0"/>
                  </w:tcBorders>
                  <w:vAlign w:val="center"/>
                </w:tcPr>
                <w:p>
                  <w:pPr>
                    <w:pStyle w:val="50"/>
                    <w:spacing w:before="15"/>
                    <w:jc w:val="center"/>
                    <w:rPr>
                      <w:rFonts w:ascii="Times New Roman" w:hAnsi="Times New Roman"/>
                      <w:sz w:val="21"/>
                      <w:szCs w:val="21"/>
                    </w:rPr>
                  </w:pPr>
                  <w:r>
                    <w:rPr>
                      <w:rFonts w:ascii="Times New Roman" w:hAnsi="Times New Roman"/>
                      <w:sz w:val="21"/>
                      <w:szCs w:val="21"/>
                    </w:rPr>
                    <w:t>本项目</w:t>
                  </w:r>
                </w:p>
              </w:tc>
              <w:tc>
                <w:tcPr>
                  <w:tcW w:w="1255" w:type="pct"/>
                  <w:tcBorders>
                    <w:top w:val="single" w:color="auto" w:sz="2" w:space="0"/>
                    <w:bottom w:val="single" w:color="auto" w:sz="12" w:space="0"/>
                  </w:tcBorders>
                  <w:vAlign w:val="center"/>
                </w:tcPr>
                <w:p>
                  <w:pPr>
                    <w:pStyle w:val="50"/>
                    <w:spacing w:before="5" w:line="255" w:lineRule="exact"/>
                    <w:ind w:left="133" w:right="120"/>
                    <w:jc w:val="center"/>
                    <w:rPr>
                      <w:rFonts w:ascii="Times New Roman" w:hAnsi="Times New Roman"/>
                      <w:sz w:val="21"/>
                      <w:szCs w:val="21"/>
                    </w:rPr>
                  </w:pPr>
                  <w:r>
                    <w:rPr>
                      <w:rFonts w:ascii="Times New Roman" w:hAnsi="Times New Roman"/>
                      <w:sz w:val="21"/>
                      <w:szCs w:val="21"/>
                    </w:rPr>
                    <w:t>锅炉房</w:t>
                  </w:r>
                </w:p>
              </w:tc>
              <w:tc>
                <w:tcPr>
                  <w:tcW w:w="1381" w:type="pct"/>
                  <w:vAlign w:val="center"/>
                </w:tcPr>
                <w:p>
                  <w:pPr>
                    <w:jc w:val="center"/>
                    <w:rPr>
                      <w:szCs w:val="21"/>
                    </w:rPr>
                  </w:pPr>
                  <w:r>
                    <w:rPr>
                      <w:szCs w:val="21"/>
                    </w:rPr>
                    <w:t>300</w:t>
                  </w:r>
                </w:p>
              </w:tc>
              <w:tc>
                <w:tcPr>
                  <w:tcW w:w="1249" w:type="pct"/>
                  <w:vAlign w:val="center"/>
                </w:tcPr>
                <w:p>
                  <w:pPr>
                    <w:jc w:val="center"/>
                    <w:rPr>
                      <w:szCs w:val="21"/>
                    </w:rPr>
                  </w:pPr>
                  <w:r>
                    <w:rPr>
                      <w:szCs w:val="21"/>
                    </w:rPr>
                    <w:t>300</w:t>
                  </w:r>
                </w:p>
              </w:tc>
              <w:tc>
                <w:tcPr>
                  <w:tcW w:w="658" w:type="pct"/>
                  <w:vAlign w:val="center"/>
                </w:tcPr>
                <w:p>
                  <w:pPr>
                    <w:spacing w:before="5" w:line="255" w:lineRule="exact"/>
                    <w:ind w:left="207" w:right="183"/>
                    <w:jc w:val="center"/>
                    <w:rPr>
                      <w:szCs w:val="21"/>
                    </w:rPr>
                  </w:pPr>
                  <w:r>
                    <w:rPr>
                      <w:szCs w:val="21"/>
                    </w:rPr>
                    <w:t>1</w:t>
                  </w:r>
                </w:p>
              </w:tc>
            </w:tr>
          </w:tbl>
          <w:p>
            <w:pPr>
              <w:adjustRightInd w:val="0"/>
              <w:snapToGrid w:val="0"/>
              <w:spacing w:beforeLines="20" w:line="360" w:lineRule="auto"/>
              <w:rPr>
                <w:b/>
                <w:sz w:val="24"/>
              </w:rPr>
            </w:pPr>
            <w:r>
              <w:rPr>
                <w:b/>
                <w:sz w:val="24"/>
              </w:rPr>
              <w:t>4、公用、辅助、环保、储运及依托工程概况</w:t>
            </w:r>
          </w:p>
          <w:p>
            <w:pPr>
              <w:adjustRightInd w:val="0"/>
              <w:snapToGrid w:val="0"/>
              <w:ind w:firstLine="482" w:firstLineChars="200"/>
              <w:jc w:val="center"/>
              <w:rPr>
                <w:sz w:val="24"/>
              </w:rPr>
            </w:pPr>
            <w:r>
              <w:rPr>
                <w:b/>
                <w:sz w:val="24"/>
              </w:rPr>
              <w:t>表2-2  公用、辅助、环保、储运及依托工程概况一览表</w:t>
            </w:r>
          </w:p>
          <w:tbl>
            <w:tblPr>
              <w:tblStyle w:val="2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1126"/>
              <w:gridCol w:w="3143"/>
              <w:gridCol w:w="2186"/>
              <w:gridCol w:w="12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8" w:type="pct"/>
                  <w:tcBorders>
                    <w:top w:val="single" w:color="auto" w:sz="12" w:space="0"/>
                    <w:left w:val="nil"/>
                    <w:bottom w:val="single" w:color="auto" w:sz="2" w:space="0"/>
                    <w:right w:val="single" w:color="auto" w:sz="4" w:space="0"/>
                  </w:tcBorders>
                  <w:vAlign w:val="center"/>
                </w:tcPr>
                <w:p>
                  <w:pPr>
                    <w:widowControl/>
                    <w:adjustRightInd w:val="0"/>
                    <w:snapToGrid w:val="0"/>
                    <w:jc w:val="center"/>
                    <w:rPr>
                      <w:b/>
                      <w:bCs/>
                      <w:szCs w:val="21"/>
                    </w:rPr>
                  </w:pPr>
                  <w:r>
                    <w:rPr>
                      <w:b/>
                      <w:bCs/>
                    </w:rPr>
                    <w:t>类别</w:t>
                  </w:r>
                </w:p>
              </w:tc>
              <w:tc>
                <w:tcPr>
                  <w:tcW w:w="684" w:type="pct"/>
                  <w:tcBorders>
                    <w:top w:val="single" w:color="auto" w:sz="12" w:space="0"/>
                    <w:left w:val="single" w:color="auto" w:sz="4" w:space="0"/>
                    <w:bottom w:val="single" w:color="auto" w:sz="2" w:space="0"/>
                    <w:right w:val="single" w:color="auto" w:sz="4" w:space="0"/>
                  </w:tcBorders>
                  <w:vAlign w:val="center"/>
                </w:tcPr>
                <w:p>
                  <w:pPr>
                    <w:widowControl/>
                    <w:adjustRightInd w:val="0"/>
                    <w:snapToGrid w:val="0"/>
                    <w:jc w:val="center"/>
                    <w:rPr>
                      <w:b/>
                      <w:bCs/>
                      <w:szCs w:val="21"/>
                    </w:rPr>
                  </w:pPr>
                  <w:r>
                    <w:rPr>
                      <w:b/>
                      <w:bCs/>
                    </w:rPr>
                    <w:t>建设名称</w:t>
                  </w:r>
                </w:p>
              </w:tc>
              <w:tc>
                <w:tcPr>
                  <w:tcW w:w="1910" w:type="pct"/>
                  <w:tcBorders>
                    <w:top w:val="single" w:color="auto" w:sz="12" w:space="0"/>
                    <w:left w:val="single" w:color="auto" w:sz="4" w:space="0"/>
                    <w:bottom w:val="single" w:color="auto" w:sz="2" w:space="0"/>
                    <w:right w:val="single" w:color="auto" w:sz="4" w:space="0"/>
                  </w:tcBorders>
                  <w:vAlign w:val="center"/>
                </w:tcPr>
                <w:p>
                  <w:pPr>
                    <w:widowControl/>
                    <w:adjustRightInd w:val="0"/>
                    <w:snapToGrid w:val="0"/>
                    <w:jc w:val="center"/>
                    <w:rPr>
                      <w:b/>
                      <w:bCs/>
                      <w:szCs w:val="21"/>
                    </w:rPr>
                  </w:pPr>
                  <w:r>
                    <w:rPr>
                      <w:b/>
                      <w:bCs/>
                    </w:rPr>
                    <w:t>原有项目</w:t>
                  </w:r>
                </w:p>
              </w:tc>
              <w:tc>
                <w:tcPr>
                  <w:tcW w:w="1328" w:type="pct"/>
                  <w:tcBorders>
                    <w:top w:val="single" w:color="auto" w:sz="12" w:space="0"/>
                    <w:left w:val="single" w:color="auto" w:sz="4" w:space="0"/>
                    <w:bottom w:val="single" w:color="auto" w:sz="2" w:space="0"/>
                    <w:right w:val="nil"/>
                  </w:tcBorders>
                  <w:vAlign w:val="center"/>
                </w:tcPr>
                <w:p>
                  <w:pPr>
                    <w:widowControl/>
                    <w:adjustRightInd w:val="0"/>
                    <w:snapToGrid w:val="0"/>
                    <w:jc w:val="center"/>
                    <w:rPr>
                      <w:b/>
                      <w:bCs/>
                      <w:szCs w:val="21"/>
                    </w:rPr>
                  </w:pPr>
                  <w:r>
                    <w:rPr>
                      <w:b/>
                      <w:bCs/>
                    </w:rPr>
                    <w:t>本项目</w:t>
                  </w:r>
                </w:p>
              </w:tc>
              <w:tc>
                <w:tcPr>
                  <w:tcW w:w="768" w:type="pct"/>
                  <w:tcBorders>
                    <w:top w:val="single" w:color="auto" w:sz="12" w:space="0"/>
                    <w:left w:val="single" w:color="auto" w:sz="4" w:space="0"/>
                    <w:bottom w:val="single" w:color="auto" w:sz="2" w:space="0"/>
                    <w:right w:val="nil"/>
                  </w:tcBorders>
                  <w:vAlign w:val="center"/>
                </w:tcPr>
                <w:p>
                  <w:pPr>
                    <w:widowControl/>
                    <w:adjustRightInd w:val="0"/>
                    <w:snapToGrid w:val="0"/>
                    <w:jc w:val="center"/>
                    <w:rPr>
                      <w:b/>
                      <w:bCs/>
                    </w:rPr>
                  </w:pPr>
                  <w:r>
                    <w:rPr>
                      <w:b/>
                      <w:bCs/>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8" w:type="pct"/>
                  <w:vMerge w:val="restart"/>
                  <w:tcBorders>
                    <w:top w:val="single" w:color="auto" w:sz="2" w:space="0"/>
                    <w:left w:val="nil"/>
                    <w:right w:val="single" w:color="auto" w:sz="4" w:space="0"/>
                  </w:tcBorders>
                  <w:vAlign w:val="center"/>
                </w:tcPr>
                <w:p>
                  <w:pPr>
                    <w:widowControl/>
                    <w:adjustRightInd w:val="0"/>
                    <w:snapToGrid w:val="0"/>
                    <w:jc w:val="center"/>
                  </w:pPr>
                  <w:r>
                    <w:t>公辅</w:t>
                  </w:r>
                </w:p>
                <w:p>
                  <w:pPr>
                    <w:widowControl/>
                    <w:adjustRightInd w:val="0"/>
                    <w:snapToGrid w:val="0"/>
                    <w:jc w:val="center"/>
                    <w:rPr>
                      <w:b/>
                      <w:bCs/>
                    </w:rPr>
                  </w:pPr>
                  <w:r>
                    <w:t>工程</w:t>
                  </w:r>
                </w:p>
              </w:tc>
              <w:tc>
                <w:tcPr>
                  <w:tcW w:w="684" w:type="pct"/>
                  <w:tcBorders>
                    <w:top w:val="single" w:color="auto" w:sz="2" w:space="0"/>
                    <w:left w:val="single" w:color="auto" w:sz="4" w:space="0"/>
                    <w:bottom w:val="single" w:color="auto" w:sz="2" w:space="0"/>
                    <w:right w:val="single" w:color="auto" w:sz="4" w:space="0"/>
                  </w:tcBorders>
                  <w:vAlign w:val="center"/>
                </w:tcPr>
                <w:p>
                  <w:pPr>
                    <w:adjustRightInd w:val="0"/>
                    <w:snapToGrid w:val="0"/>
                    <w:jc w:val="center"/>
                  </w:pPr>
                  <w:r>
                    <w:t>供水</w:t>
                  </w:r>
                </w:p>
              </w:tc>
              <w:tc>
                <w:tcPr>
                  <w:tcW w:w="1910" w:type="pct"/>
                  <w:tcBorders>
                    <w:top w:val="single" w:color="auto" w:sz="2" w:space="0"/>
                    <w:left w:val="single" w:color="auto" w:sz="4" w:space="0"/>
                    <w:bottom w:val="single" w:color="auto" w:sz="2" w:space="0"/>
                    <w:right w:val="single" w:color="auto" w:sz="4" w:space="0"/>
                  </w:tcBorders>
                  <w:vAlign w:val="center"/>
                </w:tcPr>
                <w:p>
                  <w:pPr>
                    <w:adjustRightInd w:val="0"/>
                    <w:snapToGrid w:val="0"/>
                    <w:jc w:val="center"/>
                  </w:pPr>
                  <w:r>
                    <w:t>用水12872m</w:t>
                  </w:r>
                  <w:r>
                    <w:rPr>
                      <w:vertAlign w:val="superscript"/>
                    </w:rPr>
                    <w:t>3</w:t>
                  </w:r>
                  <w:r>
                    <w:t>/a，区域自来水管网提供。</w:t>
                  </w:r>
                </w:p>
              </w:tc>
              <w:tc>
                <w:tcPr>
                  <w:tcW w:w="1328" w:type="pct"/>
                  <w:tcBorders>
                    <w:top w:val="single" w:color="auto" w:sz="2" w:space="0"/>
                    <w:left w:val="single" w:color="auto" w:sz="4" w:space="0"/>
                    <w:bottom w:val="single" w:color="auto" w:sz="2" w:space="0"/>
                    <w:right w:val="nil"/>
                  </w:tcBorders>
                  <w:vAlign w:val="center"/>
                </w:tcPr>
                <w:p>
                  <w:pPr>
                    <w:jc w:val="center"/>
                  </w:pPr>
                  <w:r>
                    <w:t>本项目不新增用水</w:t>
                  </w:r>
                </w:p>
              </w:tc>
              <w:tc>
                <w:tcPr>
                  <w:tcW w:w="768" w:type="pct"/>
                  <w:tcBorders>
                    <w:top w:val="single" w:color="auto" w:sz="2" w:space="0"/>
                    <w:left w:val="single" w:color="auto" w:sz="4" w:space="0"/>
                    <w:bottom w:val="single" w:color="auto" w:sz="2" w:space="0"/>
                    <w:right w:val="nil"/>
                  </w:tcBorders>
                  <w:vAlign w:val="center"/>
                </w:tcPr>
                <w:p>
                  <w:pPr>
                    <w:jc w:val="center"/>
                  </w:pPr>
                  <w: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8" w:type="pct"/>
                  <w:vMerge w:val="continue"/>
                  <w:tcBorders>
                    <w:left w:val="nil"/>
                    <w:right w:val="single" w:color="auto" w:sz="4" w:space="0"/>
                  </w:tcBorders>
                  <w:vAlign w:val="center"/>
                </w:tcPr>
                <w:p>
                  <w:pPr>
                    <w:widowControl/>
                    <w:adjustRightInd w:val="0"/>
                    <w:snapToGrid w:val="0"/>
                    <w:jc w:val="center"/>
                    <w:rPr>
                      <w:b/>
                      <w:bCs/>
                    </w:rPr>
                  </w:pPr>
                </w:p>
              </w:tc>
              <w:tc>
                <w:tcPr>
                  <w:tcW w:w="684" w:type="pct"/>
                  <w:tcBorders>
                    <w:top w:val="single" w:color="auto" w:sz="2" w:space="0"/>
                    <w:left w:val="single" w:color="auto" w:sz="4" w:space="0"/>
                    <w:bottom w:val="single" w:color="auto" w:sz="2" w:space="0"/>
                    <w:right w:val="single" w:color="auto" w:sz="4" w:space="0"/>
                  </w:tcBorders>
                  <w:vAlign w:val="center"/>
                </w:tcPr>
                <w:p>
                  <w:pPr>
                    <w:adjustRightInd w:val="0"/>
                    <w:snapToGrid w:val="0"/>
                    <w:jc w:val="center"/>
                  </w:pPr>
                  <w:r>
                    <w:t>排水</w:t>
                  </w:r>
                </w:p>
              </w:tc>
              <w:tc>
                <w:tcPr>
                  <w:tcW w:w="1910" w:type="pct"/>
                  <w:tcBorders>
                    <w:top w:val="single" w:color="auto" w:sz="2" w:space="0"/>
                    <w:left w:val="single" w:color="auto" w:sz="4" w:space="0"/>
                    <w:bottom w:val="single" w:color="auto" w:sz="2" w:space="0"/>
                    <w:right w:val="single" w:color="auto" w:sz="4" w:space="0"/>
                  </w:tcBorders>
                  <w:vAlign w:val="center"/>
                </w:tcPr>
                <w:p>
                  <w:pPr>
                    <w:adjustRightInd w:val="0"/>
                    <w:snapToGrid w:val="0"/>
                    <w:jc w:val="center"/>
                  </w:pPr>
                  <w:r>
                    <w:t>厂内实行雨污分流，雨水依托百兴集团雨水管网收集后排入附近水体；生活污水自查报告量为8400t/a，依托百兴集团污水管网排入武南污水处理厂集中处理。</w:t>
                  </w:r>
                </w:p>
              </w:tc>
              <w:tc>
                <w:tcPr>
                  <w:tcW w:w="1328" w:type="pct"/>
                  <w:tcBorders>
                    <w:top w:val="single" w:color="auto" w:sz="2" w:space="0"/>
                    <w:left w:val="single" w:color="auto" w:sz="4" w:space="0"/>
                    <w:bottom w:val="single" w:color="auto" w:sz="2" w:space="0"/>
                    <w:right w:val="nil"/>
                  </w:tcBorders>
                  <w:vAlign w:val="center"/>
                </w:tcPr>
                <w:p>
                  <w:pPr>
                    <w:adjustRightInd w:val="0"/>
                    <w:snapToGrid w:val="0"/>
                    <w:jc w:val="center"/>
                  </w:pPr>
                  <w:r>
                    <w:t>不新增生活污水和生产废水</w:t>
                  </w:r>
                </w:p>
              </w:tc>
              <w:tc>
                <w:tcPr>
                  <w:tcW w:w="768" w:type="pct"/>
                  <w:tcBorders>
                    <w:top w:val="single" w:color="auto" w:sz="2" w:space="0"/>
                    <w:left w:val="single" w:color="auto" w:sz="4" w:space="0"/>
                    <w:bottom w:val="single" w:color="auto" w:sz="2" w:space="0"/>
                    <w:right w:val="nil"/>
                  </w:tcBorders>
                  <w:vAlign w:val="center"/>
                </w:tcPr>
                <w:p>
                  <w:pPr>
                    <w:adjustRightInd w:val="0"/>
                    <w:snapToGrid w:val="0"/>
                    <w:jc w:val="center"/>
                  </w:pPr>
                  <w: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8" w:type="pct"/>
                  <w:vMerge w:val="continue"/>
                  <w:tcBorders>
                    <w:left w:val="nil"/>
                    <w:right w:val="single" w:color="auto" w:sz="4" w:space="0"/>
                  </w:tcBorders>
                  <w:vAlign w:val="center"/>
                </w:tcPr>
                <w:p>
                  <w:pPr>
                    <w:widowControl/>
                    <w:adjustRightInd w:val="0"/>
                    <w:snapToGrid w:val="0"/>
                    <w:jc w:val="center"/>
                    <w:rPr>
                      <w:b/>
                      <w:bCs/>
                    </w:rPr>
                  </w:pPr>
                </w:p>
              </w:tc>
              <w:tc>
                <w:tcPr>
                  <w:tcW w:w="684" w:type="pct"/>
                  <w:tcBorders>
                    <w:top w:val="single" w:color="auto" w:sz="2" w:space="0"/>
                    <w:left w:val="single" w:color="auto" w:sz="4" w:space="0"/>
                    <w:bottom w:val="single" w:color="auto" w:sz="2" w:space="0"/>
                    <w:right w:val="single" w:color="auto" w:sz="4" w:space="0"/>
                  </w:tcBorders>
                  <w:vAlign w:val="center"/>
                </w:tcPr>
                <w:p>
                  <w:pPr>
                    <w:adjustRightInd w:val="0"/>
                    <w:snapToGrid w:val="0"/>
                    <w:jc w:val="center"/>
                  </w:pPr>
                  <w:r>
                    <w:t>供电</w:t>
                  </w:r>
                </w:p>
              </w:tc>
              <w:tc>
                <w:tcPr>
                  <w:tcW w:w="1910" w:type="pct"/>
                  <w:tcBorders>
                    <w:top w:val="single" w:color="auto" w:sz="2" w:space="0"/>
                    <w:left w:val="single" w:color="auto" w:sz="4" w:space="0"/>
                    <w:bottom w:val="single" w:color="auto" w:sz="2" w:space="0"/>
                    <w:right w:val="single" w:color="auto" w:sz="4" w:space="0"/>
                  </w:tcBorders>
                  <w:vAlign w:val="center"/>
                </w:tcPr>
                <w:p>
                  <w:pPr>
                    <w:adjustRightInd w:val="0"/>
                    <w:snapToGrid w:val="0"/>
                    <w:jc w:val="center"/>
                  </w:pPr>
                  <w:r>
                    <w:t>80万度/年，市政供电网。</w:t>
                  </w:r>
                </w:p>
              </w:tc>
              <w:tc>
                <w:tcPr>
                  <w:tcW w:w="1328" w:type="pct"/>
                  <w:tcBorders>
                    <w:top w:val="single" w:color="auto" w:sz="2" w:space="0"/>
                    <w:left w:val="single" w:color="auto" w:sz="4" w:space="0"/>
                    <w:bottom w:val="single" w:color="auto" w:sz="2" w:space="0"/>
                    <w:right w:val="nil"/>
                  </w:tcBorders>
                  <w:vAlign w:val="center"/>
                </w:tcPr>
                <w:p>
                  <w:pPr>
                    <w:adjustRightInd w:val="0"/>
                    <w:snapToGrid w:val="0"/>
                    <w:jc w:val="center"/>
                  </w:pPr>
                  <w:r>
                    <w:t>新增用电5万度/年</w:t>
                  </w:r>
                </w:p>
              </w:tc>
              <w:tc>
                <w:tcPr>
                  <w:tcW w:w="768" w:type="pct"/>
                  <w:tcBorders>
                    <w:top w:val="single" w:color="auto" w:sz="2" w:space="0"/>
                    <w:left w:val="single" w:color="auto" w:sz="4" w:space="0"/>
                    <w:bottom w:val="single" w:color="auto" w:sz="2" w:space="0"/>
                    <w:right w:val="nil"/>
                  </w:tcBorders>
                  <w:vAlign w:val="center"/>
                </w:tcPr>
                <w:p>
                  <w:pPr>
                    <w:adjustRightInd w:val="0"/>
                    <w:snapToGrid w:val="0"/>
                    <w:jc w:val="center"/>
                  </w:pPr>
                  <w:r>
                    <w:t>依托厂内现有的供电系统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8" w:type="pct"/>
                  <w:vMerge w:val="continue"/>
                  <w:tcBorders>
                    <w:left w:val="nil"/>
                    <w:bottom w:val="single" w:color="auto" w:sz="4" w:space="0"/>
                    <w:right w:val="single" w:color="auto" w:sz="4" w:space="0"/>
                  </w:tcBorders>
                  <w:vAlign w:val="center"/>
                </w:tcPr>
                <w:p>
                  <w:pPr>
                    <w:widowControl/>
                    <w:adjustRightInd w:val="0"/>
                    <w:snapToGrid w:val="0"/>
                    <w:jc w:val="center"/>
                    <w:rPr>
                      <w:b/>
                      <w:bCs/>
                    </w:rPr>
                  </w:pPr>
                </w:p>
              </w:tc>
              <w:tc>
                <w:tcPr>
                  <w:tcW w:w="684" w:type="pct"/>
                  <w:tcBorders>
                    <w:top w:val="single" w:color="auto" w:sz="2" w:space="0"/>
                    <w:left w:val="single" w:color="auto" w:sz="4" w:space="0"/>
                    <w:bottom w:val="single" w:color="auto" w:sz="4" w:space="0"/>
                    <w:right w:val="single" w:color="auto" w:sz="4" w:space="0"/>
                  </w:tcBorders>
                  <w:vAlign w:val="center"/>
                </w:tcPr>
                <w:p>
                  <w:pPr>
                    <w:adjustRightInd w:val="0"/>
                    <w:snapToGrid w:val="0"/>
                    <w:jc w:val="center"/>
                  </w:pPr>
                  <w:r>
                    <w:t>供气</w:t>
                  </w:r>
                </w:p>
              </w:tc>
              <w:tc>
                <w:tcPr>
                  <w:tcW w:w="1910" w:type="pct"/>
                  <w:tcBorders>
                    <w:top w:val="single" w:color="auto" w:sz="2" w:space="0"/>
                    <w:left w:val="single" w:color="auto" w:sz="4" w:space="0"/>
                    <w:bottom w:val="single" w:color="auto" w:sz="4" w:space="0"/>
                    <w:right w:val="single" w:color="auto" w:sz="4" w:space="0"/>
                  </w:tcBorders>
                  <w:vAlign w:val="center"/>
                </w:tcPr>
                <w:p>
                  <w:pPr>
                    <w:adjustRightInd w:val="0"/>
                    <w:snapToGrid w:val="0"/>
                    <w:jc w:val="center"/>
                  </w:pPr>
                  <w:r>
                    <w:t>/</w:t>
                  </w:r>
                </w:p>
              </w:tc>
              <w:tc>
                <w:tcPr>
                  <w:tcW w:w="1328" w:type="pct"/>
                  <w:tcBorders>
                    <w:top w:val="single" w:color="auto" w:sz="2" w:space="0"/>
                    <w:left w:val="single" w:color="auto" w:sz="4" w:space="0"/>
                    <w:bottom w:val="single" w:color="auto" w:sz="4" w:space="0"/>
                    <w:right w:val="nil"/>
                  </w:tcBorders>
                  <w:vAlign w:val="center"/>
                </w:tcPr>
                <w:p>
                  <w:pPr>
                    <w:adjustRightInd w:val="0"/>
                    <w:snapToGrid w:val="0"/>
                    <w:jc w:val="center"/>
                  </w:pPr>
                  <w:r>
                    <w:t>新增天然气120万Nm</w:t>
                  </w:r>
                  <w:r>
                    <w:rPr>
                      <w:vertAlign w:val="superscript"/>
                    </w:rPr>
                    <w:t>3</w:t>
                  </w:r>
                  <w:r>
                    <w:t>/a</w:t>
                  </w:r>
                </w:p>
              </w:tc>
              <w:tc>
                <w:tcPr>
                  <w:tcW w:w="768" w:type="pct"/>
                  <w:tcBorders>
                    <w:top w:val="single" w:color="auto" w:sz="2" w:space="0"/>
                    <w:left w:val="single" w:color="auto" w:sz="4" w:space="0"/>
                    <w:bottom w:val="single" w:color="auto" w:sz="4" w:space="0"/>
                    <w:right w:val="nil"/>
                  </w:tcBorders>
                  <w:vAlign w:val="center"/>
                </w:tcPr>
                <w:p>
                  <w:pPr>
                    <w:adjustRightInd w:val="0"/>
                    <w:snapToGrid w:val="0"/>
                    <w:jc w:val="center"/>
                  </w:pPr>
                  <w: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8" w:hRule="atLeast"/>
              </w:trPr>
              <w:tc>
                <w:tcPr>
                  <w:tcW w:w="308" w:type="pct"/>
                  <w:vMerge w:val="restart"/>
                  <w:tcBorders>
                    <w:top w:val="single" w:color="auto" w:sz="2" w:space="0"/>
                    <w:left w:val="nil"/>
                    <w:right w:val="single" w:color="auto" w:sz="4" w:space="0"/>
                  </w:tcBorders>
                  <w:vAlign w:val="center"/>
                </w:tcPr>
                <w:p>
                  <w:pPr>
                    <w:widowControl/>
                    <w:adjustRightInd w:val="0"/>
                    <w:snapToGrid w:val="0"/>
                    <w:jc w:val="center"/>
                  </w:pPr>
                  <w:r>
                    <w:t>环保</w:t>
                  </w:r>
                </w:p>
                <w:p>
                  <w:pPr>
                    <w:widowControl/>
                    <w:adjustRightInd w:val="0"/>
                    <w:snapToGrid w:val="0"/>
                    <w:jc w:val="center"/>
                    <w:rPr>
                      <w:b/>
                      <w:bCs/>
                    </w:rPr>
                  </w:pPr>
                  <w:r>
                    <w:t>工程</w:t>
                  </w:r>
                </w:p>
              </w:tc>
              <w:tc>
                <w:tcPr>
                  <w:tcW w:w="684" w:type="pct"/>
                  <w:tcBorders>
                    <w:top w:val="single" w:color="auto" w:sz="2" w:space="0"/>
                    <w:left w:val="single" w:color="auto" w:sz="4" w:space="0"/>
                    <w:bottom w:val="single" w:color="auto" w:sz="4" w:space="0"/>
                    <w:right w:val="single" w:color="auto" w:sz="4" w:space="0"/>
                  </w:tcBorders>
                  <w:vAlign w:val="center"/>
                </w:tcPr>
                <w:p>
                  <w:pPr>
                    <w:adjustRightInd w:val="0"/>
                    <w:snapToGrid w:val="0"/>
                    <w:jc w:val="center"/>
                  </w:pPr>
                  <w:r>
                    <w:t>废气治理</w:t>
                  </w:r>
                </w:p>
              </w:tc>
              <w:tc>
                <w:tcPr>
                  <w:tcW w:w="1910" w:type="pct"/>
                  <w:tcBorders>
                    <w:top w:val="single" w:color="auto" w:sz="2" w:space="0"/>
                    <w:left w:val="single" w:color="auto" w:sz="4" w:space="0"/>
                    <w:bottom w:val="single" w:color="auto" w:sz="4" w:space="0"/>
                    <w:right w:val="single" w:color="auto" w:sz="4" w:space="0"/>
                  </w:tcBorders>
                  <w:vAlign w:val="center"/>
                </w:tcPr>
                <w:p>
                  <w:pPr>
                    <w:adjustRightInd w:val="0"/>
                    <w:snapToGrid w:val="0"/>
                    <w:jc w:val="center"/>
                  </w:pPr>
                  <w:r>
                    <w:t>在定型车间拌胶、烘干等工段会产生非甲烷总烃，经静电除油+活性炭吸附装置处理后通过15m高排气筒（FQ-1）排放；</w:t>
                  </w:r>
                </w:p>
                <w:p>
                  <w:pPr>
                    <w:adjustRightInd w:val="0"/>
                    <w:snapToGrid w:val="0"/>
                    <w:jc w:val="center"/>
                  </w:pPr>
                  <w:r>
                    <w:t>1号涂布车间拌胶、涂层等工段会产生非甲烷总烃，经静电除油+活性炭吸附装置处理后通过15m高排气筒（FQ-2）排放；</w:t>
                  </w:r>
                </w:p>
                <w:p>
                  <w:pPr>
                    <w:adjustRightInd w:val="0"/>
                    <w:snapToGrid w:val="0"/>
                    <w:jc w:val="center"/>
                  </w:pPr>
                  <w:r>
                    <w:t>2号涂布车间、开炼、密炼、压延等工段会产生非甲烷总烃，经静电除油+活性炭吸附装置处理后通过15m高排气筒（FQ-3）排放；</w:t>
                  </w:r>
                </w:p>
                <w:p>
                  <w:pPr>
                    <w:adjustRightInd w:val="0"/>
                    <w:snapToGrid w:val="0"/>
                    <w:jc w:val="center"/>
                    <w:rPr>
                      <w:color w:val="0000FF"/>
                    </w:rPr>
                  </w:pPr>
                  <w:r>
                    <w:t>涂布车间搅拌PVC树脂碎料工段会产生颗粒物，经布袋除尘装置处理后通过15m高排气筒（FQ-4）排放。</w:t>
                  </w:r>
                </w:p>
              </w:tc>
              <w:tc>
                <w:tcPr>
                  <w:tcW w:w="1328" w:type="pct"/>
                  <w:tcBorders>
                    <w:top w:val="single" w:color="auto" w:sz="2" w:space="0"/>
                    <w:left w:val="single" w:color="auto" w:sz="4" w:space="0"/>
                    <w:bottom w:val="single" w:color="auto" w:sz="4" w:space="0"/>
                    <w:right w:val="nil"/>
                  </w:tcBorders>
                  <w:vAlign w:val="center"/>
                </w:tcPr>
                <w:p>
                  <w:pPr>
                    <w:adjustRightInd w:val="0"/>
                    <w:snapToGrid w:val="0"/>
                    <w:jc w:val="center"/>
                  </w:pPr>
                  <w:r>
                    <w:t>本项目天然气锅炉配套了低氮燃烧器，天然气燃烧废气通过</w:t>
                  </w:r>
                  <w:r>
                    <w:rPr>
                      <w:rFonts w:hint="eastAsia"/>
                      <w:lang w:val="en-US" w:eastAsia="zh-CN"/>
                    </w:rPr>
                    <w:t>30m</w:t>
                  </w:r>
                  <w:r>
                    <w:t>高排气筒（FQ-5）排放。</w:t>
                  </w:r>
                </w:p>
              </w:tc>
              <w:tc>
                <w:tcPr>
                  <w:tcW w:w="768" w:type="pct"/>
                  <w:tcBorders>
                    <w:top w:val="single" w:color="auto" w:sz="2" w:space="0"/>
                    <w:left w:val="single" w:color="auto" w:sz="4" w:space="0"/>
                    <w:bottom w:val="single" w:color="auto" w:sz="4" w:space="0"/>
                    <w:right w:val="nil"/>
                  </w:tcBorders>
                  <w:vAlign w:val="center"/>
                </w:tcPr>
                <w:p>
                  <w:pPr>
                    <w:pStyle w:val="45"/>
                    <w:adjustRightInd w:val="0"/>
                    <w:snapToGrid w:val="0"/>
                    <w:jc w:val="center"/>
                  </w:pPr>
                  <w:r>
                    <w:rPr>
                      <w:szCs w:val="24"/>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308" w:type="pct"/>
                  <w:vMerge w:val="continue"/>
                  <w:tcBorders>
                    <w:left w:val="nil"/>
                    <w:right w:val="single" w:color="auto" w:sz="4" w:space="0"/>
                  </w:tcBorders>
                  <w:vAlign w:val="center"/>
                </w:tcPr>
                <w:p>
                  <w:pPr>
                    <w:widowControl/>
                    <w:adjustRightInd w:val="0"/>
                    <w:snapToGrid w:val="0"/>
                    <w:jc w:val="center"/>
                    <w:rPr>
                      <w:b/>
                      <w:bCs/>
                      <w:color w:val="0000FF"/>
                    </w:rPr>
                  </w:pPr>
                </w:p>
              </w:tc>
              <w:tc>
                <w:tcPr>
                  <w:tcW w:w="684" w:type="pct"/>
                  <w:tcBorders>
                    <w:top w:val="single" w:color="auto" w:sz="2" w:space="0"/>
                    <w:left w:val="single" w:color="auto" w:sz="4" w:space="0"/>
                    <w:bottom w:val="single" w:color="auto" w:sz="4" w:space="0"/>
                    <w:right w:val="single" w:color="auto" w:sz="4" w:space="0"/>
                  </w:tcBorders>
                  <w:vAlign w:val="center"/>
                </w:tcPr>
                <w:p>
                  <w:pPr>
                    <w:adjustRightInd w:val="0"/>
                    <w:snapToGrid w:val="0"/>
                    <w:jc w:val="center"/>
                  </w:pPr>
                  <w:r>
                    <w:t>废水治理</w:t>
                  </w:r>
                </w:p>
              </w:tc>
              <w:tc>
                <w:tcPr>
                  <w:tcW w:w="1910" w:type="pct"/>
                  <w:tcBorders>
                    <w:top w:val="single" w:color="auto" w:sz="2" w:space="0"/>
                    <w:left w:val="single" w:color="auto" w:sz="4" w:space="0"/>
                    <w:bottom w:val="single" w:color="auto" w:sz="4" w:space="0"/>
                    <w:right w:val="single" w:color="auto" w:sz="4" w:space="0"/>
                  </w:tcBorders>
                  <w:vAlign w:val="center"/>
                </w:tcPr>
                <w:p>
                  <w:pPr>
                    <w:adjustRightInd w:val="0"/>
                    <w:snapToGrid w:val="0"/>
                    <w:jc w:val="center"/>
                  </w:pPr>
                  <w:r>
                    <w:t>全厂生活污水依托百兴集团污水管网排入武南污水处理厂。</w:t>
                  </w:r>
                </w:p>
              </w:tc>
              <w:tc>
                <w:tcPr>
                  <w:tcW w:w="1328" w:type="pct"/>
                  <w:tcBorders>
                    <w:top w:val="single" w:color="auto" w:sz="2" w:space="0"/>
                    <w:left w:val="single" w:color="auto" w:sz="4" w:space="0"/>
                    <w:bottom w:val="single" w:color="auto" w:sz="4" w:space="0"/>
                    <w:right w:val="nil"/>
                  </w:tcBorders>
                  <w:vAlign w:val="center"/>
                </w:tcPr>
                <w:p>
                  <w:pPr>
                    <w:adjustRightInd w:val="0"/>
                    <w:snapToGrid w:val="0"/>
                    <w:jc w:val="center"/>
                  </w:pPr>
                  <w:r>
                    <w:t>不新增生活污水和生产废水</w:t>
                  </w:r>
                </w:p>
              </w:tc>
              <w:tc>
                <w:tcPr>
                  <w:tcW w:w="768" w:type="pct"/>
                  <w:tcBorders>
                    <w:top w:val="single" w:color="auto" w:sz="2" w:space="0"/>
                    <w:left w:val="single" w:color="auto" w:sz="4" w:space="0"/>
                    <w:bottom w:val="single" w:color="auto" w:sz="4" w:space="0"/>
                    <w:right w:val="nil"/>
                  </w:tcBorders>
                  <w:vAlign w:val="center"/>
                </w:tcPr>
                <w:p>
                  <w:pPr>
                    <w:adjustRightInd w:val="0"/>
                    <w:snapToGrid w:val="0"/>
                    <w:jc w:val="center"/>
                  </w:pPr>
                  <w: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08" w:type="pct"/>
                  <w:vMerge w:val="continue"/>
                  <w:tcBorders>
                    <w:left w:val="nil"/>
                    <w:right w:val="single" w:color="auto" w:sz="4" w:space="0"/>
                  </w:tcBorders>
                  <w:vAlign w:val="center"/>
                </w:tcPr>
                <w:p>
                  <w:pPr>
                    <w:widowControl/>
                    <w:adjustRightInd w:val="0"/>
                    <w:snapToGrid w:val="0"/>
                    <w:jc w:val="center"/>
                    <w:rPr>
                      <w:b/>
                      <w:bCs/>
                      <w:color w:val="0000FF"/>
                    </w:rPr>
                  </w:pPr>
                </w:p>
              </w:tc>
              <w:tc>
                <w:tcPr>
                  <w:tcW w:w="684" w:type="pct"/>
                  <w:tcBorders>
                    <w:top w:val="single" w:color="auto" w:sz="2" w:space="0"/>
                    <w:left w:val="single" w:color="auto" w:sz="4" w:space="0"/>
                    <w:bottom w:val="single" w:color="auto" w:sz="4" w:space="0"/>
                    <w:right w:val="single" w:color="auto" w:sz="4" w:space="0"/>
                  </w:tcBorders>
                  <w:vAlign w:val="center"/>
                </w:tcPr>
                <w:p>
                  <w:pPr>
                    <w:adjustRightInd w:val="0"/>
                    <w:snapToGrid w:val="0"/>
                    <w:jc w:val="center"/>
                  </w:pPr>
                  <w:r>
                    <w:t>噪声治理</w:t>
                  </w:r>
                </w:p>
              </w:tc>
              <w:tc>
                <w:tcPr>
                  <w:tcW w:w="1910" w:type="pct"/>
                  <w:tcBorders>
                    <w:top w:val="single" w:color="auto" w:sz="2" w:space="0"/>
                    <w:left w:val="single" w:color="auto" w:sz="4" w:space="0"/>
                    <w:bottom w:val="single" w:color="auto" w:sz="4" w:space="0"/>
                    <w:right w:val="single" w:color="auto" w:sz="4" w:space="0"/>
                  </w:tcBorders>
                  <w:vAlign w:val="center"/>
                </w:tcPr>
                <w:p>
                  <w:pPr>
                    <w:adjustRightInd w:val="0"/>
                    <w:snapToGrid w:val="0"/>
                    <w:jc w:val="center"/>
                  </w:pPr>
                  <w:r>
                    <w:t>局部消声、隔音；厂房隔音等。</w:t>
                  </w:r>
                </w:p>
              </w:tc>
              <w:tc>
                <w:tcPr>
                  <w:tcW w:w="1328" w:type="pct"/>
                  <w:tcBorders>
                    <w:top w:val="single" w:color="auto" w:sz="2" w:space="0"/>
                    <w:left w:val="single" w:color="auto" w:sz="4" w:space="0"/>
                    <w:bottom w:val="single" w:color="auto" w:sz="4" w:space="0"/>
                    <w:right w:val="nil"/>
                  </w:tcBorders>
                  <w:vAlign w:val="center"/>
                </w:tcPr>
                <w:p>
                  <w:pPr>
                    <w:adjustRightInd w:val="0"/>
                    <w:snapToGrid w:val="0"/>
                    <w:jc w:val="center"/>
                  </w:pPr>
                  <w:r>
                    <w:t>局部消声、隔音；厂房隔音等。</w:t>
                  </w:r>
                </w:p>
              </w:tc>
              <w:tc>
                <w:tcPr>
                  <w:tcW w:w="768" w:type="pct"/>
                  <w:tcBorders>
                    <w:top w:val="single" w:color="auto" w:sz="2" w:space="0"/>
                    <w:left w:val="single" w:color="auto" w:sz="4" w:space="0"/>
                    <w:bottom w:val="single" w:color="auto" w:sz="4" w:space="0"/>
                    <w:right w:val="nil"/>
                  </w:tcBorders>
                  <w:vAlign w:val="center"/>
                </w:tcPr>
                <w:p>
                  <w:pPr>
                    <w:adjustRightInd w:val="0"/>
                    <w:snapToGrid w:val="0"/>
                    <w:jc w:val="center"/>
                  </w:pPr>
                  <w: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308" w:type="pct"/>
                  <w:vMerge w:val="continue"/>
                  <w:tcBorders>
                    <w:left w:val="nil"/>
                    <w:right w:val="single" w:color="auto" w:sz="4" w:space="0"/>
                  </w:tcBorders>
                  <w:vAlign w:val="center"/>
                </w:tcPr>
                <w:p>
                  <w:pPr>
                    <w:adjustRightInd w:val="0"/>
                    <w:snapToGrid w:val="0"/>
                    <w:jc w:val="center"/>
                    <w:rPr>
                      <w:color w:val="0000FF"/>
                      <w:szCs w:val="21"/>
                    </w:rPr>
                  </w:pPr>
                </w:p>
              </w:tc>
              <w:tc>
                <w:tcPr>
                  <w:tcW w:w="684" w:type="pct"/>
                  <w:vMerge w:val="restart"/>
                  <w:tcBorders>
                    <w:top w:val="single" w:color="auto" w:sz="4" w:space="0"/>
                    <w:left w:val="single" w:color="auto" w:sz="4" w:space="0"/>
                    <w:right w:val="single" w:color="auto" w:sz="4" w:space="0"/>
                  </w:tcBorders>
                  <w:vAlign w:val="center"/>
                </w:tcPr>
                <w:p>
                  <w:pPr>
                    <w:adjustRightInd w:val="0"/>
                    <w:snapToGrid w:val="0"/>
                    <w:jc w:val="center"/>
                    <w:rPr>
                      <w:szCs w:val="21"/>
                    </w:rPr>
                  </w:pPr>
                  <w:r>
                    <w:rPr>
                      <w:szCs w:val="21"/>
                    </w:rPr>
                    <w:t>固体废物处理</w:t>
                  </w:r>
                </w:p>
              </w:tc>
              <w:tc>
                <w:tcPr>
                  <w:tcW w:w="19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t>现有1个一般固废仓库，约30平方米。</w:t>
                  </w:r>
                </w:p>
              </w:tc>
              <w:tc>
                <w:tcPr>
                  <w:tcW w:w="1328" w:type="pct"/>
                  <w:tcBorders>
                    <w:top w:val="single" w:color="auto" w:sz="4" w:space="0"/>
                    <w:left w:val="single" w:color="auto" w:sz="4" w:space="0"/>
                    <w:bottom w:val="single" w:color="auto" w:sz="4" w:space="0"/>
                    <w:right w:val="nil"/>
                  </w:tcBorders>
                  <w:vAlign w:val="center"/>
                </w:tcPr>
                <w:p>
                  <w:pPr>
                    <w:adjustRightInd w:val="0"/>
                    <w:snapToGrid w:val="0"/>
                    <w:jc w:val="center"/>
                  </w:pPr>
                  <w:r>
                    <w:t>本项目不产生一般固废，不涉及固废仓库</w:t>
                  </w:r>
                </w:p>
              </w:tc>
              <w:tc>
                <w:tcPr>
                  <w:tcW w:w="768" w:type="pct"/>
                  <w:tcBorders>
                    <w:top w:val="single" w:color="auto" w:sz="4" w:space="0"/>
                    <w:left w:val="single" w:color="auto" w:sz="4" w:space="0"/>
                    <w:bottom w:val="single" w:color="auto" w:sz="4" w:space="0"/>
                    <w:right w:val="nil"/>
                  </w:tcBorders>
                  <w:vAlign w:val="center"/>
                </w:tcPr>
                <w:p>
                  <w:pPr>
                    <w:adjustRightInd w:val="0"/>
                    <w:snapToGrid w:val="0"/>
                    <w:jc w:val="center"/>
                  </w:pPr>
                  <w: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308" w:type="pct"/>
                  <w:vMerge w:val="continue"/>
                  <w:tcBorders>
                    <w:left w:val="nil"/>
                    <w:right w:val="single" w:color="auto" w:sz="4" w:space="0"/>
                  </w:tcBorders>
                  <w:vAlign w:val="center"/>
                </w:tcPr>
                <w:p>
                  <w:pPr>
                    <w:widowControl/>
                    <w:adjustRightInd w:val="0"/>
                    <w:snapToGrid w:val="0"/>
                    <w:jc w:val="left"/>
                    <w:rPr>
                      <w:color w:val="0000FF"/>
                      <w:szCs w:val="21"/>
                    </w:rPr>
                  </w:pPr>
                </w:p>
              </w:tc>
              <w:tc>
                <w:tcPr>
                  <w:tcW w:w="684" w:type="pct"/>
                  <w:vMerge w:val="continue"/>
                  <w:tcBorders>
                    <w:left w:val="single" w:color="auto" w:sz="4" w:space="0"/>
                    <w:right w:val="single" w:color="auto" w:sz="4" w:space="0"/>
                  </w:tcBorders>
                  <w:vAlign w:val="center"/>
                </w:tcPr>
                <w:p>
                  <w:pPr>
                    <w:adjustRightInd w:val="0"/>
                    <w:snapToGrid w:val="0"/>
                    <w:jc w:val="center"/>
                    <w:rPr>
                      <w:szCs w:val="21"/>
                    </w:rPr>
                  </w:pPr>
                </w:p>
              </w:tc>
              <w:tc>
                <w:tcPr>
                  <w:tcW w:w="19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t>现有1个危废仓库，约30平方米。</w:t>
                  </w:r>
                </w:p>
              </w:tc>
              <w:tc>
                <w:tcPr>
                  <w:tcW w:w="1328" w:type="pct"/>
                  <w:tcBorders>
                    <w:top w:val="single" w:color="auto" w:sz="4" w:space="0"/>
                    <w:left w:val="single" w:color="auto" w:sz="4" w:space="0"/>
                    <w:right w:val="nil"/>
                  </w:tcBorders>
                  <w:vAlign w:val="center"/>
                </w:tcPr>
                <w:p>
                  <w:pPr>
                    <w:adjustRightInd w:val="0"/>
                    <w:snapToGrid w:val="0"/>
                    <w:jc w:val="center"/>
                  </w:pPr>
                  <w:r>
                    <w:t>本项目所需13.5m</w:t>
                  </w:r>
                  <w:r>
                    <w:rPr>
                      <w:vertAlign w:val="superscript"/>
                    </w:rPr>
                    <w:t>2</w:t>
                  </w:r>
                  <w:r>
                    <w:t>危废仓库，依托原有的危废仓库</w:t>
                  </w:r>
                </w:p>
              </w:tc>
              <w:tc>
                <w:tcPr>
                  <w:tcW w:w="768" w:type="pct"/>
                  <w:tcBorders>
                    <w:top w:val="single" w:color="auto" w:sz="4" w:space="0"/>
                    <w:left w:val="single" w:color="auto" w:sz="4" w:space="0"/>
                    <w:right w:val="nil"/>
                  </w:tcBorders>
                  <w:vAlign w:val="center"/>
                </w:tcPr>
                <w:p>
                  <w:pPr>
                    <w:adjustRightInd w:val="0"/>
                    <w:snapToGrid w:val="0"/>
                    <w:jc w:val="center"/>
                  </w:pPr>
                  <w: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08" w:type="pct"/>
                  <w:vMerge w:val="restart"/>
                  <w:tcBorders>
                    <w:top w:val="single" w:color="auto" w:sz="2" w:space="0"/>
                    <w:left w:val="nil"/>
                    <w:right w:val="single" w:color="auto" w:sz="4" w:space="0"/>
                  </w:tcBorders>
                  <w:vAlign w:val="center"/>
                </w:tcPr>
                <w:p>
                  <w:pPr>
                    <w:widowControl/>
                    <w:adjustRightInd w:val="0"/>
                    <w:snapToGrid w:val="0"/>
                    <w:jc w:val="left"/>
                    <w:rPr>
                      <w:szCs w:val="21"/>
                    </w:rPr>
                  </w:pPr>
                  <w:r>
                    <w:rPr>
                      <w:szCs w:val="21"/>
                    </w:rPr>
                    <w:t>储运</w:t>
                  </w:r>
                </w:p>
                <w:p>
                  <w:pPr>
                    <w:widowControl/>
                    <w:adjustRightInd w:val="0"/>
                    <w:snapToGrid w:val="0"/>
                    <w:jc w:val="left"/>
                    <w:rPr>
                      <w:szCs w:val="21"/>
                    </w:rPr>
                  </w:pPr>
                  <w:r>
                    <w:rPr>
                      <w:szCs w:val="21"/>
                    </w:rPr>
                    <w:t>工程</w:t>
                  </w:r>
                </w:p>
              </w:tc>
              <w:tc>
                <w:tcPr>
                  <w:tcW w:w="684" w:type="pct"/>
                  <w:tcBorders>
                    <w:top w:val="single" w:color="auto" w:sz="4" w:space="0"/>
                    <w:left w:val="single" w:color="auto" w:sz="4" w:space="0"/>
                    <w:bottom w:val="single" w:color="auto" w:sz="4" w:space="0"/>
                    <w:right w:val="single" w:color="auto" w:sz="4" w:space="0"/>
                  </w:tcBorders>
                  <w:vAlign w:val="center"/>
                </w:tcPr>
                <w:p>
                  <w:pPr>
                    <w:pStyle w:val="50"/>
                    <w:snapToGrid w:val="0"/>
                    <w:spacing w:before="6"/>
                    <w:ind w:left="133" w:right="120"/>
                    <w:jc w:val="center"/>
                    <w:rPr>
                      <w:rFonts w:ascii="Times New Roman" w:hAnsi="Times New Roman"/>
                      <w:sz w:val="21"/>
                      <w:szCs w:val="21"/>
                    </w:rPr>
                  </w:pPr>
                  <w:r>
                    <w:rPr>
                      <w:rFonts w:ascii="Times New Roman" w:hAnsi="Times New Roman"/>
                      <w:sz w:val="21"/>
                      <w:szCs w:val="21"/>
                    </w:rPr>
                    <w:t>原料仓库</w:t>
                  </w:r>
                </w:p>
              </w:tc>
              <w:tc>
                <w:tcPr>
                  <w:tcW w:w="1910" w:type="pct"/>
                  <w:tcBorders>
                    <w:top w:val="single" w:color="auto" w:sz="4" w:space="0"/>
                    <w:left w:val="single" w:color="auto" w:sz="4" w:space="0"/>
                    <w:bottom w:val="single" w:color="auto" w:sz="4" w:space="0"/>
                    <w:right w:val="single" w:color="auto" w:sz="4" w:space="0"/>
                  </w:tcBorders>
                  <w:vAlign w:val="center"/>
                </w:tcPr>
                <w:p>
                  <w:pPr>
                    <w:pStyle w:val="50"/>
                    <w:snapToGrid w:val="0"/>
                    <w:spacing w:before="6"/>
                    <w:ind w:left="133" w:right="120"/>
                    <w:jc w:val="center"/>
                    <w:rPr>
                      <w:rFonts w:ascii="Times New Roman" w:hAnsi="Times New Roman"/>
                      <w:sz w:val="21"/>
                      <w:szCs w:val="21"/>
                    </w:rPr>
                  </w:pPr>
                  <w:r>
                    <w:rPr>
                      <w:rFonts w:ascii="Times New Roman" w:hAnsi="Times New Roman"/>
                      <w:sz w:val="21"/>
                      <w:szCs w:val="21"/>
                    </w:rPr>
                    <w:t>位于车间内部，约200平方米</w:t>
                  </w:r>
                </w:p>
              </w:tc>
              <w:tc>
                <w:tcPr>
                  <w:tcW w:w="1328" w:type="pct"/>
                  <w:tcBorders>
                    <w:top w:val="single" w:color="auto" w:sz="4" w:space="0"/>
                    <w:left w:val="single" w:color="auto" w:sz="4" w:space="0"/>
                    <w:right w:val="nil"/>
                  </w:tcBorders>
                  <w:vAlign w:val="center"/>
                </w:tcPr>
                <w:p>
                  <w:pPr>
                    <w:pStyle w:val="50"/>
                    <w:snapToGrid w:val="0"/>
                    <w:spacing w:before="6"/>
                    <w:ind w:left="133" w:right="120"/>
                    <w:jc w:val="center"/>
                    <w:rPr>
                      <w:rFonts w:ascii="Times New Roman" w:hAnsi="Times New Roman"/>
                      <w:sz w:val="21"/>
                      <w:szCs w:val="21"/>
                    </w:rPr>
                  </w:pPr>
                  <w:r>
                    <w:rPr>
                      <w:rFonts w:ascii="Times New Roman" w:hAnsi="Times New Roman"/>
                      <w:sz w:val="21"/>
                      <w:szCs w:val="21"/>
                    </w:rPr>
                    <w:t>本项目不新增原料仓库和成品仓库</w:t>
                  </w:r>
                </w:p>
              </w:tc>
              <w:tc>
                <w:tcPr>
                  <w:tcW w:w="768" w:type="pct"/>
                  <w:tcBorders>
                    <w:top w:val="single" w:color="auto" w:sz="4" w:space="0"/>
                    <w:left w:val="single" w:color="auto" w:sz="4" w:space="0"/>
                    <w:right w:val="nil"/>
                  </w:tcBorders>
                  <w:vAlign w:val="center"/>
                </w:tcPr>
                <w:p>
                  <w:pPr>
                    <w:adjustRightInd w:val="0"/>
                    <w:snapToGrid w:val="0"/>
                    <w:jc w:val="center"/>
                  </w:pPr>
                  <w: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308" w:type="pct"/>
                  <w:vMerge w:val="continue"/>
                  <w:tcBorders>
                    <w:left w:val="nil"/>
                    <w:bottom w:val="single" w:color="auto" w:sz="12" w:space="0"/>
                    <w:right w:val="single" w:color="auto" w:sz="4" w:space="0"/>
                  </w:tcBorders>
                  <w:vAlign w:val="center"/>
                </w:tcPr>
                <w:p>
                  <w:pPr>
                    <w:widowControl/>
                    <w:adjustRightInd w:val="0"/>
                    <w:snapToGrid w:val="0"/>
                    <w:jc w:val="left"/>
                    <w:rPr>
                      <w:szCs w:val="21"/>
                    </w:rPr>
                  </w:pPr>
                </w:p>
              </w:tc>
              <w:tc>
                <w:tcPr>
                  <w:tcW w:w="684" w:type="pct"/>
                  <w:tcBorders>
                    <w:top w:val="single" w:color="auto" w:sz="2" w:space="0"/>
                    <w:left w:val="single" w:color="auto" w:sz="4" w:space="0"/>
                    <w:bottom w:val="single" w:color="auto" w:sz="12" w:space="0"/>
                    <w:right w:val="single" w:color="auto" w:sz="4" w:space="0"/>
                  </w:tcBorders>
                  <w:vAlign w:val="center"/>
                </w:tcPr>
                <w:p>
                  <w:pPr>
                    <w:pStyle w:val="50"/>
                    <w:snapToGrid w:val="0"/>
                    <w:spacing w:before="6"/>
                    <w:ind w:left="133" w:right="120"/>
                    <w:jc w:val="center"/>
                    <w:rPr>
                      <w:rFonts w:ascii="Times New Roman" w:hAnsi="Times New Roman"/>
                      <w:sz w:val="21"/>
                      <w:szCs w:val="21"/>
                    </w:rPr>
                  </w:pPr>
                  <w:r>
                    <w:rPr>
                      <w:rFonts w:ascii="Times New Roman" w:hAnsi="Times New Roman"/>
                      <w:sz w:val="21"/>
                      <w:szCs w:val="21"/>
                    </w:rPr>
                    <w:t>运输</w:t>
                  </w:r>
                </w:p>
              </w:tc>
              <w:tc>
                <w:tcPr>
                  <w:tcW w:w="1910" w:type="pct"/>
                  <w:tcBorders>
                    <w:top w:val="single" w:color="auto" w:sz="4" w:space="0"/>
                    <w:left w:val="single" w:color="auto" w:sz="4" w:space="0"/>
                    <w:bottom w:val="single" w:color="auto" w:sz="12" w:space="0"/>
                    <w:right w:val="single" w:color="auto" w:sz="4" w:space="0"/>
                  </w:tcBorders>
                  <w:vAlign w:val="center"/>
                </w:tcPr>
                <w:p>
                  <w:pPr>
                    <w:pStyle w:val="50"/>
                    <w:snapToGrid w:val="0"/>
                    <w:spacing w:before="6"/>
                    <w:ind w:left="133" w:right="120"/>
                    <w:jc w:val="center"/>
                    <w:rPr>
                      <w:rFonts w:ascii="Times New Roman" w:hAnsi="Times New Roman"/>
                      <w:sz w:val="21"/>
                      <w:szCs w:val="21"/>
                    </w:rPr>
                  </w:pPr>
                  <w:r>
                    <w:rPr>
                      <w:rFonts w:ascii="Times New Roman" w:hAnsi="Times New Roman"/>
                      <w:sz w:val="21"/>
                      <w:szCs w:val="21"/>
                    </w:rPr>
                    <w:t>汽车运输</w:t>
                  </w:r>
                </w:p>
              </w:tc>
              <w:tc>
                <w:tcPr>
                  <w:tcW w:w="1328" w:type="pct"/>
                  <w:tcBorders>
                    <w:top w:val="single" w:color="auto" w:sz="4" w:space="0"/>
                    <w:left w:val="single" w:color="auto" w:sz="4" w:space="0"/>
                    <w:bottom w:val="single" w:color="auto" w:sz="12" w:space="0"/>
                    <w:right w:val="nil"/>
                  </w:tcBorders>
                  <w:vAlign w:val="center"/>
                </w:tcPr>
                <w:p>
                  <w:pPr>
                    <w:pStyle w:val="50"/>
                    <w:snapToGrid w:val="0"/>
                    <w:spacing w:before="6"/>
                    <w:ind w:left="133" w:right="120"/>
                    <w:jc w:val="center"/>
                    <w:rPr>
                      <w:rFonts w:ascii="Times New Roman" w:hAnsi="Times New Roman"/>
                      <w:sz w:val="21"/>
                      <w:szCs w:val="21"/>
                    </w:rPr>
                  </w:pPr>
                  <w:r>
                    <w:rPr>
                      <w:rFonts w:ascii="Times New Roman" w:hAnsi="Times New Roman"/>
                      <w:sz w:val="21"/>
                      <w:szCs w:val="21"/>
                    </w:rPr>
                    <w:t>本项目天然气通过管道运输</w:t>
                  </w:r>
                </w:p>
              </w:tc>
              <w:tc>
                <w:tcPr>
                  <w:tcW w:w="768" w:type="pct"/>
                  <w:tcBorders>
                    <w:top w:val="single" w:color="auto" w:sz="4" w:space="0"/>
                    <w:left w:val="single" w:color="auto" w:sz="4" w:space="0"/>
                    <w:bottom w:val="single" w:color="auto" w:sz="12" w:space="0"/>
                    <w:right w:val="nil"/>
                  </w:tcBorders>
                  <w:vAlign w:val="center"/>
                </w:tcPr>
                <w:p>
                  <w:pPr>
                    <w:adjustRightInd w:val="0"/>
                    <w:snapToGrid w:val="0"/>
                    <w:jc w:val="center"/>
                  </w:pPr>
                  <w:r>
                    <w:t>/</w:t>
                  </w:r>
                </w:p>
              </w:tc>
            </w:tr>
          </w:tbl>
          <w:p>
            <w:pPr>
              <w:adjustRightInd w:val="0"/>
              <w:snapToGrid w:val="0"/>
              <w:spacing w:line="360" w:lineRule="auto"/>
              <w:rPr>
                <w:b/>
                <w:sz w:val="24"/>
              </w:rPr>
            </w:pPr>
            <w:r>
              <w:rPr>
                <w:b/>
                <w:sz w:val="24"/>
              </w:rPr>
              <w:t>5、生产规模及产品方案</w:t>
            </w:r>
          </w:p>
          <w:p>
            <w:pPr>
              <w:adjustRightInd w:val="0"/>
              <w:snapToGrid w:val="0"/>
              <w:spacing w:line="300" w:lineRule="auto"/>
              <w:ind w:firstLine="480" w:firstLineChars="200"/>
              <w:rPr>
                <w:sz w:val="24"/>
              </w:rPr>
            </w:pPr>
            <w:r>
              <w:rPr>
                <w:sz w:val="24"/>
              </w:rPr>
              <w:t>全厂产品方案见下表：</w:t>
            </w:r>
          </w:p>
          <w:p>
            <w:pPr>
              <w:adjustRightInd w:val="0"/>
              <w:snapToGrid w:val="0"/>
              <w:jc w:val="center"/>
              <w:rPr>
                <w:b/>
                <w:bCs/>
                <w:sz w:val="24"/>
              </w:rPr>
            </w:pPr>
            <w:r>
              <w:rPr>
                <w:b/>
                <w:bCs/>
                <w:sz w:val="24"/>
              </w:rPr>
              <w:t>表2-3  全厂产品方案一览表</w:t>
            </w:r>
          </w:p>
          <w:tbl>
            <w:tblPr>
              <w:tblStyle w:val="2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08"/>
              <w:gridCol w:w="1156"/>
              <w:gridCol w:w="1266"/>
              <w:gridCol w:w="1434"/>
              <w:gridCol w:w="1442"/>
              <w:gridCol w:w="1662"/>
              <w:gridCol w:w="85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2" w:type="pct"/>
                  <w:vMerge w:val="restart"/>
                  <w:vAlign w:val="center"/>
                </w:tcPr>
                <w:p>
                  <w:pPr>
                    <w:pStyle w:val="47"/>
                    <w:adjustRightInd w:val="0"/>
                    <w:rPr>
                      <w:rFonts w:ascii="Times New Roman" w:hAnsi="Times New Roman" w:eastAsia="宋体" w:cs="Times New Roman"/>
                      <w:b/>
                      <w:bCs/>
                      <w:sz w:val="21"/>
                      <w:szCs w:val="21"/>
                    </w:rPr>
                  </w:pPr>
                  <w:r>
                    <w:rPr>
                      <w:rFonts w:ascii="Times New Roman" w:hAnsi="Times New Roman" w:eastAsia="宋体" w:cs="Times New Roman"/>
                      <w:b/>
                      <w:bCs/>
                      <w:sz w:val="21"/>
                      <w:szCs w:val="21"/>
                    </w:rPr>
                    <w:t>序号</w:t>
                  </w:r>
                </w:p>
              </w:tc>
              <w:tc>
                <w:tcPr>
                  <w:tcW w:w="704" w:type="pct"/>
                  <w:vMerge w:val="restart"/>
                  <w:vAlign w:val="center"/>
                </w:tcPr>
                <w:p>
                  <w:pPr>
                    <w:widowControl/>
                    <w:adjustRightInd w:val="0"/>
                    <w:snapToGrid w:val="0"/>
                    <w:jc w:val="center"/>
                    <w:rPr>
                      <w:b/>
                      <w:bCs/>
                      <w:szCs w:val="21"/>
                    </w:rPr>
                  </w:pPr>
                  <w:r>
                    <w:rPr>
                      <w:b/>
                      <w:bCs/>
                      <w:szCs w:val="21"/>
                    </w:rPr>
                    <w:t>环保手续</w:t>
                  </w:r>
                </w:p>
              </w:tc>
              <w:tc>
                <w:tcPr>
                  <w:tcW w:w="771" w:type="pct"/>
                  <w:vMerge w:val="restart"/>
                  <w:vAlign w:val="center"/>
                </w:tcPr>
                <w:p>
                  <w:pPr>
                    <w:pStyle w:val="47"/>
                    <w:adjustRightInd w:val="0"/>
                    <w:rPr>
                      <w:rFonts w:ascii="Times New Roman" w:hAnsi="Times New Roman" w:eastAsia="宋体" w:cs="Times New Roman"/>
                      <w:b/>
                      <w:bCs/>
                      <w:sz w:val="21"/>
                      <w:szCs w:val="21"/>
                    </w:rPr>
                  </w:pPr>
                  <w:r>
                    <w:rPr>
                      <w:rFonts w:ascii="Times New Roman" w:hAnsi="Times New Roman" w:eastAsia="宋体" w:cs="Times New Roman"/>
                      <w:b/>
                      <w:bCs/>
                      <w:sz w:val="21"/>
                      <w:szCs w:val="21"/>
                    </w:rPr>
                    <w:t>产品名称</w:t>
                  </w:r>
                </w:p>
              </w:tc>
              <w:tc>
                <w:tcPr>
                  <w:tcW w:w="2763" w:type="pct"/>
                  <w:gridSpan w:val="3"/>
                  <w:vAlign w:val="center"/>
                </w:tcPr>
                <w:p>
                  <w:pPr>
                    <w:pStyle w:val="47"/>
                    <w:adjustRightInd w:val="0"/>
                    <w:rPr>
                      <w:rFonts w:ascii="Times New Roman" w:hAnsi="Times New Roman" w:eastAsia="宋体" w:cs="Times New Roman"/>
                      <w:b/>
                      <w:bCs/>
                      <w:sz w:val="21"/>
                      <w:szCs w:val="21"/>
                    </w:rPr>
                  </w:pPr>
                  <w:r>
                    <w:rPr>
                      <w:rFonts w:ascii="Times New Roman" w:hAnsi="Times New Roman" w:eastAsia="宋体" w:cs="Times New Roman"/>
                      <w:b/>
                      <w:bCs/>
                      <w:sz w:val="21"/>
                      <w:szCs w:val="21"/>
                    </w:rPr>
                    <w:t>生产能力（单位/年）</w:t>
                  </w:r>
                </w:p>
              </w:tc>
              <w:tc>
                <w:tcPr>
                  <w:tcW w:w="519" w:type="pct"/>
                  <w:vMerge w:val="restart"/>
                  <w:vAlign w:val="center"/>
                </w:tcPr>
                <w:p>
                  <w:pPr>
                    <w:pStyle w:val="47"/>
                    <w:adjustRightInd w:val="0"/>
                    <w:rPr>
                      <w:rFonts w:ascii="Times New Roman" w:hAnsi="Times New Roman" w:eastAsia="宋体" w:cs="Times New Roman"/>
                      <w:b/>
                      <w:bCs/>
                      <w:sz w:val="21"/>
                      <w:szCs w:val="21"/>
                    </w:rPr>
                  </w:pPr>
                  <w:r>
                    <w:rPr>
                      <w:rFonts w:ascii="Times New Roman" w:hAnsi="Times New Roman" w:eastAsia="宋体" w:cs="Times New Roman"/>
                      <w:b/>
                      <w:bCs/>
                      <w:sz w:val="21"/>
                      <w:szCs w:val="21"/>
                    </w:rPr>
                    <w:t>年运行时数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2" w:type="pct"/>
                  <w:vMerge w:val="continue"/>
                  <w:vAlign w:val="center"/>
                </w:tcPr>
                <w:p>
                  <w:pPr>
                    <w:pStyle w:val="47"/>
                    <w:adjustRightInd w:val="0"/>
                    <w:rPr>
                      <w:rFonts w:ascii="Times New Roman" w:hAnsi="Times New Roman" w:eastAsia="宋体" w:cs="Times New Roman"/>
                      <w:b/>
                      <w:bCs/>
                      <w:sz w:val="21"/>
                      <w:szCs w:val="21"/>
                    </w:rPr>
                  </w:pPr>
                </w:p>
              </w:tc>
              <w:tc>
                <w:tcPr>
                  <w:tcW w:w="704" w:type="pct"/>
                  <w:vMerge w:val="continue"/>
                  <w:vAlign w:val="center"/>
                </w:tcPr>
                <w:p>
                  <w:pPr>
                    <w:widowControl/>
                    <w:adjustRightInd w:val="0"/>
                    <w:snapToGrid w:val="0"/>
                    <w:jc w:val="center"/>
                    <w:rPr>
                      <w:b/>
                      <w:bCs/>
                      <w:szCs w:val="21"/>
                    </w:rPr>
                  </w:pPr>
                </w:p>
              </w:tc>
              <w:tc>
                <w:tcPr>
                  <w:tcW w:w="771" w:type="pct"/>
                  <w:vMerge w:val="continue"/>
                  <w:vAlign w:val="center"/>
                </w:tcPr>
                <w:p>
                  <w:pPr>
                    <w:pStyle w:val="47"/>
                    <w:adjustRightInd w:val="0"/>
                    <w:rPr>
                      <w:rFonts w:ascii="Times New Roman" w:hAnsi="Times New Roman" w:eastAsia="宋体" w:cs="Times New Roman"/>
                      <w:b/>
                      <w:bCs/>
                      <w:sz w:val="21"/>
                      <w:szCs w:val="21"/>
                    </w:rPr>
                  </w:pPr>
                </w:p>
              </w:tc>
              <w:tc>
                <w:tcPr>
                  <w:tcW w:w="873" w:type="pct"/>
                  <w:vAlign w:val="center"/>
                </w:tcPr>
                <w:p>
                  <w:pPr>
                    <w:pStyle w:val="47"/>
                    <w:adjustRightInd w:val="0"/>
                    <w:rPr>
                      <w:rFonts w:ascii="Times New Roman" w:hAnsi="Times New Roman" w:eastAsia="宋体" w:cs="Times New Roman"/>
                      <w:b/>
                      <w:bCs/>
                      <w:sz w:val="21"/>
                      <w:szCs w:val="21"/>
                    </w:rPr>
                  </w:pPr>
                  <w:r>
                    <w:rPr>
                      <w:rFonts w:ascii="Times New Roman" w:hAnsi="Times New Roman" w:eastAsia="宋体" w:cs="Times New Roman"/>
                      <w:b/>
                      <w:bCs/>
                      <w:sz w:val="21"/>
                      <w:szCs w:val="21"/>
                    </w:rPr>
                    <w:t>自查报告产能</w:t>
                  </w:r>
                </w:p>
              </w:tc>
              <w:tc>
                <w:tcPr>
                  <w:tcW w:w="878" w:type="pct"/>
                  <w:vAlign w:val="center"/>
                </w:tcPr>
                <w:p>
                  <w:pPr>
                    <w:pStyle w:val="47"/>
                    <w:adjustRightInd w:val="0"/>
                    <w:rPr>
                      <w:rFonts w:ascii="Times New Roman" w:hAnsi="Times New Roman" w:eastAsia="宋体" w:cs="Times New Roman"/>
                      <w:b/>
                      <w:bCs/>
                      <w:sz w:val="21"/>
                      <w:szCs w:val="21"/>
                    </w:rPr>
                  </w:pPr>
                  <w:r>
                    <w:rPr>
                      <w:rFonts w:ascii="Times New Roman" w:hAnsi="Times New Roman" w:eastAsia="宋体" w:cs="Times New Roman"/>
                      <w:b/>
                      <w:bCs/>
                      <w:sz w:val="21"/>
                      <w:szCs w:val="21"/>
                    </w:rPr>
                    <w:t>实际产能</w:t>
                  </w:r>
                </w:p>
              </w:tc>
              <w:tc>
                <w:tcPr>
                  <w:tcW w:w="1011" w:type="pct"/>
                  <w:vAlign w:val="center"/>
                </w:tcPr>
                <w:p>
                  <w:pPr>
                    <w:pStyle w:val="47"/>
                    <w:adjustRightInd w:val="0"/>
                    <w:rPr>
                      <w:rFonts w:ascii="Times New Roman" w:hAnsi="Times New Roman" w:eastAsia="宋体" w:cs="Times New Roman"/>
                      <w:b/>
                      <w:bCs/>
                      <w:sz w:val="21"/>
                      <w:szCs w:val="21"/>
                    </w:rPr>
                  </w:pPr>
                  <w:r>
                    <w:rPr>
                      <w:rFonts w:ascii="Times New Roman" w:hAnsi="Times New Roman" w:eastAsia="宋体" w:cs="Times New Roman"/>
                      <w:b/>
                      <w:bCs/>
                      <w:sz w:val="21"/>
                      <w:szCs w:val="21"/>
                    </w:rPr>
                    <w:t>变化量</w:t>
                  </w:r>
                </w:p>
              </w:tc>
              <w:tc>
                <w:tcPr>
                  <w:tcW w:w="519" w:type="pct"/>
                  <w:vMerge w:val="continue"/>
                  <w:vAlign w:val="center"/>
                </w:tcPr>
                <w:p>
                  <w:pPr>
                    <w:pStyle w:val="47"/>
                    <w:adjustRightInd w:val="0"/>
                    <w:rPr>
                      <w:rFonts w:ascii="Times New Roman" w:hAnsi="Times New Roman" w:eastAsia="宋体" w:cs="Times New Roman"/>
                      <w:b/>
                      <w:bCs/>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2" w:type="pct"/>
                  <w:vMerge w:val="restart"/>
                  <w:vAlign w:val="center"/>
                </w:tcPr>
                <w:p>
                  <w:pPr>
                    <w:pStyle w:val="47"/>
                    <w:adjustRightInd w:val="0"/>
                    <w:rPr>
                      <w:rFonts w:ascii="Times New Roman" w:hAnsi="Times New Roman" w:eastAsia="宋体" w:cs="Times New Roman"/>
                      <w:sz w:val="21"/>
                      <w:szCs w:val="21"/>
                    </w:rPr>
                  </w:pPr>
                  <w:r>
                    <w:rPr>
                      <w:rFonts w:ascii="Times New Roman" w:hAnsi="Times New Roman" w:eastAsia="宋体" w:cs="Times New Roman"/>
                      <w:sz w:val="21"/>
                      <w:szCs w:val="21"/>
                    </w:rPr>
                    <w:t>1</w:t>
                  </w:r>
                </w:p>
              </w:tc>
              <w:tc>
                <w:tcPr>
                  <w:tcW w:w="704" w:type="pct"/>
                  <w:vMerge w:val="restart"/>
                  <w:vAlign w:val="center"/>
                </w:tcPr>
                <w:p>
                  <w:pPr>
                    <w:adjustRightInd w:val="0"/>
                    <w:snapToGrid w:val="0"/>
                    <w:jc w:val="center"/>
                    <w:rPr>
                      <w:szCs w:val="21"/>
                    </w:rPr>
                  </w:pPr>
                  <w:r>
                    <w:rPr>
                      <w:szCs w:val="21"/>
                    </w:rPr>
                    <w:t>自查报告</w:t>
                  </w:r>
                </w:p>
              </w:tc>
              <w:tc>
                <w:tcPr>
                  <w:tcW w:w="771" w:type="pct"/>
                  <w:vAlign w:val="center"/>
                </w:tcPr>
                <w:p>
                  <w:pPr>
                    <w:adjustRightInd w:val="0"/>
                    <w:snapToGrid w:val="0"/>
                    <w:jc w:val="center"/>
                    <w:rPr>
                      <w:szCs w:val="21"/>
                    </w:rPr>
                  </w:pPr>
                  <w:r>
                    <w:rPr>
                      <w:szCs w:val="21"/>
                    </w:rPr>
                    <w:t>印花布</w:t>
                  </w:r>
                </w:p>
              </w:tc>
              <w:tc>
                <w:tcPr>
                  <w:tcW w:w="873" w:type="pct"/>
                  <w:vAlign w:val="center"/>
                </w:tcPr>
                <w:p>
                  <w:pPr>
                    <w:adjustRightInd w:val="0"/>
                    <w:snapToGrid w:val="0"/>
                    <w:jc w:val="center"/>
                    <w:rPr>
                      <w:szCs w:val="21"/>
                    </w:rPr>
                  </w:pPr>
                  <w:r>
                    <w:rPr>
                      <w:szCs w:val="21"/>
                    </w:rPr>
                    <w:t>500万米/年</w:t>
                  </w:r>
                </w:p>
              </w:tc>
              <w:tc>
                <w:tcPr>
                  <w:tcW w:w="878" w:type="pct"/>
                  <w:vAlign w:val="center"/>
                </w:tcPr>
                <w:p>
                  <w:pPr>
                    <w:adjustRightInd w:val="0"/>
                    <w:snapToGrid w:val="0"/>
                    <w:jc w:val="center"/>
                    <w:rPr>
                      <w:szCs w:val="21"/>
                    </w:rPr>
                  </w:pPr>
                  <w:r>
                    <w:rPr>
                      <w:szCs w:val="21"/>
                    </w:rPr>
                    <w:t>500万米/年</w:t>
                  </w:r>
                </w:p>
              </w:tc>
              <w:tc>
                <w:tcPr>
                  <w:tcW w:w="1011" w:type="pct"/>
                  <w:tcBorders>
                    <w:bottom w:val="single" w:color="auto" w:sz="2" w:space="0"/>
                  </w:tcBorders>
                  <w:vAlign w:val="center"/>
                </w:tcPr>
                <w:p>
                  <w:pPr>
                    <w:adjustRightInd w:val="0"/>
                    <w:snapToGrid w:val="0"/>
                    <w:jc w:val="center"/>
                    <w:rPr>
                      <w:szCs w:val="21"/>
                    </w:rPr>
                  </w:pPr>
                  <w:r>
                    <w:rPr>
                      <w:szCs w:val="21"/>
                    </w:rPr>
                    <w:t>0</w:t>
                  </w:r>
                </w:p>
              </w:tc>
              <w:tc>
                <w:tcPr>
                  <w:tcW w:w="519" w:type="pct"/>
                  <w:vMerge w:val="restart"/>
                  <w:vAlign w:val="center"/>
                </w:tcPr>
                <w:p>
                  <w:pPr>
                    <w:pStyle w:val="47"/>
                    <w:adjustRightInd w:val="0"/>
                    <w:rPr>
                      <w:rFonts w:ascii="Times New Roman" w:hAnsi="Times New Roman" w:eastAsia="宋体" w:cs="Times New Roman"/>
                      <w:sz w:val="21"/>
                      <w:szCs w:val="21"/>
                    </w:rPr>
                  </w:pPr>
                  <w:r>
                    <w:rPr>
                      <w:rFonts w:ascii="Times New Roman" w:hAnsi="Times New Roman" w:eastAsia="宋体" w:cs="Times New Roman"/>
                      <w:w w:val="100"/>
                      <w:kern w:val="2"/>
                      <w:sz w:val="21"/>
                      <w:szCs w:val="21"/>
                    </w:rPr>
                    <w:t>2400h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2" w:type="pct"/>
                  <w:vMerge w:val="continue"/>
                  <w:vAlign w:val="center"/>
                </w:tcPr>
                <w:p>
                  <w:pPr>
                    <w:pStyle w:val="47"/>
                    <w:adjustRightInd w:val="0"/>
                    <w:rPr>
                      <w:rFonts w:ascii="Times New Roman" w:hAnsi="Times New Roman" w:eastAsia="宋体" w:cs="Times New Roman"/>
                      <w:sz w:val="21"/>
                      <w:szCs w:val="21"/>
                    </w:rPr>
                  </w:pPr>
                </w:p>
              </w:tc>
              <w:tc>
                <w:tcPr>
                  <w:tcW w:w="704" w:type="pct"/>
                  <w:vMerge w:val="continue"/>
                  <w:vAlign w:val="center"/>
                </w:tcPr>
                <w:p>
                  <w:pPr>
                    <w:adjustRightInd w:val="0"/>
                    <w:snapToGrid w:val="0"/>
                    <w:jc w:val="center"/>
                    <w:rPr>
                      <w:szCs w:val="21"/>
                    </w:rPr>
                  </w:pPr>
                </w:p>
              </w:tc>
              <w:tc>
                <w:tcPr>
                  <w:tcW w:w="771" w:type="pct"/>
                  <w:vAlign w:val="center"/>
                </w:tcPr>
                <w:p>
                  <w:pPr>
                    <w:adjustRightInd w:val="0"/>
                    <w:snapToGrid w:val="0"/>
                    <w:jc w:val="center"/>
                    <w:rPr>
                      <w:szCs w:val="21"/>
                    </w:rPr>
                  </w:pPr>
                  <w:r>
                    <w:rPr>
                      <w:szCs w:val="21"/>
                    </w:rPr>
                    <w:t>雨衣膜</w:t>
                  </w:r>
                </w:p>
              </w:tc>
              <w:tc>
                <w:tcPr>
                  <w:tcW w:w="873" w:type="pct"/>
                  <w:vAlign w:val="center"/>
                </w:tcPr>
                <w:p>
                  <w:pPr>
                    <w:adjustRightInd w:val="0"/>
                    <w:snapToGrid w:val="0"/>
                    <w:jc w:val="center"/>
                    <w:rPr>
                      <w:szCs w:val="21"/>
                    </w:rPr>
                  </w:pPr>
                  <w:r>
                    <w:rPr>
                      <w:szCs w:val="21"/>
                    </w:rPr>
                    <w:t>3000吨/年</w:t>
                  </w:r>
                </w:p>
              </w:tc>
              <w:tc>
                <w:tcPr>
                  <w:tcW w:w="878" w:type="pct"/>
                  <w:vAlign w:val="center"/>
                </w:tcPr>
                <w:p>
                  <w:pPr>
                    <w:adjustRightInd w:val="0"/>
                    <w:snapToGrid w:val="0"/>
                    <w:jc w:val="center"/>
                    <w:rPr>
                      <w:szCs w:val="21"/>
                    </w:rPr>
                  </w:pPr>
                  <w:r>
                    <w:rPr>
                      <w:szCs w:val="21"/>
                    </w:rPr>
                    <w:t>2250吨/年</w:t>
                  </w:r>
                </w:p>
              </w:tc>
              <w:tc>
                <w:tcPr>
                  <w:tcW w:w="1011" w:type="pct"/>
                  <w:tcBorders>
                    <w:top w:val="single" w:color="auto" w:sz="2" w:space="0"/>
                    <w:bottom w:val="single" w:color="auto" w:sz="2" w:space="0"/>
                  </w:tcBorders>
                  <w:vAlign w:val="center"/>
                </w:tcPr>
                <w:p>
                  <w:pPr>
                    <w:adjustRightInd w:val="0"/>
                    <w:snapToGrid w:val="0"/>
                    <w:jc w:val="center"/>
                    <w:rPr>
                      <w:szCs w:val="21"/>
                    </w:rPr>
                  </w:pPr>
                  <w:r>
                    <w:rPr>
                      <w:szCs w:val="21"/>
                    </w:rPr>
                    <w:t>-750吨/年</w:t>
                  </w:r>
                </w:p>
              </w:tc>
              <w:tc>
                <w:tcPr>
                  <w:tcW w:w="519" w:type="pct"/>
                  <w:vMerge w:val="continue"/>
                  <w:vAlign w:val="center"/>
                </w:tcPr>
                <w:p>
                  <w:pPr>
                    <w:pStyle w:val="47"/>
                    <w:adjustRightInd w:val="0"/>
                    <w:rPr>
                      <w:rFonts w:ascii="Times New Roman" w:hAnsi="Times New Roman" w:eastAsia="宋体"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2" w:type="pct"/>
                  <w:vMerge w:val="continue"/>
                  <w:vAlign w:val="center"/>
                </w:tcPr>
                <w:p>
                  <w:pPr>
                    <w:pStyle w:val="47"/>
                    <w:adjustRightInd w:val="0"/>
                    <w:rPr>
                      <w:rFonts w:ascii="Times New Roman" w:hAnsi="Times New Roman" w:eastAsia="宋体" w:cs="Times New Roman"/>
                      <w:sz w:val="21"/>
                      <w:szCs w:val="21"/>
                    </w:rPr>
                  </w:pPr>
                </w:p>
              </w:tc>
              <w:tc>
                <w:tcPr>
                  <w:tcW w:w="704" w:type="pct"/>
                  <w:vMerge w:val="continue"/>
                  <w:vAlign w:val="center"/>
                </w:tcPr>
                <w:p>
                  <w:pPr>
                    <w:adjustRightInd w:val="0"/>
                    <w:snapToGrid w:val="0"/>
                    <w:jc w:val="center"/>
                    <w:rPr>
                      <w:szCs w:val="21"/>
                    </w:rPr>
                  </w:pPr>
                </w:p>
              </w:tc>
              <w:tc>
                <w:tcPr>
                  <w:tcW w:w="771" w:type="pct"/>
                  <w:vAlign w:val="center"/>
                </w:tcPr>
                <w:p>
                  <w:pPr>
                    <w:adjustRightInd w:val="0"/>
                    <w:snapToGrid w:val="0"/>
                    <w:jc w:val="center"/>
                    <w:rPr>
                      <w:szCs w:val="21"/>
                    </w:rPr>
                  </w:pPr>
                  <w:r>
                    <w:rPr>
                      <w:szCs w:val="21"/>
                    </w:rPr>
                    <w:t>箱包布</w:t>
                  </w:r>
                </w:p>
              </w:tc>
              <w:tc>
                <w:tcPr>
                  <w:tcW w:w="873" w:type="pct"/>
                  <w:vAlign w:val="center"/>
                </w:tcPr>
                <w:p>
                  <w:pPr>
                    <w:adjustRightInd w:val="0"/>
                    <w:snapToGrid w:val="0"/>
                    <w:jc w:val="center"/>
                    <w:rPr>
                      <w:szCs w:val="21"/>
                    </w:rPr>
                  </w:pPr>
                  <w:r>
                    <w:rPr>
                      <w:szCs w:val="21"/>
                    </w:rPr>
                    <w:t>1000万米/年</w:t>
                  </w:r>
                </w:p>
              </w:tc>
              <w:tc>
                <w:tcPr>
                  <w:tcW w:w="878" w:type="pct"/>
                  <w:vAlign w:val="center"/>
                </w:tcPr>
                <w:p>
                  <w:pPr>
                    <w:adjustRightInd w:val="0"/>
                    <w:snapToGrid w:val="0"/>
                    <w:jc w:val="center"/>
                    <w:rPr>
                      <w:szCs w:val="21"/>
                    </w:rPr>
                  </w:pPr>
                  <w:r>
                    <w:rPr>
                      <w:szCs w:val="21"/>
                    </w:rPr>
                    <w:t>0</w:t>
                  </w:r>
                </w:p>
              </w:tc>
              <w:tc>
                <w:tcPr>
                  <w:tcW w:w="1011" w:type="pct"/>
                  <w:tcBorders>
                    <w:top w:val="single" w:color="auto" w:sz="2" w:space="0"/>
                    <w:bottom w:val="single" w:color="auto" w:sz="2" w:space="0"/>
                  </w:tcBorders>
                  <w:vAlign w:val="center"/>
                </w:tcPr>
                <w:p>
                  <w:pPr>
                    <w:adjustRightInd w:val="0"/>
                    <w:snapToGrid w:val="0"/>
                    <w:jc w:val="center"/>
                    <w:rPr>
                      <w:szCs w:val="21"/>
                    </w:rPr>
                  </w:pPr>
                  <w:r>
                    <w:rPr>
                      <w:szCs w:val="21"/>
                    </w:rPr>
                    <w:t>-1000万米/年</w:t>
                  </w:r>
                </w:p>
              </w:tc>
              <w:tc>
                <w:tcPr>
                  <w:tcW w:w="519" w:type="pct"/>
                  <w:vMerge w:val="continue"/>
                  <w:vAlign w:val="center"/>
                </w:tcPr>
                <w:p>
                  <w:pPr>
                    <w:pStyle w:val="47"/>
                    <w:adjustRightInd w:val="0"/>
                    <w:rPr>
                      <w:rFonts w:ascii="Times New Roman" w:hAnsi="Times New Roman" w:eastAsia="宋体"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2" w:type="pct"/>
                  <w:vMerge w:val="continue"/>
                  <w:vAlign w:val="center"/>
                </w:tcPr>
                <w:p>
                  <w:pPr>
                    <w:pStyle w:val="47"/>
                    <w:adjustRightInd w:val="0"/>
                    <w:rPr>
                      <w:rFonts w:ascii="Times New Roman" w:hAnsi="Times New Roman" w:eastAsia="宋体" w:cs="Times New Roman"/>
                      <w:sz w:val="21"/>
                      <w:szCs w:val="21"/>
                    </w:rPr>
                  </w:pPr>
                </w:p>
              </w:tc>
              <w:tc>
                <w:tcPr>
                  <w:tcW w:w="704" w:type="pct"/>
                  <w:vMerge w:val="continue"/>
                  <w:vAlign w:val="center"/>
                </w:tcPr>
                <w:p>
                  <w:pPr>
                    <w:adjustRightInd w:val="0"/>
                    <w:snapToGrid w:val="0"/>
                    <w:jc w:val="center"/>
                    <w:rPr>
                      <w:szCs w:val="21"/>
                    </w:rPr>
                  </w:pPr>
                </w:p>
              </w:tc>
              <w:tc>
                <w:tcPr>
                  <w:tcW w:w="771" w:type="pct"/>
                  <w:vAlign w:val="center"/>
                </w:tcPr>
                <w:p>
                  <w:pPr>
                    <w:adjustRightInd w:val="0"/>
                    <w:snapToGrid w:val="0"/>
                    <w:jc w:val="center"/>
                    <w:rPr>
                      <w:szCs w:val="21"/>
                    </w:rPr>
                  </w:pPr>
                  <w:r>
                    <w:rPr>
                      <w:szCs w:val="21"/>
                    </w:rPr>
                    <w:t>贴膜箱包布</w:t>
                  </w:r>
                </w:p>
              </w:tc>
              <w:tc>
                <w:tcPr>
                  <w:tcW w:w="873" w:type="pct"/>
                  <w:vAlign w:val="center"/>
                </w:tcPr>
                <w:p>
                  <w:pPr>
                    <w:adjustRightInd w:val="0"/>
                    <w:snapToGrid w:val="0"/>
                    <w:jc w:val="center"/>
                    <w:rPr>
                      <w:szCs w:val="21"/>
                    </w:rPr>
                  </w:pPr>
                  <w:r>
                    <w:rPr>
                      <w:szCs w:val="21"/>
                    </w:rPr>
                    <w:t>4400万米/年</w:t>
                  </w:r>
                </w:p>
              </w:tc>
              <w:tc>
                <w:tcPr>
                  <w:tcW w:w="878" w:type="pct"/>
                  <w:vAlign w:val="center"/>
                </w:tcPr>
                <w:p>
                  <w:pPr>
                    <w:adjustRightInd w:val="0"/>
                    <w:snapToGrid w:val="0"/>
                    <w:jc w:val="center"/>
                    <w:rPr>
                      <w:szCs w:val="21"/>
                    </w:rPr>
                  </w:pPr>
                  <w:r>
                    <w:rPr>
                      <w:szCs w:val="21"/>
                    </w:rPr>
                    <w:t>4400万米/年</w:t>
                  </w:r>
                </w:p>
              </w:tc>
              <w:tc>
                <w:tcPr>
                  <w:tcW w:w="1011" w:type="pct"/>
                  <w:tcBorders>
                    <w:top w:val="single" w:color="auto" w:sz="2" w:space="0"/>
                    <w:bottom w:val="single" w:color="auto" w:sz="12" w:space="0"/>
                  </w:tcBorders>
                  <w:vAlign w:val="center"/>
                </w:tcPr>
                <w:p>
                  <w:pPr>
                    <w:adjustRightInd w:val="0"/>
                    <w:snapToGrid w:val="0"/>
                    <w:jc w:val="center"/>
                    <w:rPr>
                      <w:szCs w:val="21"/>
                    </w:rPr>
                  </w:pPr>
                  <w:r>
                    <w:rPr>
                      <w:szCs w:val="21"/>
                    </w:rPr>
                    <w:t>0</w:t>
                  </w:r>
                </w:p>
              </w:tc>
              <w:tc>
                <w:tcPr>
                  <w:tcW w:w="519" w:type="pct"/>
                  <w:vMerge w:val="continue"/>
                  <w:tcBorders>
                    <w:bottom w:val="single" w:color="auto" w:sz="12" w:space="0"/>
                  </w:tcBorders>
                  <w:vAlign w:val="center"/>
                </w:tcPr>
                <w:p>
                  <w:pPr>
                    <w:pStyle w:val="47"/>
                    <w:adjustRightInd w:val="0"/>
                    <w:rPr>
                      <w:rFonts w:ascii="Times New Roman" w:hAnsi="Times New Roman" w:eastAsia="宋体" w:cs="Times New Roman"/>
                      <w:sz w:val="21"/>
                      <w:szCs w:val="21"/>
                    </w:rPr>
                  </w:pPr>
                </w:p>
              </w:tc>
            </w:tr>
          </w:tbl>
          <w:p>
            <w:pPr>
              <w:adjustRightInd w:val="0"/>
              <w:snapToGrid w:val="0"/>
              <w:spacing w:beforeLines="20" w:line="360" w:lineRule="auto"/>
              <w:rPr>
                <w:b/>
                <w:sz w:val="24"/>
              </w:rPr>
            </w:pPr>
            <w:r>
              <w:rPr>
                <w:b/>
                <w:sz w:val="24"/>
              </w:rPr>
              <w:t>6、设备清单</w:t>
            </w:r>
          </w:p>
          <w:p>
            <w:pPr>
              <w:adjustRightInd w:val="0"/>
              <w:snapToGrid w:val="0"/>
              <w:spacing w:line="360" w:lineRule="auto"/>
              <w:ind w:firstLine="480" w:firstLineChars="200"/>
              <w:rPr>
                <w:sz w:val="24"/>
              </w:rPr>
            </w:pPr>
            <w:r>
              <w:rPr>
                <w:sz w:val="24"/>
              </w:rPr>
              <w:t>本项目主要设备为1台燃气锅炉，燃气锅炉及其配套设备见下表：</w:t>
            </w:r>
          </w:p>
          <w:p>
            <w:pPr>
              <w:adjustRightInd w:val="0"/>
              <w:snapToGrid w:val="0"/>
              <w:jc w:val="center"/>
              <w:rPr>
                <w:b/>
                <w:bCs/>
                <w:sz w:val="24"/>
              </w:rPr>
            </w:pPr>
            <w:r>
              <w:rPr>
                <w:b/>
                <w:bCs/>
                <w:sz w:val="24"/>
              </w:rPr>
              <w:t>表2-4  主要设施规格、数量状况</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479"/>
              <w:gridCol w:w="1833"/>
              <w:gridCol w:w="2251"/>
              <w:gridCol w:w="999"/>
              <w:gridCol w:w="2664"/>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292" w:type="pct"/>
                  <w:tcBorders>
                    <w:top w:val="single" w:color="auto" w:sz="12" w:space="0"/>
                    <w:left w:val="nil"/>
                    <w:bottom w:val="single" w:color="auto" w:sz="2" w:space="0"/>
                    <w:right w:val="single" w:color="auto" w:sz="4" w:space="0"/>
                  </w:tcBorders>
                  <w:vAlign w:val="center"/>
                </w:tcPr>
                <w:p>
                  <w:pPr>
                    <w:adjustRightInd w:val="0"/>
                    <w:snapToGrid w:val="0"/>
                    <w:jc w:val="center"/>
                    <w:rPr>
                      <w:b/>
                      <w:bCs/>
                      <w:szCs w:val="21"/>
                    </w:rPr>
                  </w:pPr>
                  <w:r>
                    <w:rPr>
                      <w:b/>
                      <w:bCs/>
                      <w:szCs w:val="21"/>
                    </w:rPr>
                    <w:t>类型</w:t>
                  </w:r>
                </w:p>
              </w:tc>
              <w:tc>
                <w:tcPr>
                  <w:tcW w:w="1114" w:type="pct"/>
                  <w:tcBorders>
                    <w:top w:val="single" w:color="auto" w:sz="12" w:space="0"/>
                    <w:left w:val="single" w:color="auto" w:sz="4" w:space="0"/>
                    <w:bottom w:val="single" w:color="auto" w:sz="2" w:space="0"/>
                    <w:right w:val="single" w:color="auto" w:sz="2" w:space="0"/>
                  </w:tcBorders>
                  <w:vAlign w:val="center"/>
                </w:tcPr>
                <w:p>
                  <w:pPr>
                    <w:adjustRightInd w:val="0"/>
                    <w:snapToGrid w:val="0"/>
                    <w:ind w:left="840" w:hanging="840"/>
                    <w:jc w:val="center"/>
                    <w:rPr>
                      <w:b/>
                      <w:bCs/>
                      <w:szCs w:val="21"/>
                    </w:rPr>
                  </w:pPr>
                  <w:r>
                    <w:rPr>
                      <w:b/>
                      <w:bCs/>
                      <w:szCs w:val="21"/>
                    </w:rPr>
                    <w:t>设备名称</w:t>
                  </w:r>
                </w:p>
              </w:tc>
              <w:tc>
                <w:tcPr>
                  <w:tcW w:w="1368" w:type="pct"/>
                  <w:tcBorders>
                    <w:top w:val="single" w:color="auto" w:sz="12" w:space="0"/>
                    <w:left w:val="single" w:color="auto" w:sz="2" w:space="0"/>
                    <w:bottom w:val="single" w:color="auto" w:sz="2" w:space="0"/>
                    <w:right w:val="single" w:color="auto" w:sz="2" w:space="0"/>
                  </w:tcBorders>
                  <w:vAlign w:val="center"/>
                </w:tcPr>
                <w:p>
                  <w:pPr>
                    <w:adjustRightInd w:val="0"/>
                    <w:snapToGrid w:val="0"/>
                    <w:jc w:val="center"/>
                    <w:rPr>
                      <w:b/>
                      <w:bCs/>
                      <w:szCs w:val="21"/>
                    </w:rPr>
                  </w:pPr>
                  <w:r>
                    <w:rPr>
                      <w:b/>
                      <w:bCs/>
                      <w:szCs w:val="21"/>
                    </w:rPr>
                    <w:t>规格、型号</w:t>
                  </w:r>
                </w:p>
              </w:tc>
              <w:tc>
                <w:tcPr>
                  <w:tcW w:w="607" w:type="pct"/>
                  <w:tcBorders>
                    <w:top w:val="single" w:color="auto" w:sz="12" w:space="0"/>
                    <w:left w:val="single" w:color="auto" w:sz="2" w:space="0"/>
                    <w:bottom w:val="single" w:color="auto" w:sz="2" w:space="0"/>
                    <w:right w:val="single" w:color="auto" w:sz="2" w:space="0"/>
                  </w:tcBorders>
                  <w:vAlign w:val="center"/>
                </w:tcPr>
                <w:p>
                  <w:pPr>
                    <w:adjustRightInd w:val="0"/>
                    <w:snapToGrid w:val="0"/>
                    <w:jc w:val="center"/>
                    <w:rPr>
                      <w:b/>
                      <w:bCs/>
                      <w:szCs w:val="21"/>
                    </w:rPr>
                  </w:pPr>
                  <w:r>
                    <w:rPr>
                      <w:b/>
                      <w:bCs/>
                      <w:szCs w:val="21"/>
                    </w:rPr>
                    <w:t>数量(单位：个）</w:t>
                  </w:r>
                </w:p>
              </w:tc>
              <w:tc>
                <w:tcPr>
                  <w:tcW w:w="1616" w:type="pct"/>
                  <w:tcBorders>
                    <w:top w:val="single" w:color="auto" w:sz="12" w:space="0"/>
                    <w:left w:val="single" w:color="auto" w:sz="2" w:space="0"/>
                    <w:bottom w:val="single" w:color="auto" w:sz="2" w:space="0"/>
                    <w:right w:val="nil"/>
                  </w:tcBorders>
                  <w:vAlign w:val="center"/>
                </w:tcPr>
                <w:p>
                  <w:pPr>
                    <w:adjustRightInd w:val="0"/>
                    <w:snapToGrid w:val="0"/>
                    <w:jc w:val="center"/>
                    <w:rPr>
                      <w:b/>
                      <w:bCs/>
                      <w:szCs w:val="21"/>
                    </w:rPr>
                  </w:pPr>
                  <w:r>
                    <w:rPr>
                      <w:b/>
                      <w:bCs/>
                      <w:szCs w:val="21"/>
                    </w:rPr>
                    <w:t>备注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5000" w:type="pct"/>
                  <w:gridSpan w:val="5"/>
                  <w:tcBorders>
                    <w:top w:val="single" w:color="auto" w:sz="2" w:space="0"/>
                    <w:left w:val="nil"/>
                    <w:bottom w:val="single" w:color="auto" w:sz="2" w:space="0"/>
                    <w:right w:val="nil"/>
                  </w:tcBorders>
                  <w:vAlign w:val="center"/>
                </w:tcPr>
                <w:p>
                  <w:pPr>
                    <w:adjustRightInd w:val="0"/>
                    <w:snapToGrid w:val="0"/>
                    <w:jc w:val="center"/>
                    <w:rPr>
                      <w:rFonts w:hint="eastAsia" w:eastAsia="宋体"/>
                      <w:szCs w:val="21"/>
                      <w:lang w:eastAsia="zh-CN"/>
                    </w:rPr>
                  </w:pPr>
                  <w:r>
                    <w:rPr>
                      <w:b/>
                      <w:bCs/>
                      <w:szCs w:val="21"/>
                    </w:rPr>
                    <w:t>1套燃气锅炉，型号为</w:t>
                  </w:r>
                  <w:r>
                    <w:rPr>
                      <w:b/>
                      <w:bCs/>
                      <w:kern w:val="0"/>
                      <w:szCs w:val="21"/>
                    </w:rPr>
                    <w:t>YY（Q）W-12000Y（Q</w:t>
                  </w:r>
                  <w:r>
                    <w:rPr>
                      <w:b/>
                      <w:bCs/>
                      <w:szCs w:val="21"/>
                    </w:rPr>
                    <w:t>）</w:t>
                  </w:r>
                  <w:r>
                    <w:rPr>
                      <w:rFonts w:hint="eastAsia"/>
                      <w:b/>
                      <w:bCs/>
                      <w:szCs w:val="21"/>
                      <w:lang w:eastAsia="zh-CN"/>
                    </w:rPr>
                    <w:t>，</w:t>
                  </w:r>
                  <w:r>
                    <w:rPr>
                      <w:b/>
                      <w:bCs/>
                      <w:szCs w:val="21"/>
                    </w:rPr>
                    <w:t>额定出力12MW</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292" w:type="pct"/>
                  <w:vMerge w:val="restart"/>
                  <w:tcBorders>
                    <w:top w:val="single" w:color="auto" w:sz="2" w:space="0"/>
                    <w:left w:val="nil"/>
                    <w:right w:val="single" w:color="auto" w:sz="4" w:space="0"/>
                  </w:tcBorders>
                  <w:vAlign w:val="center"/>
                </w:tcPr>
                <w:p>
                  <w:pPr>
                    <w:widowControl/>
                    <w:adjustRightInd w:val="0"/>
                    <w:snapToGrid w:val="0"/>
                    <w:jc w:val="center"/>
                    <w:textAlignment w:val="center"/>
                    <w:rPr>
                      <w:kern w:val="0"/>
                      <w:szCs w:val="21"/>
                    </w:rPr>
                  </w:pPr>
                  <w:r>
                    <w:rPr>
                      <w:kern w:val="0"/>
                      <w:szCs w:val="21"/>
                    </w:rPr>
                    <w:t>主机</w:t>
                  </w:r>
                </w:p>
              </w:tc>
              <w:tc>
                <w:tcPr>
                  <w:tcW w:w="1114" w:type="pct"/>
                  <w:tcBorders>
                    <w:top w:val="single" w:color="auto" w:sz="2" w:space="0"/>
                    <w:left w:val="nil"/>
                    <w:bottom w:val="single" w:color="auto" w:sz="2" w:space="0"/>
                    <w:right w:val="single" w:color="auto" w:sz="2" w:space="0"/>
                  </w:tcBorders>
                  <w:vAlign w:val="center"/>
                </w:tcPr>
                <w:p>
                  <w:pPr>
                    <w:jc w:val="center"/>
                    <w:rPr>
                      <w:szCs w:val="21"/>
                    </w:rPr>
                  </w:pPr>
                  <w:r>
                    <w:rPr>
                      <w:szCs w:val="21"/>
                    </w:rPr>
                    <w:t>加热炉</w:t>
                  </w:r>
                </w:p>
              </w:tc>
              <w:tc>
                <w:tcPr>
                  <w:tcW w:w="1368"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w:t>
                  </w:r>
                </w:p>
              </w:tc>
              <w:tc>
                <w:tcPr>
                  <w:tcW w:w="607"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1</w:t>
                  </w:r>
                </w:p>
              </w:tc>
              <w:tc>
                <w:tcPr>
                  <w:tcW w:w="1616" w:type="pct"/>
                  <w:tcBorders>
                    <w:top w:val="single" w:color="auto" w:sz="2" w:space="0"/>
                    <w:left w:val="single" w:color="auto" w:sz="2" w:space="0"/>
                    <w:bottom w:val="single" w:color="auto" w:sz="2" w:space="0"/>
                    <w:right w:val="nil"/>
                  </w:tcBorders>
                  <w:vAlign w:val="center"/>
                </w:tcPr>
                <w:p>
                  <w:pPr>
                    <w:adjustRightInd w:val="0"/>
                    <w:snapToGrid w:val="0"/>
                    <w:jc w:val="center"/>
                    <w:rPr>
                      <w:szCs w:val="21"/>
                    </w:rPr>
                  </w:pPr>
                  <w:r>
                    <w:rPr>
                      <w:szCs w:val="21"/>
                    </w:rPr>
                    <w:t>快开门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292" w:type="pct"/>
                  <w:vMerge w:val="continue"/>
                  <w:tcBorders>
                    <w:left w:val="nil"/>
                    <w:bottom w:val="single" w:color="auto" w:sz="2" w:space="0"/>
                    <w:right w:val="single" w:color="auto" w:sz="4" w:space="0"/>
                  </w:tcBorders>
                  <w:vAlign w:val="center"/>
                </w:tcPr>
                <w:p>
                  <w:pPr>
                    <w:widowControl/>
                    <w:adjustRightInd w:val="0"/>
                    <w:snapToGrid w:val="0"/>
                    <w:jc w:val="center"/>
                    <w:textAlignment w:val="center"/>
                    <w:rPr>
                      <w:kern w:val="0"/>
                      <w:szCs w:val="21"/>
                    </w:rPr>
                  </w:pPr>
                </w:p>
              </w:tc>
              <w:tc>
                <w:tcPr>
                  <w:tcW w:w="1114" w:type="pct"/>
                  <w:tcBorders>
                    <w:top w:val="single" w:color="auto" w:sz="2" w:space="0"/>
                    <w:left w:val="nil"/>
                    <w:bottom w:val="single" w:color="auto" w:sz="2" w:space="0"/>
                    <w:right w:val="single" w:color="auto" w:sz="2" w:space="0"/>
                  </w:tcBorders>
                  <w:vAlign w:val="center"/>
                </w:tcPr>
                <w:p>
                  <w:pPr>
                    <w:jc w:val="center"/>
                    <w:rPr>
                      <w:szCs w:val="21"/>
                    </w:rPr>
                  </w:pPr>
                  <w:r>
                    <w:rPr>
                      <w:szCs w:val="21"/>
                    </w:rPr>
                    <w:t>烟道防爆门</w:t>
                  </w:r>
                </w:p>
              </w:tc>
              <w:tc>
                <w:tcPr>
                  <w:tcW w:w="1368"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w:t>
                  </w:r>
                </w:p>
              </w:tc>
              <w:tc>
                <w:tcPr>
                  <w:tcW w:w="607"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1</w:t>
                  </w:r>
                </w:p>
              </w:tc>
              <w:tc>
                <w:tcPr>
                  <w:tcW w:w="1616" w:type="pct"/>
                  <w:tcBorders>
                    <w:top w:val="single" w:color="auto" w:sz="2" w:space="0"/>
                    <w:left w:val="single" w:color="auto" w:sz="2" w:space="0"/>
                    <w:bottom w:val="single" w:color="auto" w:sz="2" w:space="0"/>
                    <w:right w:val="nil"/>
                  </w:tcBorders>
                  <w:vAlign w:val="center"/>
                </w:tcPr>
                <w:p>
                  <w:pPr>
                    <w:adjustRightInd w:val="0"/>
                    <w:snapToGrid w:val="0"/>
                    <w:jc w:val="center"/>
                    <w:rPr>
                      <w:szCs w:val="21"/>
                    </w:rPr>
                  </w:pPr>
                  <w:r>
                    <w:rPr>
                      <w:kern w:val="0"/>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292" w:type="pct"/>
                  <w:vMerge w:val="restart"/>
                  <w:tcBorders>
                    <w:top w:val="single" w:color="auto" w:sz="2" w:space="0"/>
                    <w:left w:val="nil"/>
                    <w:right w:val="single" w:color="auto" w:sz="4" w:space="0"/>
                  </w:tcBorders>
                  <w:vAlign w:val="center"/>
                </w:tcPr>
                <w:p>
                  <w:pPr>
                    <w:widowControl/>
                    <w:adjustRightInd w:val="0"/>
                    <w:snapToGrid w:val="0"/>
                    <w:jc w:val="center"/>
                    <w:textAlignment w:val="center"/>
                    <w:rPr>
                      <w:kern w:val="0"/>
                      <w:szCs w:val="21"/>
                    </w:rPr>
                  </w:pPr>
                  <w:r>
                    <w:rPr>
                      <w:kern w:val="0"/>
                      <w:szCs w:val="21"/>
                    </w:rPr>
                    <w:t>供热系统</w:t>
                  </w:r>
                </w:p>
              </w:tc>
              <w:tc>
                <w:tcPr>
                  <w:tcW w:w="1114" w:type="pct"/>
                  <w:tcBorders>
                    <w:top w:val="single" w:color="auto" w:sz="2" w:space="0"/>
                    <w:left w:val="nil"/>
                    <w:bottom w:val="single" w:color="auto" w:sz="2" w:space="0"/>
                    <w:right w:val="single" w:color="auto" w:sz="2" w:space="0"/>
                  </w:tcBorders>
                  <w:vAlign w:val="center"/>
                </w:tcPr>
                <w:p>
                  <w:pPr>
                    <w:jc w:val="center"/>
                    <w:rPr>
                      <w:szCs w:val="21"/>
                    </w:rPr>
                  </w:pPr>
                  <w:r>
                    <w:rPr>
                      <w:szCs w:val="21"/>
                    </w:rPr>
                    <w:t>膨胀槽</w:t>
                  </w:r>
                </w:p>
              </w:tc>
              <w:tc>
                <w:tcPr>
                  <w:tcW w:w="1368"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15m</w:t>
                  </w:r>
                  <w:r>
                    <w:rPr>
                      <w:kern w:val="0"/>
                      <w:szCs w:val="21"/>
                      <w:vertAlign w:val="superscript"/>
                    </w:rPr>
                    <w:t>3</w:t>
                  </w:r>
                </w:p>
              </w:tc>
              <w:tc>
                <w:tcPr>
                  <w:tcW w:w="607"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1</w:t>
                  </w:r>
                </w:p>
              </w:tc>
              <w:tc>
                <w:tcPr>
                  <w:tcW w:w="1616" w:type="pct"/>
                  <w:tcBorders>
                    <w:top w:val="single" w:color="auto" w:sz="2" w:space="0"/>
                    <w:left w:val="single" w:color="auto" w:sz="2" w:space="0"/>
                    <w:bottom w:val="single" w:color="auto" w:sz="2" w:space="0"/>
                    <w:right w:val="nil"/>
                  </w:tcBorders>
                  <w:vAlign w:val="center"/>
                </w:tcPr>
                <w:p>
                  <w:pPr>
                    <w:adjustRightInd w:val="0"/>
                    <w:snapToGrid w:val="0"/>
                    <w:jc w:val="center"/>
                    <w:rPr>
                      <w:szCs w:val="21"/>
                    </w:rPr>
                  </w:pPr>
                  <w:r>
                    <w:rPr>
                      <w:kern w:val="0"/>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292" w:type="pct"/>
                  <w:vMerge w:val="continue"/>
                  <w:tcBorders>
                    <w:left w:val="nil"/>
                    <w:right w:val="single" w:color="auto" w:sz="4" w:space="0"/>
                  </w:tcBorders>
                  <w:vAlign w:val="center"/>
                </w:tcPr>
                <w:p>
                  <w:pPr>
                    <w:widowControl/>
                    <w:adjustRightInd w:val="0"/>
                    <w:snapToGrid w:val="0"/>
                    <w:jc w:val="center"/>
                    <w:textAlignment w:val="center"/>
                    <w:rPr>
                      <w:kern w:val="0"/>
                      <w:szCs w:val="21"/>
                    </w:rPr>
                  </w:pPr>
                </w:p>
              </w:tc>
              <w:tc>
                <w:tcPr>
                  <w:tcW w:w="1114" w:type="pct"/>
                  <w:tcBorders>
                    <w:top w:val="single" w:color="auto" w:sz="2" w:space="0"/>
                    <w:left w:val="nil"/>
                    <w:bottom w:val="single" w:color="auto" w:sz="2" w:space="0"/>
                    <w:right w:val="single" w:color="auto" w:sz="2" w:space="0"/>
                  </w:tcBorders>
                  <w:vAlign w:val="center"/>
                </w:tcPr>
                <w:p>
                  <w:pPr>
                    <w:jc w:val="center"/>
                    <w:rPr>
                      <w:szCs w:val="21"/>
                    </w:rPr>
                  </w:pPr>
                  <w:r>
                    <w:rPr>
                      <w:szCs w:val="21"/>
                    </w:rPr>
                    <w:t>储油槽</w:t>
                  </w:r>
                </w:p>
              </w:tc>
              <w:tc>
                <w:tcPr>
                  <w:tcW w:w="1368"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30m</w:t>
                  </w:r>
                  <w:r>
                    <w:rPr>
                      <w:kern w:val="0"/>
                      <w:szCs w:val="21"/>
                      <w:vertAlign w:val="superscript"/>
                    </w:rPr>
                    <w:t>3</w:t>
                  </w:r>
                </w:p>
              </w:tc>
              <w:tc>
                <w:tcPr>
                  <w:tcW w:w="607"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1</w:t>
                  </w:r>
                </w:p>
              </w:tc>
              <w:tc>
                <w:tcPr>
                  <w:tcW w:w="1616" w:type="pct"/>
                  <w:tcBorders>
                    <w:top w:val="single" w:color="auto" w:sz="2" w:space="0"/>
                    <w:left w:val="single" w:color="auto" w:sz="2" w:space="0"/>
                    <w:bottom w:val="single" w:color="auto" w:sz="2" w:space="0"/>
                    <w:right w:val="nil"/>
                  </w:tcBorders>
                  <w:vAlign w:val="center"/>
                </w:tcPr>
                <w:p>
                  <w:pPr>
                    <w:adjustRightInd w:val="0"/>
                    <w:snapToGrid w:val="0"/>
                    <w:jc w:val="center"/>
                    <w:rPr>
                      <w:szCs w:val="21"/>
                    </w:rPr>
                  </w:pPr>
                  <w:r>
                    <w:rPr>
                      <w:kern w:val="0"/>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292" w:type="pct"/>
                  <w:vMerge w:val="continue"/>
                  <w:tcBorders>
                    <w:left w:val="nil"/>
                    <w:right w:val="single" w:color="auto" w:sz="4" w:space="0"/>
                  </w:tcBorders>
                  <w:vAlign w:val="center"/>
                </w:tcPr>
                <w:p>
                  <w:pPr>
                    <w:widowControl/>
                    <w:adjustRightInd w:val="0"/>
                    <w:snapToGrid w:val="0"/>
                    <w:jc w:val="center"/>
                    <w:textAlignment w:val="center"/>
                    <w:rPr>
                      <w:kern w:val="0"/>
                      <w:szCs w:val="21"/>
                    </w:rPr>
                  </w:pPr>
                </w:p>
              </w:tc>
              <w:tc>
                <w:tcPr>
                  <w:tcW w:w="1114" w:type="pct"/>
                  <w:tcBorders>
                    <w:top w:val="single" w:color="auto" w:sz="2" w:space="0"/>
                    <w:left w:val="nil"/>
                    <w:bottom w:val="single" w:color="auto" w:sz="2" w:space="0"/>
                    <w:right w:val="single" w:color="auto" w:sz="2" w:space="0"/>
                  </w:tcBorders>
                  <w:vAlign w:val="center"/>
                </w:tcPr>
                <w:p>
                  <w:pPr>
                    <w:jc w:val="center"/>
                    <w:rPr>
                      <w:szCs w:val="21"/>
                    </w:rPr>
                  </w:pPr>
                  <w:r>
                    <w:rPr>
                      <w:szCs w:val="21"/>
                    </w:rPr>
                    <w:t>油气分离器</w:t>
                  </w:r>
                </w:p>
              </w:tc>
              <w:tc>
                <w:tcPr>
                  <w:tcW w:w="1368"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DN300</w:t>
                  </w:r>
                </w:p>
              </w:tc>
              <w:tc>
                <w:tcPr>
                  <w:tcW w:w="607"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1</w:t>
                  </w:r>
                </w:p>
              </w:tc>
              <w:tc>
                <w:tcPr>
                  <w:tcW w:w="1616" w:type="pct"/>
                  <w:tcBorders>
                    <w:top w:val="single" w:color="auto" w:sz="2" w:space="0"/>
                    <w:left w:val="single" w:color="auto" w:sz="2" w:space="0"/>
                    <w:bottom w:val="single" w:color="auto" w:sz="2" w:space="0"/>
                    <w:right w:val="nil"/>
                  </w:tcBorders>
                  <w:vAlign w:val="center"/>
                </w:tcPr>
                <w:p>
                  <w:pPr>
                    <w:adjustRightInd w:val="0"/>
                    <w:snapToGrid w:val="0"/>
                    <w:jc w:val="center"/>
                    <w:rPr>
                      <w:szCs w:val="21"/>
                    </w:rPr>
                  </w:pPr>
                  <w:r>
                    <w:rPr>
                      <w:kern w:val="0"/>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292" w:type="pct"/>
                  <w:vMerge w:val="continue"/>
                  <w:tcBorders>
                    <w:left w:val="nil"/>
                    <w:right w:val="single" w:color="auto" w:sz="4" w:space="0"/>
                  </w:tcBorders>
                  <w:vAlign w:val="center"/>
                </w:tcPr>
                <w:p>
                  <w:pPr>
                    <w:widowControl/>
                    <w:adjustRightInd w:val="0"/>
                    <w:snapToGrid w:val="0"/>
                    <w:jc w:val="center"/>
                    <w:textAlignment w:val="center"/>
                    <w:rPr>
                      <w:kern w:val="0"/>
                      <w:szCs w:val="21"/>
                    </w:rPr>
                  </w:pPr>
                </w:p>
              </w:tc>
              <w:tc>
                <w:tcPr>
                  <w:tcW w:w="1114" w:type="pct"/>
                  <w:tcBorders>
                    <w:top w:val="single" w:color="auto" w:sz="2" w:space="0"/>
                    <w:left w:val="nil"/>
                    <w:bottom w:val="single" w:color="auto" w:sz="2" w:space="0"/>
                    <w:right w:val="single" w:color="auto" w:sz="2" w:space="0"/>
                  </w:tcBorders>
                  <w:vAlign w:val="center"/>
                </w:tcPr>
                <w:p>
                  <w:pPr>
                    <w:jc w:val="center"/>
                    <w:rPr>
                      <w:szCs w:val="21"/>
                    </w:rPr>
                  </w:pPr>
                  <w:r>
                    <w:rPr>
                      <w:szCs w:val="21"/>
                    </w:rPr>
                    <w:t>Y型油过滤器</w:t>
                  </w:r>
                </w:p>
              </w:tc>
              <w:tc>
                <w:tcPr>
                  <w:tcW w:w="1368"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DN250</w:t>
                  </w:r>
                </w:p>
              </w:tc>
              <w:tc>
                <w:tcPr>
                  <w:tcW w:w="607"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3</w:t>
                  </w:r>
                </w:p>
              </w:tc>
              <w:tc>
                <w:tcPr>
                  <w:tcW w:w="1616" w:type="pct"/>
                  <w:tcBorders>
                    <w:top w:val="single" w:color="auto" w:sz="2" w:space="0"/>
                    <w:left w:val="single" w:color="auto" w:sz="2" w:space="0"/>
                    <w:bottom w:val="single" w:color="auto" w:sz="2" w:space="0"/>
                    <w:right w:val="nil"/>
                  </w:tcBorders>
                  <w:vAlign w:val="center"/>
                </w:tcPr>
                <w:p>
                  <w:pPr>
                    <w:adjustRightInd w:val="0"/>
                    <w:snapToGrid w:val="0"/>
                    <w:jc w:val="center"/>
                    <w:rPr>
                      <w:szCs w:val="21"/>
                    </w:rPr>
                  </w:pPr>
                  <w:r>
                    <w:rPr>
                      <w:kern w:val="0"/>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292" w:type="pct"/>
                  <w:vMerge w:val="continue"/>
                  <w:tcBorders>
                    <w:left w:val="nil"/>
                    <w:right w:val="single" w:color="auto" w:sz="4" w:space="0"/>
                  </w:tcBorders>
                  <w:vAlign w:val="center"/>
                </w:tcPr>
                <w:p>
                  <w:pPr>
                    <w:widowControl/>
                    <w:adjustRightInd w:val="0"/>
                    <w:snapToGrid w:val="0"/>
                    <w:jc w:val="center"/>
                    <w:textAlignment w:val="center"/>
                    <w:rPr>
                      <w:kern w:val="0"/>
                      <w:szCs w:val="21"/>
                    </w:rPr>
                  </w:pPr>
                </w:p>
              </w:tc>
              <w:tc>
                <w:tcPr>
                  <w:tcW w:w="1114" w:type="pct"/>
                  <w:tcBorders>
                    <w:top w:val="single" w:color="auto" w:sz="2" w:space="0"/>
                    <w:left w:val="nil"/>
                    <w:bottom w:val="single" w:color="auto" w:sz="2" w:space="0"/>
                    <w:right w:val="single" w:color="auto" w:sz="2" w:space="0"/>
                  </w:tcBorders>
                  <w:vAlign w:val="center"/>
                </w:tcPr>
                <w:p>
                  <w:pPr>
                    <w:jc w:val="center"/>
                    <w:rPr>
                      <w:szCs w:val="21"/>
                    </w:rPr>
                  </w:pPr>
                  <w:r>
                    <w:rPr>
                      <w:szCs w:val="21"/>
                    </w:rPr>
                    <w:t>Y型过滤器</w:t>
                  </w:r>
                </w:p>
              </w:tc>
              <w:tc>
                <w:tcPr>
                  <w:tcW w:w="1368"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ZG1</w:t>
                  </w:r>
                  <w:r>
                    <w:rPr>
                      <w:kern w:val="0"/>
                      <w:szCs w:val="21"/>
                      <w:vertAlign w:val="subscript"/>
                    </w:rPr>
                    <w:t>1/2</w:t>
                  </w:r>
                </w:p>
              </w:tc>
              <w:tc>
                <w:tcPr>
                  <w:tcW w:w="607"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1</w:t>
                  </w:r>
                </w:p>
              </w:tc>
              <w:tc>
                <w:tcPr>
                  <w:tcW w:w="1616" w:type="pct"/>
                  <w:tcBorders>
                    <w:top w:val="single" w:color="auto" w:sz="2" w:space="0"/>
                    <w:left w:val="single" w:color="auto" w:sz="2" w:space="0"/>
                    <w:bottom w:val="single" w:color="auto" w:sz="2" w:space="0"/>
                    <w:right w:val="nil"/>
                  </w:tcBorders>
                  <w:vAlign w:val="center"/>
                </w:tcPr>
                <w:p>
                  <w:pPr>
                    <w:adjustRightInd w:val="0"/>
                    <w:snapToGrid w:val="0"/>
                    <w:jc w:val="center"/>
                    <w:rPr>
                      <w:szCs w:val="21"/>
                    </w:rPr>
                  </w:pPr>
                  <w:r>
                    <w:rPr>
                      <w:kern w:val="0"/>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292" w:type="pct"/>
                  <w:vMerge w:val="continue"/>
                  <w:tcBorders>
                    <w:left w:val="nil"/>
                    <w:right w:val="single" w:color="auto" w:sz="4" w:space="0"/>
                  </w:tcBorders>
                  <w:vAlign w:val="center"/>
                </w:tcPr>
                <w:p>
                  <w:pPr>
                    <w:widowControl/>
                    <w:adjustRightInd w:val="0"/>
                    <w:snapToGrid w:val="0"/>
                    <w:jc w:val="center"/>
                    <w:textAlignment w:val="center"/>
                    <w:rPr>
                      <w:kern w:val="0"/>
                      <w:szCs w:val="21"/>
                    </w:rPr>
                  </w:pPr>
                </w:p>
              </w:tc>
              <w:tc>
                <w:tcPr>
                  <w:tcW w:w="1114" w:type="pct"/>
                  <w:tcBorders>
                    <w:top w:val="single" w:color="auto" w:sz="2" w:space="0"/>
                    <w:left w:val="nil"/>
                    <w:right w:val="single" w:color="auto" w:sz="2" w:space="0"/>
                  </w:tcBorders>
                  <w:vAlign w:val="center"/>
                </w:tcPr>
                <w:p>
                  <w:pPr>
                    <w:jc w:val="center"/>
                    <w:rPr>
                      <w:szCs w:val="21"/>
                    </w:rPr>
                  </w:pPr>
                  <w:r>
                    <w:rPr>
                      <w:szCs w:val="21"/>
                    </w:rPr>
                    <w:t>热油循环泵</w:t>
                  </w:r>
                </w:p>
              </w:tc>
              <w:tc>
                <w:tcPr>
                  <w:tcW w:w="1368"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WRY150-125-270</w:t>
                  </w:r>
                </w:p>
              </w:tc>
              <w:tc>
                <w:tcPr>
                  <w:tcW w:w="607"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3</w:t>
                  </w:r>
                </w:p>
              </w:tc>
              <w:tc>
                <w:tcPr>
                  <w:tcW w:w="1616" w:type="pct"/>
                  <w:tcBorders>
                    <w:top w:val="single" w:color="auto" w:sz="2" w:space="0"/>
                    <w:left w:val="single" w:color="auto" w:sz="2" w:space="0"/>
                    <w:bottom w:val="single" w:color="auto" w:sz="2" w:space="0"/>
                    <w:right w:val="nil"/>
                  </w:tcBorders>
                  <w:vAlign w:val="center"/>
                </w:tcPr>
                <w:p>
                  <w:pPr>
                    <w:adjustRightInd w:val="0"/>
                    <w:snapToGrid w:val="0"/>
                    <w:jc w:val="center"/>
                    <w:rPr>
                      <w:szCs w:val="21"/>
                    </w:rPr>
                  </w:pPr>
                  <w:r>
                    <w:rPr>
                      <w:szCs w:val="21"/>
                    </w:rPr>
                    <w:t>二用一备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292" w:type="pct"/>
                  <w:vMerge w:val="continue"/>
                  <w:tcBorders>
                    <w:left w:val="nil"/>
                    <w:right w:val="single" w:color="auto" w:sz="4" w:space="0"/>
                  </w:tcBorders>
                  <w:vAlign w:val="center"/>
                </w:tcPr>
                <w:p>
                  <w:pPr>
                    <w:widowControl/>
                    <w:adjustRightInd w:val="0"/>
                    <w:snapToGrid w:val="0"/>
                    <w:jc w:val="center"/>
                    <w:textAlignment w:val="center"/>
                    <w:rPr>
                      <w:kern w:val="0"/>
                      <w:szCs w:val="21"/>
                    </w:rPr>
                  </w:pPr>
                </w:p>
              </w:tc>
              <w:tc>
                <w:tcPr>
                  <w:tcW w:w="1114" w:type="pct"/>
                  <w:tcBorders>
                    <w:top w:val="single" w:color="auto" w:sz="2" w:space="0"/>
                    <w:left w:val="nil"/>
                    <w:bottom w:val="single" w:color="auto" w:sz="2" w:space="0"/>
                    <w:right w:val="single" w:color="auto" w:sz="2" w:space="0"/>
                  </w:tcBorders>
                  <w:vAlign w:val="center"/>
                </w:tcPr>
                <w:p>
                  <w:pPr>
                    <w:jc w:val="center"/>
                    <w:rPr>
                      <w:szCs w:val="21"/>
                    </w:rPr>
                  </w:pPr>
                  <w:r>
                    <w:rPr>
                      <w:szCs w:val="21"/>
                    </w:rPr>
                    <w:t>齿轮注油泵</w:t>
                  </w:r>
                </w:p>
              </w:tc>
              <w:tc>
                <w:tcPr>
                  <w:tcW w:w="1368"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szCs w:val="21"/>
                    </w:rPr>
                  </w:pPr>
                  <w:r>
                    <w:rPr>
                      <w:szCs w:val="21"/>
                    </w:rPr>
                    <w:t>2CY-5/3.3  3kW</w:t>
                  </w:r>
                </w:p>
              </w:tc>
              <w:tc>
                <w:tcPr>
                  <w:tcW w:w="607"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1</w:t>
                  </w:r>
                </w:p>
              </w:tc>
              <w:tc>
                <w:tcPr>
                  <w:tcW w:w="1616" w:type="pct"/>
                  <w:tcBorders>
                    <w:top w:val="single" w:color="auto" w:sz="2" w:space="0"/>
                    <w:left w:val="single" w:color="auto" w:sz="2" w:space="0"/>
                    <w:bottom w:val="single" w:color="auto" w:sz="2" w:space="0"/>
                    <w:right w:val="nil"/>
                  </w:tcBorders>
                  <w:vAlign w:val="center"/>
                </w:tcPr>
                <w:p>
                  <w:pPr>
                    <w:adjustRightInd w:val="0"/>
                    <w:snapToGrid w:val="0"/>
                    <w:jc w:val="center"/>
                    <w:rPr>
                      <w:szCs w:val="21"/>
                    </w:rPr>
                  </w:pPr>
                  <w:r>
                    <w:rPr>
                      <w:kern w:val="0"/>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292" w:type="pct"/>
                  <w:vMerge w:val="continue"/>
                  <w:tcBorders>
                    <w:left w:val="nil"/>
                    <w:bottom w:val="single" w:color="auto" w:sz="2" w:space="0"/>
                    <w:right w:val="single" w:color="auto" w:sz="4" w:space="0"/>
                  </w:tcBorders>
                  <w:vAlign w:val="center"/>
                </w:tcPr>
                <w:p>
                  <w:pPr>
                    <w:widowControl/>
                    <w:adjustRightInd w:val="0"/>
                    <w:snapToGrid w:val="0"/>
                    <w:jc w:val="center"/>
                    <w:textAlignment w:val="center"/>
                    <w:rPr>
                      <w:kern w:val="0"/>
                      <w:szCs w:val="21"/>
                    </w:rPr>
                  </w:pPr>
                </w:p>
              </w:tc>
              <w:tc>
                <w:tcPr>
                  <w:tcW w:w="1114" w:type="pct"/>
                  <w:tcBorders>
                    <w:top w:val="single" w:color="auto" w:sz="2" w:space="0"/>
                    <w:left w:val="nil"/>
                    <w:bottom w:val="single" w:color="auto" w:sz="2" w:space="0"/>
                    <w:right w:val="single" w:color="auto" w:sz="2" w:space="0"/>
                  </w:tcBorders>
                  <w:vAlign w:val="center"/>
                </w:tcPr>
                <w:p>
                  <w:pPr>
                    <w:jc w:val="center"/>
                    <w:rPr>
                      <w:szCs w:val="21"/>
                    </w:rPr>
                  </w:pPr>
                  <w:r>
                    <w:rPr>
                      <w:szCs w:val="21"/>
                    </w:rPr>
                    <w:t>玻璃板液面计</w:t>
                  </w:r>
                </w:p>
              </w:tc>
              <w:tc>
                <w:tcPr>
                  <w:tcW w:w="1368"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AT2.5-</w:t>
                  </w:r>
                  <w:r>
                    <w:rPr>
                      <w:szCs w:val="21"/>
                    </w:rPr>
                    <w:t>Ⅰ  L=2000</w:t>
                  </w:r>
                </w:p>
              </w:tc>
              <w:tc>
                <w:tcPr>
                  <w:tcW w:w="607"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1</w:t>
                  </w:r>
                </w:p>
              </w:tc>
              <w:tc>
                <w:tcPr>
                  <w:tcW w:w="1616" w:type="pct"/>
                  <w:tcBorders>
                    <w:top w:val="single" w:color="auto" w:sz="2" w:space="0"/>
                    <w:left w:val="single" w:color="auto" w:sz="2" w:space="0"/>
                    <w:bottom w:val="single" w:color="auto" w:sz="2" w:space="0"/>
                    <w:right w:val="nil"/>
                  </w:tcBorders>
                  <w:vAlign w:val="center"/>
                </w:tcPr>
                <w:p>
                  <w:pPr>
                    <w:adjustRightInd w:val="0"/>
                    <w:snapToGrid w:val="0"/>
                    <w:jc w:val="center"/>
                    <w:rPr>
                      <w:szCs w:val="21"/>
                    </w:rPr>
                  </w:pPr>
                  <w:r>
                    <w:rPr>
                      <w:szCs w:val="21"/>
                    </w:rPr>
                    <w:t>装于储油槽上</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292" w:type="pct"/>
                  <w:vMerge w:val="restart"/>
                  <w:tcBorders>
                    <w:top w:val="single" w:color="auto" w:sz="2" w:space="0"/>
                    <w:left w:val="nil"/>
                    <w:right w:val="single" w:color="auto" w:sz="4" w:space="0"/>
                  </w:tcBorders>
                  <w:vAlign w:val="center"/>
                </w:tcPr>
                <w:p>
                  <w:pPr>
                    <w:widowControl/>
                    <w:adjustRightInd w:val="0"/>
                    <w:snapToGrid w:val="0"/>
                    <w:jc w:val="center"/>
                    <w:textAlignment w:val="center"/>
                    <w:rPr>
                      <w:kern w:val="0"/>
                      <w:szCs w:val="21"/>
                    </w:rPr>
                  </w:pPr>
                  <w:r>
                    <w:rPr>
                      <w:kern w:val="0"/>
                      <w:szCs w:val="21"/>
                    </w:rPr>
                    <w:t>燃烧系统</w:t>
                  </w:r>
                </w:p>
              </w:tc>
              <w:tc>
                <w:tcPr>
                  <w:tcW w:w="1114" w:type="pct"/>
                  <w:tcBorders>
                    <w:top w:val="single" w:color="auto" w:sz="2" w:space="0"/>
                    <w:left w:val="nil"/>
                    <w:bottom w:val="single" w:color="auto" w:sz="2" w:space="0"/>
                    <w:right w:val="single" w:color="auto" w:sz="2" w:space="0"/>
                  </w:tcBorders>
                  <w:vAlign w:val="center"/>
                </w:tcPr>
                <w:p>
                  <w:pPr>
                    <w:jc w:val="center"/>
                    <w:rPr>
                      <w:szCs w:val="21"/>
                    </w:rPr>
                  </w:pPr>
                  <w:r>
                    <w:rPr>
                      <w:szCs w:val="21"/>
                    </w:rPr>
                    <w:t>燃烧器</w:t>
                  </w:r>
                </w:p>
              </w:tc>
              <w:tc>
                <w:tcPr>
                  <w:tcW w:w="1368"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欧保EB9G</w:t>
                  </w:r>
                </w:p>
              </w:tc>
              <w:tc>
                <w:tcPr>
                  <w:tcW w:w="607"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1套</w:t>
                  </w:r>
                </w:p>
              </w:tc>
              <w:tc>
                <w:tcPr>
                  <w:tcW w:w="1616" w:type="pct"/>
                  <w:tcBorders>
                    <w:top w:val="single" w:color="auto" w:sz="2" w:space="0"/>
                    <w:left w:val="single" w:color="auto" w:sz="2" w:space="0"/>
                    <w:bottom w:val="single" w:color="auto" w:sz="2" w:space="0"/>
                    <w:right w:val="nil"/>
                  </w:tcBorders>
                  <w:vAlign w:val="center"/>
                </w:tcPr>
                <w:p>
                  <w:pPr>
                    <w:adjustRightInd w:val="0"/>
                    <w:snapToGrid w:val="0"/>
                    <w:jc w:val="center"/>
                    <w:rPr>
                      <w:szCs w:val="21"/>
                    </w:rPr>
                  </w:pPr>
                  <w:r>
                    <w:rPr>
                      <w:szCs w:val="21"/>
                    </w:rPr>
                    <w:t>含燃料气过滤器、气体压力调节器、手动球阀、气阀检测、气动蝶阀、燃料气体压力开关、复合调节器、供气流量调节蝶阀等</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292" w:type="pct"/>
                  <w:vMerge w:val="continue"/>
                  <w:tcBorders>
                    <w:left w:val="nil"/>
                    <w:right w:val="single" w:color="auto" w:sz="4" w:space="0"/>
                  </w:tcBorders>
                  <w:vAlign w:val="center"/>
                </w:tcPr>
                <w:p>
                  <w:pPr>
                    <w:widowControl/>
                    <w:adjustRightInd w:val="0"/>
                    <w:snapToGrid w:val="0"/>
                    <w:jc w:val="center"/>
                    <w:textAlignment w:val="center"/>
                    <w:rPr>
                      <w:kern w:val="0"/>
                      <w:szCs w:val="21"/>
                    </w:rPr>
                  </w:pPr>
                </w:p>
              </w:tc>
              <w:tc>
                <w:tcPr>
                  <w:tcW w:w="1114" w:type="pct"/>
                  <w:tcBorders>
                    <w:top w:val="single" w:color="auto" w:sz="2" w:space="0"/>
                    <w:left w:val="nil"/>
                    <w:bottom w:val="single" w:color="auto" w:sz="2" w:space="0"/>
                    <w:right w:val="single" w:color="auto" w:sz="2" w:space="0"/>
                  </w:tcBorders>
                  <w:vAlign w:val="center"/>
                </w:tcPr>
                <w:p>
                  <w:pPr>
                    <w:jc w:val="center"/>
                    <w:rPr>
                      <w:szCs w:val="21"/>
                    </w:rPr>
                  </w:pPr>
                  <w:r>
                    <w:rPr>
                      <w:szCs w:val="21"/>
                    </w:rPr>
                    <w:t>燃烧器风机</w:t>
                  </w:r>
                </w:p>
              </w:tc>
              <w:tc>
                <w:tcPr>
                  <w:tcW w:w="1368"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color w:val="FF0000"/>
                      <w:kern w:val="0"/>
                      <w:szCs w:val="21"/>
                    </w:rPr>
                  </w:pPr>
                  <w:r>
                    <w:rPr>
                      <w:color w:val="FF0000"/>
                      <w:kern w:val="0"/>
                      <w:szCs w:val="21"/>
                    </w:rPr>
                    <w:t>/</w:t>
                  </w:r>
                </w:p>
              </w:tc>
              <w:tc>
                <w:tcPr>
                  <w:tcW w:w="607"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1</w:t>
                  </w:r>
                </w:p>
              </w:tc>
              <w:tc>
                <w:tcPr>
                  <w:tcW w:w="1616" w:type="pct"/>
                  <w:tcBorders>
                    <w:top w:val="single" w:color="auto" w:sz="2" w:space="0"/>
                    <w:left w:val="single" w:color="auto" w:sz="2" w:space="0"/>
                    <w:bottom w:val="single" w:color="auto" w:sz="2" w:space="0"/>
                    <w:right w:val="nil"/>
                  </w:tcBorders>
                  <w:vAlign w:val="center"/>
                </w:tcPr>
                <w:p>
                  <w:pPr>
                    <w:adjustRightInd w:val="0"/>
                    <w:snapToGrid w:val="0"/>
                    <w:jc w:val="center"/>
                    <w:rPr>
                      <w:szCs w:val="21"/>
                    </w:rPr>
                  </w:pPr>
                  <w:r>
                    <w:rPr>
                      <w:szCs w:val="21"/>
                    </w:rPr>
                    <w:t>由燃烧器配套</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292" w:type="pct"/>
                  <w:vMerge w:val="continue"/>
                  <w:tcBorders>
                    <w:left w:val="nil"/>
                    <w:bottom w:val="single" w:color="auto" w:sz="2" w:space="0"/>
                    <w:right w:val="single" w:color="auto" w:sz="4" w:space="0"/>
                  </w:tcBorders>
                  <w:vAlign w:val="center"/>
                </w:tcPr>
                <w:p>
                  <w:pPr>
                    <w:widowControl/>
                    <w:adjustRightInd w:val="0"/>
                    <w:snapToGrid w:val="0"/>
                    <w:jc w:val="center"/>
                    <w:textAlignment w:val="center"/>
                    <w:rPr>
                      <w:kern w:val="0"/>
                      <w:szCs w:val="21"/>
                    </w:rPr>
                  </w:pPr>
                </w:p>
              </w:tc>
              <w:tc>
                <w:tcPr>
                  <w:tcW w:w="1114" w:type="pct"/>
                  <w:tcBorders>
                    <w:top w:val="single" w:color="auto" w:sz="2" w:space="0"/>
                    <w:left w:val="nil"/>
                    <w:bottom w:val="single" w:color="auto" w:sz="2" w:space="0"/>
                    <w:right w:val="single" w:color="auto" w:sz="2" w:space="0"/>
                  </w:tcBorders>
                  <w:vAlign w:val="center"/>
                </w:tcPr>
                <w:p>
                  <w:pPr>
                    <w:jc w:val="center"/>
                    <w:rPr>
                      <w:szCs w:val="21"/>
                    </w:rPr>
                  </w:pPr>
                  <w:r>
                    <w:rPr>
                      <w:szCs w:val="21"/>
                    </w:rPr>
                    <w:t>空气预热器</w:t>
                  </w:r>
                </w:p>
              </w:tc>
              <w:tc>
                <w:tcPr>
                  <w:tcW w:w="1368"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color w:val="FF0000"/>
                      <w:kern w:val="0"/>
                      <w:szCs w:val="21"/>
                    </w:rPr>
                  </w:pPr>
                  <w:r>
                    <w:rPr>
                      <w:color w:val="FF0000"/>
                      <w:kern w:val="0"/>
                      <w:szCs w:val="21"/>
                    </w:rPr>
                    <w:t>/</w:t>
                  </w:r>
                </w:p>
              </w:tc>
              <w:tc>
                <w:tcPr>
                  <w:tcW w:w="607"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1</w:t>
                  </w:r>
                </w:p>
              </w:tc>
              <w:tc>
                <w:tcPr>
                  <w:tcW w:w="1616" w:type="pct"/>
                  <w:tcBorders>
                    <w:top w:val="single" w:color="auto" w:sz="2" w:space="0"/>
                    <w:left w:val="single" w:color="auto" w:sz="2" w:space="0"/>
                    <w:bottom w:val="single" w:color="auto" w:sz="2" w:space="0"/>
                    <w:right w:val="nil"/>
                  </w:tcBorders>
                  <w:vAlign w:val="center"/>
                </w:tcPr>
                <w:p>
                  <w:pPr>
                    <w:adjustRightInd w:val="0"/>
                    <w:snapToGrid w:val="0"/>
                    <w:jc w:val="center"/>
                    <w:rPr>
                      <w:szCs w:val="21"/>
                    </w:rPr>
                  </w:pPr>
                  <w:r>
                    <w:rPr>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292" w:type="pct"/>
                  <w:vMerge w:val="restart"/>
                  <w:tcBorders>
                    <w:top w:val="single" w:color="auto" w:sz="2" w:space="0"/>
                    <w:left w:val="nil"/>
                    <w:right w:val="single" w:color="auto" w:sz="4" w:space="0"/>
                  </w:tcBorders>
                  <w:vAlign w:val="center"/>
                </w:tcPr>
                <w:p>
                  <w:pPr>
                    <w:widowControl/>
                    <w:adjustRightInd w:val="0"/>
                    <w:snapToGrid w:val="0"/>
                    <w:jc w:val="center"/>
                    <w:textAlignment w:val="center"/>
                    <w:rPr>
                      <w:kern w:val="0"/>
                      <w:szCs w:val="21"/>
                    </w:rPr>
                  </w:pPr>
                  <w:r>
                    <w:rPr>
                      <w:kern w:val="0"/>
                      <w:szCs w:val="21"/>
                    </w:rPr>
                    <w:t>电控系统</w:t>
                  </w:r>
                </w:p>
              </w:tc>
              <w:tc>
                <w:tcPr>
                  <w:tcW w:w="1114" w:type="pct"/>
                  <w:tcBorders>
                    <w:top w:val="single" w:color="auto" w:sz="2" w:space="0"/>
                    <w:left w:val="nil"/>
                    <w:bottom w:val="single" w:color="auto" w:sz="2" w:space="0"/>
                    <w:right w:val="single" w:color="auto" w:sz="2" w:space="0"/>
                  </w:tcBorders>
                  <w:vAlign w:val="center"/>
                </w:tcPr>
                <w:p>
                  <w:pPr>
                    <w:jc w:val="center"/>
                    <w:rPr>
                      <w:szCs w:val="21"/>
                    </w:rPr>
                  </w:pPr>
                  <w:r>
                    <w:rPr>
                      <w:szCs w:val="21"/>
                    </w:rPr>
                    <w:t>电气控制柜</w:t>
                  </w:r>
                </w:p>
              </w:tc>
              <w:tc>
                <w:tcPr>
                  <w:tcW w:w="1368"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color w:val="FF0000"/>
                      <w:kern w:val="0"/>
                      <w:szCs w:val="21"/>
                    </w:rPr>
                  </w:pPr>
                  <w:r>
                    <w:rPr>
                      <w:color w:val="FF0000"/>
                      <w:kern w:val="0"/>
                      <w:szCs w:val="21"/>
                    </w:rPr>
                    <w:t>/</w:t>
                  </w:r>
                </w:p>
              </w:tc>
              <w:tc>
                <w:tcPr>
                  <w:tcW w:w="607"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1</w:t>
                  </w:r>
                </w:p>
              </w:tc>
              <w:tc>
                <w:tcPr>
                  <w:tcW w:w="1616" w:type="pct"/>
                  <w:tcBorders>
                    <w:top w:val="single" w:color="auto" w:sz="2" w:space="0"/>
                    <w:left w:val="single" w:color="auto" w:sz="2" w:space="0"/>
                    <w:bottom w:val="single" w:color="auto" w:sz="2" w:space="0"/>
                    <w:right w:val="nil"/>
                  </w:tcBorders>
                  <w:vAlign w:val="center"/>
                </w:tcPr>
                <w:p>
                  <w:pPr>
                    <w:adjustRightInd w:val="0"/>
                    <w:snapToGrid w:val="0"/>
                    <w:jc w:val="center"/>
                    <w:rPr>
                      <w:szCs w:val="21"/>
                    </w:rPr>
                  </w:pPr>
                  <w:r>
                    <w:rPr>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292" w:type="pct"/>
                  <w:vMerge w:val="continue"/>
                  <w:tcBorders>
                    <w:left w:val="nil"/>
                    <w:right w:val="single" w:color="auto" w:sz="4" w:space="0"/>
                  </w:tcBorders>
                  <w:vAlign w:val="center"/>
                </w:tcPr>
                <w:p>
                  <w:pPr>
                    <w:widowControl/>
                    <w:adjustRightInd w:val="0"/>
                    <w:snapToGrid w:val="0"/>
                    <w:jc w:val="center"/>
                    <w:textAlignment w:val="center"/>
                    <w:rPr>
                      <w:kern w:val="0"/>
                      <w:szCs w:val="21"/>
                    </w:rPr>
                  </w:pPr>
                </w:p>
              </w:tc>
              <w:tc>
                <w:tcPr>
                  <w:tcW w:w="1114" w:type="pct"/>
                  <w:tcBorders>
                    <w:top w:val="single" w:color="auto" w:sz="2" w:space="0"/>
                    <w:left w:val="nil"/>
                    <w:bottom w:val="single" w:color="auto" w:sz="2" w:space="0"/>
                    <w:right w:val="single" w:color="auto" w:sz="2" w:space="0"/>
                  </w:tcBorders>
                  <w:vAlign w:val="center"/>
                </w:tcPr>
                <w:p>
                  <w:pPr>
                    <w:jc w:val="center"/>
                    <w:rPr>
                      <w:szCs w:val="21"/>
                    </w:rPr>
                  </w:pPr>
                  <w:r>
                    <w:rPr>
                      <w:szCs w:val="21"/>
                    </w:rPr>
                    <w:t>浮球液面控制器</w:t>
                  </w:r>
                </w:p>
              </w:tc>
              <w:tc>
                <w:tcPr>
                  <w:tcW w:w="1368"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UQK-02</w:t>
                  </w:r>
                </w:p>
              </w:tc>
              <w:tc>
                <w:tcPr>
                  <w:tcW w:w="607"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1</w:t>
                  </w:r>
                </w:p>
              </w:tc>
              <w:tc>
                <w:tcPr>
                  <w:tcW w:w="1616" w:type="pct"/>
                  <w:tcBorders>
                    <w:top w:val="single" w:color="auto" w:sz="2" w:space="0"/>
                    <w:left w:val="single" w:color="auto" w:sz="2" w:space="0"/>
                    <w:bottom w:val="single" w:color="auto" w:sz="2" w:space="0"/>
                    <w:right w:val="nil"/>
                  </w:tcBorders>
                  <w:vAlign w:val="center"/>
                </w:tcPr>
                <w:p>
                  <w:pPr>
                    <w:adjustRightInd w:val="0"/>
                    <w:snapToGrid w:val="0"/>
                    <w:jc w:val="center"/>
                    <w:rPr>
                      <w:szCs w:val="21"/>
                    </w:rPr>
                  </w:pPr>
                  <w:r>
                    <w:rPr>
                      <w:szCs w:val="21"/>
                    </w:rPr>
                    <w:t>装于膨胀槽上</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38" w:hRule="exact"/>
                <w:jc w:val="center"/>
              </w:trPr>
              <w:tc>
                <w:tcPr>
                  <w:tcW w:w="292" w:type="pct"/>
                  <w:vMerge w:val="continue"/>
                  <w:tcBorders>
                    <w:left w:val="nil"/>
                    <w:right w:val="single" w:color="auto" w:sz="4" w:space="0"/>
                  </w:tcBorders>
                  <w:vAlign w:val="center"/>
                </w:tcPr>
                <w:p>
                  <w:pPr>
                    <w:widowControl/>
                    <w:adjustRightInd w:val="0"/>
                    <w:snapToGrid w:val="0"/>
                    <w:jc w:val="center"/>
                    <w:textAlignment w:val="center"/>
                    <w:rPr>
                      <w:kern w:val="0"/>
                      <w:szCs w:val="21"/>
                    </w:rPr>
                  </w:pPr>
                </w:p>
              </w:tc>
              <w:tc>
                <w:tcPr>
                  <w:tcW w:w="1114" w:type="pct"/>
                  <w:tcBorders>
                    <w:top w:val="single" w:color="auto" w:sz="2" w:space="0"/>
                    <w:left w:val="nil"/>
                    <w:bottom w:val="single" w:color="auto" w:sz="2" w:space="0"/>
                    <w:right w:val="single" w:color="auto" w:sz="2" w:space="0"/>
                  </w:tcBorders>
                  <w:vAlign w:val="center"/>
                </w:tcPr>
                <w:p>
                  <w:pPr>
                    <w:jc w:val="center"/>
                    <w:rPr>
                      <w:szCs w:val="21"/>
                    </w:rPr>
                  </w:pPr>
                  <w:r>
                    <w:rPr>
                      <w:szCs w:val="21"/>
                    </w:rPr>
                    <w:t>双金属温度计</w:t>
                  </w:r>
                </w:p>
              </w:tc>
              <w:tc>
                <w:tcPr>
                  <w:tcW w:w="1368"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WSS501 L=150</w:t>
                  </w:r>
                </w:p>
                <w:p>
                  <w:pPr>
                    <w:widowControl/>
                    <w:jc w:val="center"/>
                    <w:textAlignment w:val="center"/>
                    <w:rPr>
                      <w:kern w:val="0"/>
                      <w:szCs w:val="21"/>
                    </w:rPr>
                  </w:pPr>
                  <w:r>
                    <w:rPr>
                      <w:kern w:val="0"/>
                      <w:szCs w:val="21"/>
                    </w:rPr>
                    <w:t>0~400℃</w:t>
                  </w:r>
                </w:p>
              </w:tc>
              <w:tc>
                <w:tcPr>
                  <w:tcW w:w="607"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2</w:t>
                  </w:r>
                </w:p>
              </w:tc>
              <w:tc>
                <w:tcPr>
                  <w:tcW w:w="1616" w:type="pct"/>
                  <w:tcBorders>
                    <w:top w:val="single" w:color="auto" w:sz="2" w:space="0"/>
                    <w:left w:val="single" w:color="auto" w:sz="2" w:space="0"/>
                    <w:bottom w:val="single" w:color="auto" w:sz="2" w:space="0"/>
                    <w:right w:val="nil"/>
                  </w:tcBorders>
                  <w:vAlign w:val="center"/>
                </w:tcPr>
                <w:p>
                  <w:pPr>
                    <w:adjustRightInd w:val="0"/>
                    <w:snapToGrid w:val="0"/>
                    <w:jc w:val="center"/>
                    <w:rPr>
                      <w:szCs w:val="21"/>
                    </w:rPr>
                  </w:pPr>
                  <w:r>
                    <w:rPr>
                      <w:szCs w:val="21"/>
                    </w:rPr>
                    <w:t>测进出口油温</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292" w:type="pct"/>
                  <w:vMerge w:val="continue"/>
                  <w:tcBorders>
                    <w:left w:val="nil"/>
                    <w:right w:val="single" w:color="auto" w:sz="4" w:space="0"/>
                  </w:tcBorders>
                  <w:vAlign w:val="center"/>
                </w:tcPr>
                <w:p>
                  <w:pPr>
                    <w:widowControl/>
                    <w:adjustRightInd w:val="0"/>
                    <w:snapToGrid w:val="0"/>
                    <w:jc w:val="center"/>
                    <w:textAlignment w:val="center"/>
                    <w:rPr>
                      <w:kern w:val="0"/>
                      <w:szCs w:val="21"/>
                    </w:rPr>
                  </w:pPr>
                </w:p>
              </w:tc>
              <w:tc>
                <w:tcPr>
                  <w:tcW w:w="1114" w:type="pct"/>
                  <w:tcBorders>
                    <w:top w:val="single" w:color="auto" w:sz="2" w:space="0"/>
                    <w:left w:val="nil"/>
                    <w:bottom w:val="single" w:color="auto" w:sz="2" w:space="0"/>
                    <w:right w:val="single" w:color="auto" w:sz="2" w:space="0"/>
                  </w:tcBorders>
                  <w:vAlign w:val="center"/>
                </w:tcPr>
                <w:p>
                  <w:pPr>
                    <w:jc w:val="center"/>
                    <w:rPr>
                      <w:szCs w:val="21"/>
                    </w:rPr>
                  </w:pPr>
                  <w:r>
                    <w:rPr>
                      <w:szCs w:val="21"/>
                    </w:rPr>
                    <w:t>铂热电阻（Pt100）</w:t>
                  </w:r>
                </w:p>
              </w:tc>
              <w:tc>
                <w:tcPr>
                  <w:tcW w:w="1368"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WZP-220 L=200</w:t>
                  </w:r>
                </w:p>
              </w:tc>
              <w:tc>
                <w:tcPr>
                  <w:tcW w:w="607"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2</w:t>
                  </w:r>
                </w:p>
              </w:tc>
              <w:tc>
                <w:tcPr>
                  <w:tcW w:w="1616" w:type="pct"/>
                  <w:tcBorders>
                    <w:top w:val="single" w:color="auto" w:sz="2" w:space="0"/>
                    <w:left w:val="single" w:color="auto" w:sz="2" w:space="0"/>
                    <w:bottom w:val="single" w:color="auto" w:sz="2" w:space="0"/>
                    <w:right w:val="nil"/>
                  </w:tcBorders>
                  <w:vAlign w:val="center"/>
                </w:tcPr>
                <w:p>
                  <w:pPr>
                    <w:adjustRightInd w:val="0"/>
                    <w:snapToGrid w:val="0"/>
                    <w:jc w:val="center"/>
                    <w:rPr>
                      <w:szCs w:val="21"/>
                    </w:rPr>
                  </w:pPr>
                  <w:r>
                    <w:rPr>
                      <w:szCs w:val="21"/>
                    </w:rPr>
                    <w:t>测进出口油温</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71" w:hRule="exact"/>
                <w:jc w:val="center"/>
              </w:trPr>
              <w:tc>
                <w:tcPr>
                  <w:tcW w:w="292" w:type="pct"/>
                  <w:vMerge w:val="continue"/>
                  <w:tcBorders>
                    <w:left w:val="nil"/>
                    <w:right w:val="single" w:color="auto" w:sz="4" w:space="0"/>
                  </w:tcBorders>
                  <w:vAlign w:val="center"/>
                </w:tcPr>
                <w:p>
                  <w:pPr>
                    <w:widowControl/>
                    <w:adjustRightInd w:val="0"/>
                    <w:snapToGrid w:val="0"/>
                    <w:jc w:val="center"/>
                    <w:textAlignment w:val="center"/>
                    <w:rPr>
                      <w:kern w:val="0"/>
                      <w:szCs w:val="21"/>
                    </w:rPr>
                  </w:pPr>
                </w:p>
              </w:tc>
              <w:tc>
                <w:tcPr>
                  <w:tcW w:w="1114" w:type="pct"/>
                  <w:tcBorders>
                    <w:top w:val="single" w:color="auto" w:sz="2" w:space="0"/>
                    <w:left w:val="nil"/>
                    <w:bottom w:val="single" w:color="auto" w:sz="2" w:space="0"/>
                    <w:right w:val="single" w:color="auto" w:sz="2" w:space="0"/>
                  </w:tcBorders>
                  <w:vAlign w:val="center"/>
                </w:tcPr>
                <w:p>
                  <w:pPr>
                    <w:jc w:val="center"/>
                    <w:rPr>
                      <w:szCs w:val="21"/>
                    </w:rPr>
                  </w:pPr>
                  <w:r>
                    <w:rPr>
                      <w:szCs w:val="21"/>
                    </w:rPr>
                    <w:t>铂热电阻（Pt100）</w:t>
                  </w:r>
                </w:p>
              </w:tc>
              <w:tc>
                <w:tcPr>
                  <w:tcW w:w="1368"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WZP-220 L=300</w:t>
                  </w:r>
                </w:p>
              </w:tc>
              <w:tc>
                <w:tcPr>
                  <w:tcW w:w="607"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3</w:t>
                  </w:r>
                </w:p>
              </w:tc>
              <w:tc>
                <w:tcPr>
                  <w:tcW w:w="1616" w:type="pct"/>
                  <w:tcBorders>
                    <w:top w:val="single" w:color="auto" w:sz="2" w:space="0"/>
                    <w:left w:val="single" w:color="auto" w:sz="2" w:space="0"/>
                    <w:bottom w:val="single" w:color="auto" w:sz="2" w:space="0"/>
                    <w:right w:val="nil"/>
                  </w:tcBorders>
                  <w:vAlign w:val="center"/>
                </w:tcPr>
                <w:p>
                  <w:pPr>
                    <w:adjustRightInd w:val="0"/>
                    <w:snapToGrid w:val="0"/>
                    <w:jc w:val="center"/>
                    <w:rPr>
                      <w:szCs w:val="21"/>
                    </w:rPr>
                  </w:pPr>
                  <w:r>
                    <w:rPr>
                      <w:szCs w:val="21"/>
                    </w:rPr>
                    <w:t>测炉体排烟温度，热空气温度，最终排烟温度</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292" w:type="pct"/>
                  <w:vMerge w:val="continue"/>
                  <w:tcBorders>
                    <w:left w:val="nil"/>
                    <w:right w:val="single" w:color="auto" w:sz="4" w:space="0"/>
                  </w:tcBorders>
                  <w:vAlign w:val="center"/>
                </w:tcPr>
                <w:p>
                  <w:pPr>
                    <w:widowControl/>
                    <w:adjustRightInd w:val="0"/>
                    <w:snapToGrid w:val="0"/>
                    <w:jc w:val="center"/>
                    <w:textAlignment w:val="center"/>
                    <w:rPr>
                      <w:kern w:val="0"/>
                      <w:szCs w:val="21"/>
                    </w:rPr>
                  </w:pPr>
                </w:p>
              </w:tc>
              <w:tc>
                <w:tcPr>
                  <w:tcW w:w="1114" w:type="pct"/>
                  <w:tcBorders>
                    <w:top w:val="single" w:color="auto" w:sz="2" w:space="0"/>
                    <w:left w:val="nil"/>
                    <w:bottom w:val="single" w:color="auto" w:sz="2" w:space="0"/>
                    <w:right w:val="single" w:color="auto" w:sz="2" w:space="0"/>
                  </w:tcBorders>
                  <w:vAlign w:val="center"/>
                </w:tcPr>
                <w:p>
                  <w:pPr>
                    <w:jc w:val="center"/>
                    <w:rPr>
                      <w:szCs w:val="21"/>
                    </w:rPr>
                  </w:pPr>
                  <w:r>
                    <w:rPr>
                      <w:szCs w:val="21"/>
                    </w:rPr>
                    <w:t>电接点压力表</w:t>
                  </w:r>
                </w:p>
              </w:tc>
              <w:tc>
                <w:tcPr>
                  <w:tcW w:w="1368"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szCs w:val="21"/>
                    </w:rPr>
                  </w:pPr>
                  <w:r>
                    <w:rPr>
                      <w:szCs w:val="21"/>
                    </w:rPr>
                    <w:t>YJXC-150，0~1MPa</w:t>
                  </w:r>
                </w:p>
              </w:tc>
              <w:tc>
                <w:tcPr>
                  <w:tcW w:w="607"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2</w:t>
                  </w:r>
                </w:p>
              </w:tc>
              <w:tc>
                <w:tcPr>
                  <w:tcW w:w="1616" w:type="pct"/>
                  <w:tcBorders>
                    <w:top w:val="single" w:color="auto" w:sz="2" w:space="0"/>
                    <w:left w:val="single" w:color="auto" w:sz="2" w:space="0"/>
                    <w:bottom w:val="single" w:color="auto" w:sz="2" w:space="0"/>
                    <w:right w:val="nil"/>
                  </w:tcBorders>
                  <w:vAlign w:val="center"/>
                </w:tcPr>
                <w:p>
                  <w:pPr>
                    <w:adjustRightInd w:val="0"/>
                    <w:snapToGrid w:val="0"/>
                    <w:jc w:val="center"/>
                    <w:rPr>
                      <w:szCs w:val="21"/>
                    </w:rPr>
                  </w:pPr>
                  <w:r>
                    <w:rPr>
                      <w:szCs w:val="21"/>
                    </w:rPr>
                    <w:t>测进出口压力</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292" w:type="pct"/>
                  <w:vMerge w:val="continue"/>
                  <w:tcBorders>
                    <w:left w:val="nil"/>
                    <w:right w:val="single" w:color="auto" w:sz="4" w:space="0"/>
                  </w:tcBorders>
                  <w:vAlign w:val="center"/>
                </w:tcPr>
                <w:p>
                  <w:pPr>
                    <w:widowControl/>
                    <w:adjustRightInd w:val="0"/>
                    <w:snapToGrid w:val="0"/>
                    <w:jc w:val="center"/>
                    <w:textAlignment w:val="center"/>
                    <w:rPr>
                      <w:kern w:val="0"/>
                      <w:szCs w:val="21"/>
                    </w:rPr>
                  </w:pPr>
                </w:p>
              </w:tc>
              <w:tc>
                <w:tcPr>
                  <w:tcW w:w="1114" w:type="pct"/>
                  <w:tcBorders>
                    <w:top w:val="single" w:color="auto" w:sz="2" w:space="0"/>
                    <w:left w:val="nil"/>
                    <w:bottom w:val="single" w:color="auto" w:sz="2" w:space="0"/>
                    <w:right w:val="single" w:color="auto" w:sz="2" w:space="0"/>
                  </w:tcBorders>
                  <w:vAlign w:val="center"/>
                </w:tcPr>
                <w:p>
                  <w:pPr>
                    <w:jc w:val="center"/>
                    <w:rPr>
                      <w:szCs w:val="21"/>
                    </w:rPr>
                  </w:pPr>
                  <w:r>
                    <w:rPr>
                      <w:szCs w:val="21"/>
                    </w:rPr>
                    <w:t>温度计接口</w:t>
                  </w:r>
                </w:p>
              </w:tc>
              <w:tc>
                <w:tcPr>
                  <w:tcW w:w="1368"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NS7026-93</w:t>
                  </w:r>
                </w:p>
              </w:tc>
              <w:tc>
                <w:tcPr>
                  <w:tcW w:w="607"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2</w:t>
                  </w:r>
                </w:p>
              </w:tc>
              <w:tc>
                <w:tcPr>
                  <w:tcW w:w="1616" w:type="pct"/>
                  <w:tcBorders>
                    <w:top w:val="single" w:color="auto" w:sz="2" w:space="0"/>
                    <w:left w:val="single" w:color="auto" w:sz="2" w:space="0"/>
                    <w:bottom w:val="single" w:color="auto" w:sz="2" w:space="0"/>
                    <w:right w:val="nil"/>
                  </w:tcBorders>
                  <w:vAlign w:val="center"/>
                </w:tcPr>
                <w:p>
                  <w:pPr>
                    <w:adjustRightInd w:val="0"/>
                    <w:snapToGrid w:val="0"/>
                    <w:jc w:val="center"/>
                    <w:rPr>
                      <w:szCs w:val="21"/>
                    </w:rPr>
                  </w:pPr>
                  <w:r>
                    <w:rPr>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292" w:type="pct"/>
                  <w:vMerge w:val="continue"/>
                  <w:tcBorders>
                    <w:left w:val="nil"/>
                    <w:right w:val="single" w:color="auto" w:sz="4" w:space="0"/>
                  </w:tcBorders>
                  <w:vAlign w:val="center"/>
                </w:tcPr>
                <w:p>
                  <w:pPr>
                    <w:widowControl/>
                    <w:adjustRightInd w:val="0"/>
                    <w:snapToGrid w:val="0"/>
                    <w:jc w:val="center"/>
                    <w:textAlignment w:val="center"/>
                    <w:rPr>
                      <w:kern w:val="0"/>
                      <w:szCs w:val="21"/>
                    </w:rPr>
                  </w:pPr>
                </w:p>
              </w:tc>
              <w:tc>
                <w:tcPr>
                  <w:tcW w:w="1114" w:type="pct"/>
                  <w:tcBorders>
                    <w:top w:val="single" w:color="auto" w:sz="2" w:space="0"/>
                    <w:left w:val="nil"/>
                    <w:bottom w:val="single" w:color="auto" w:sz="2" w:space="0"/>
                    <w:right w:val="single" w:color="auto" w:sz="2" w:space="0"/>
                  </w:tcBorders>
                  <w:vAlign w:val="center"/>
                </w:tcPr>
                <w:p>
                  <w:pPr>
                    <w:jc w:val="center"/>
                    <w:rPr>
                      <w:szCs w:val="21"/>
                    </w:rPr>
                  </w:pPr>
                  <w:r>
                    <w:rPr>
                      <w:szCs w:val="21"/>
                    </w:rPr>
                    <w:t>热电阻接口</w:t>
                  </w:r>
                </w:p>
              </w:tc>
              <w:tc>
                <w:tcPr>
                  <w:tcW w:w="1368"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NS7034-93</w:t>
                  </w:r>
                </w:p>
              </w:tc>
              <w:tc>
                <w:tcPr>
                  <w:tcW w:w="607"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5</w:t>
                  </w:r>
                </w:p>
              </w:tc>
              <w:tc>
                <w:tcPr>
                  <w:tcW w:w="1616" w:type="pct"/>
                  <w:tcBorders>
                    <w:top w:val="single" w:color="auto" w:sz="2" w:space="0"/>
                    <w:left w:val="single" w:color="auto" w:sz="2" w:space="0"/>
                    <w:bottom w:val="single" w:color="auto" w:sz="2" w:space="0"/>
                    <w:right w:val="nil"/>
                  </w:tcBorders>
                  <w:vAlign w:val="center"/>
                </w:tcPr>
                <w:p>
                  <w:pPr>
                    <w:adjustRightInd w:val="0"/>
                    <w:snapToGrid w:val="0"/>
                    <w:jc w:val="center"/>
                    <w:rPr>
                      <w:szCs w:val="21"/>
                    </w:rPr>
                  </w:pPr>
                  <w:r>
                    <w:rPr>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292" w:type="pct"/>
                  <w:vMerge w:val="continue"/>
                  <w:tcBorders>
                    <w:left w:val="nil"/>
                    <w:right w:val="single" w:color="auto" w:sz="4" w:space="0"/>
                  </w:tcBorders>
                  <w:vAlign w:val="center"/>
                </w:tcPr>
                <w:p>
                  <w:pPr>
                    <w:widowControl/>
                    <w:adjustRightInd w:val="0"/>
                    <w:snapToGrid w:val="0"/>
                    <w:jc w:val="center"/>
                    <w:textAlignment w:val="center"/>
                    <w:rPr>
                      <w:kern w:val="0"/>
                      <w:szCs w:val="21"/>
                    </w:rPr>
                  </w:pPr>
                </w:p>
              </w:tc>
              <w:tc>
                <w:tcPr>
                  <w:tcW w:w="1114" w:type="pct"/>
                  <w:tcBorders>
                    <w:top w:val="single" w:color="auto" w:sz="2" w:space="0"/>
                    <w:left w:val="nil"/>
                    <w:bottom w:val="single" w:color="auto" w:sz="2" w:space="0"/>
                    <w:right w:val="single" w:color="auto" w:sz="2" w:space="0"/>
                  </w:tcBorders>
                  <w:vAlign w:val="center"/>
                </w:tcPr>
                <w:p>
                  <w:pPr>
                    <w:jc w:val="center"/>
                    <w:rPr>
                      <w:szCs w:val="21"/>
                    </w:rPr>
                  </w:pPr>
                  <w:r>
                    <w:rPr>
                      <w:szCs w:val="21"/>
                    </w:rPr>
                    <w:t>缓冲管接口</w:t>
                  </w:r>
                </w:p>
              </w:tc>
              <w:tc>
                <w:tcPr>
                  <w:tcW w:w="1368"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NS7006-93</w:t>
                  </w:r>
                </w:p>
              </w:tc>
              <w:tc>
                <w:tcPr>
                  <w:tcW w:w="607"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2</w:t>
                  </w:r>
                </w:p>
              </w:tc>
              <w:tc>
                <w:tcPr>
                  <w:tcW w:w="1616" w:type="pct"/>
                  <w:tcBorders>
                    <w:top w:val="single" w:color="auto" w:sz="2" w:space="0"/>
                    <w:left w:val="single" w:color="auto" w:sz="2" w:space="0"/>
                    <w:bottom w:val="single" w:color="auto" w:sz="2" w:space="0"/>
                    <w:right w:val="nil"/>
                  </w:tcBorders>
                  <w:vAlign w:val="center"/>
                </w:tcPr>
                <w:p>
                  <w:pPr>
                    <w:adjustRightInd w:val="0"/>
                    <w:snapToGrid w:val="0"/>
                    <w:jc w:val="center"/>
                    <w:rPr>
                      <w:szCs w:val="21"/>
                    </w:rPr>
                  </w:pPr>
                  <w:r>
                    <w:rPr>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292" w:type="pct"/>
                  <w:vMerge w:val="continue"/>
                  <w:tcBorders>
                    <w:left w:val="nil"/>
                    <w:bottom w:val="single" w:color="auto" w:sz="2" w:space="0"/>
                    <w:right w:val="single" w:color="auto" w:sz="4" w:space="0"/>
                  </w:tcBorders>
                  <w:vAlign w:val="center"/>
                </w:tcPr>
                <w:p>
                  <w:pPr>
                    <w:widowControl/>
                    <w:adjustRightInd w:val="0"/>
                    <w:snapToGrid w:val="0"/>
                    <w:jc w:val="center"/>
                    <w:textAlignment w:val="center"/>
                    <w:rPr>
                      <w:kern w:val="0"/>
                      <w:szCs w:val="21"/>
                    </w:rPr>
                  </w:pPr>
                </w:p>
              </w:tc>
              <w:tc>
                <w:tcPr>
                  <w:tcW w:w="1114" w:type="pct"/>
                  <w:tcBorders>
                    <w:top w:val="single" w:color="auto" w:sz="2" w:space="0"/>
                    <w:left w:val="nil"/>
                    <w:bottom w:val="single" w:color="auto" w:sz="2" w:space="0"/>
                    <w:right w:val="single" w:color="auto" w:sz="2" w:space="0"/>
                  </w:tcBorders>
                  <w:vAlign w:val="center"/>
                </w:tcPr>
                <w:p>
                  <w:pPr>
                    <w:jc w:val="center"/>
                    <w:rPr>
                      <w:szCs w:val="21"/>
                    </w:rPr>
                  </w:pPr>
                  <w:r>
                    <w:rPr>
                      <w:szCs w:val="21"/>
                    </w:rPr>
                    <w:t>压力表截止阀</w:t>
                  </w:r>
                </w:p>
              </w:tc>
              <w:tc>
                <w:tcPr>
                  <w:tcW w:w="1368"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JJMI-C PN6.4 DN5</w:t>
                  </w:r>
                </w:p>
              </w:tc>
              <w:tc>
                <w:tcPr>
                  <w:tcW w:w="607"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kern w:val="0"/>
                      <w:szCs w:val="21"/>
                    </w:rPr>
                  </w:pPr>
                  <w:r>
                    <w:rPr>
                      <w:kern w:val="0"/>
                      <w:szCs w:val="21"/>
                    </w:rPr>
                    <w:t>2</w:t>
                  </w:r>
                </w:p>
              </w:tc>
              <w:tc>
                <w:tcPr>
                  <w:tcW w:w="1616" w:type="pct"/>
                  <w:tcBorders>
                    <w:top w:val="single" w:color="auto" w:sz="2" w:space="0"/>
                    <w:left w:val="single" w:color="auto" w:sz="2" w:space="0"/>
                    <w:bottom w:val="single" w:color="auto" w:sz="2" w:space="0"/>
                    <w:right w:val="nil"/>
                  </w:tcBorders>
                  <w:vAlign w:val="center"/>
                </w:tcPr>
                <w:p>
                  <w:pPr>
                    <w:adjustRightInd w:val="0"/>
                    <w:snapToGrid w:val="0"/>
                    <w:jc w:val="center"/>
                    <w:rPr>
                      <w:szCs w:val="21"/>
                    </w:rPr>
                  </w:pPr>
                  <w:r>
                    <w:rPr>
                      <w:szCs w:val="21"/>
                    </w:rPr>
                    <w:t>/</w:t>
                  </w:r>
                </w:p>
              </w:tc>
            </w:tr>
          </w:tbl>
          <w:p>
            <w:pPr>
              <w:adjustRightInd w:val="0"/>
              <w:snapToGrid w:val="0"/>
              <w:spacing w:beforeLines="20" w:line="360" w:lineRule="auto"/>
              <w:rPr>
                <w:b/>
                <w:sz w:val="24"/>
              </w:rPr>
            </w:pPr>
            <w:r>
              <w:rPr>
                <w:b/>
                <w:sz w:val="24"/>
              </w:rPr>
              <w:t>7、主要原辅材料</w:t>
            </w:r>
          </w:p>
          <w:p>
            <w:pPr>
              <w:tabs>
                <w:tab w:val="center" w:pos="4393"/>
                <w:tab w:val="left" w:pos="7140"/>
              </w:tabs>
              <w:spacing w:line="360" w:lineRule="auto"/>
              <w:ind w:firstLine="480" w:firstLineChars="200"/>
              <w:rPr>
                <w:sz w:val="24"/>
              </w:rPr>
            </w:pPr>
            <w:r>
              <w:rPr>
                <w:sz w:val="24"/>
              </w:rPr>
              <w:t>本项目主要原辅材料及年用量见下表：</w:t>
            </w:r>
          </w:p>
          <w:p>
            <w:pPr>
              <w:tabs>
                <w:tab w:val="center" w:pos="4393"/>
                <w:tab w:val="left" w:pos="7140"/>
              </w:tabs>
              <w:jc w:val="center"/>
              <w:rPr>
                <w:b/>
                <w:bCs/>
                <w:sz w:val="24"/>
              </w:rPr>
            </w:pPr>
            <w:r>
              <w:rPr>
                <w:b/>
                <w:bCs/>
                <w:sz w:val="24"/>
              </w:rPr>
              <w:t>表2-5  主要原辅材料消耗状况</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926"/>
              <w:gridCol w:w="2075"/>
              <w:gridCol w:w="1402"/>
              <w:gridCol w:w="1127"/>
              <w:gridCol w:w="1127"/>
              <w:gridCol w:w="113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9" w:type="pct"/>
                  <w:tcBorders>
                    <w:top w:val="single" w:color="auto" w:sz="12" w:space="0"/>
                    <w:bottom w:val="single" w:color="auto" w:sz="2" w:space="0"/>
                    <w:right w:val="single" w:color="auto" w:sz="2" w:space="0"/>
                  </w:tcBorders>
                  <w:vAlign w:val="center"/>
                </w:tcPr>
                <w:p>
                  <w:pPr>
                    <w:adjustRightInd w:val="0"/>
                    <w:snapToGrid w:val="0"/>
                    <w:jc w:val="center"/>
                    <w:rPr>
                      <w:szCs w:val="21"/>
                    </w:rPr>
                  </w:pPr>
                  <w:r>
                    <w:rPr>
                      <w:b/>
                      <w:bCs/>
                      <w:szCs w:val="21"/>
                    </w:rPr>
                    <w:t>序号</w:t>
                  </w:r>
                </w:p>
              </w:tc>
              <w:tc>
                <w:tcPr>
                  <w:tcW w:w="566" w:type="pct"/>
                  <w:tcBorders>
                    <w:top w:val="single" w:color="auto" w:sz="12" w:space="0"/>
                    <w:left w:val="single" w:color="auto" w:sz="2" w:space="0"/>
                    <w:bottom w:val="single" w:color="auto" w:sz="2" w:space="0"/>
                    <w:right w:val="single" w:color="auto" w:sz="2" w:space="0"/>
                  </w:tcBorders>
                  <w:vAlign w:val="center"/>
                </w:tcPr>
                <w:p>
                  <w:pPr>
                    <w:adjustRightInd w:val="0"/>
                    <w:snapToGrid w:val="0"/>
                    <w:jc w:val="center"/>
                    <w:rPr>
                      <w:szCs w:val="21"/>
                    </w:rPr>
                  </w:pPr>
                  <w:r>
                    <w:rPr>
                      <w:b/>
                      <w:bCs/>
                      <w:szCs w:val="21"/>
                    </w:rPr>
                    <w:t>名称</w:t>
                  </w:r>
                </w:p>
              </w:tc>
              <w:tc>
                <w:tcPr>
                  <w:tcW w:w="1264" w:type="pct"/>
                  <w:tcBorders>
                    <w:top w:val="single" w:color="auto" w:sz="12" w:space="0"/>
                    <w:left w:val="single" w:color="auto" w:sz="2" w:space="0"/>
                    <w:bottom w:val="single" w:color="auto" w:sz="2" w:space="0"/>
                  </w:tcBorders>
                  <w:vAlign w:val="center"/>
                </w:tcPr>
                <w:p>
                  <w:pPr>
                    <w:adjustRightInd w:val="0"/>
                    <w:snapToGrid w:val="0"/>
                    <w:jc w:val="center"/>
                    <w:rPr>
                      <w:szCs w:val="21"/>
                    </w:rPr>
                  </w:pPr>
                  <w:r>
                    <w:rPr>
                      <w:b/>
                      <w:bCs/>
                      <w:szCs w:val="21"/>
                    </w:rPr>
                    <w:t>规格、成分</w:t>
                  </w:r>
                </w:p>
              </w:tc>
              <w:tc>
                <w:tcPr>
                  <w:tcW w:w="855" w:type="pct"/>
                  <w:tcBorders>
                    <w:top w:val="single" w:color="auto" w:sz="12" w:space="0"/>
                    <w:left w:val="single" w:color="auto" w:sz="2" w:space="0"/>
                    <w:bottom w:val="single" w:color="auto" w:sz="2" w:space="0"/>
                  </w:tcBorders>
                  <w:vAlign w:val="center"/>
                </w:tcPr>
                <w:p>
                  <w:pPr>
                    <w:adjustRightInd w:val="0"/>
                    <w:snapToGrid w:val="0"/>
                    <w:jc w:val="center"/>
                    <w:rPr>
                      <w:szCs w:val="21"/>
                    </w:rPr>
                  </w:pPr>
                  <w:r>
                    <w:rPr>
                      <w:b/>
                      <w:bCs/>
                      <w:szCs w:val="21"/>
                    </w:rPr>
                    <w:t>消耗量</w:t>
                  </w:r>
                </w:p>
              </w:tc>
              <w:tc>
                <w:tcPr>
                  <w:tcW w:w="688" w:type="pct"/>
                  <w:tcBorders>
                    <w:top w:val="single" w:color="auto" w:sz="12" w:space="0"/>
                    <w:bottom w:val="single" w:color="auto" w:sz="2" w:space="0"/>
                  </w:tcBorders>
                  <w:vAlign w:val="center"/>
                </w:tcPr>
                <w:p>
                  <w:pPr>
                    <w:adjustRightInd w:val="0"/>
                    <w:snapToGrid w:val="0"/>
                    <w:jc w:val="center"/>
                    <w:rPr>
                      <w:b/>
                      <w:bCs/>
                      <w:szCs w:val="21"/>
                    </w:rPr>
                  </w:pPr>
                  <w:r>
                    <w:rPr>
                      <w:b/>
                      <w:bCs/>
                      <w:szCs w:val="21"/>
                    </w:rPr>
                    <w:t>包装规格</w:t>
                  </w:r>
                </w:p>
              </w:tc>
              <w:tc>
                <w:tcPr>
                  <w:tcW w:w="688" w:type="pct"/>
                  <w:tcBorders>
                    <w:top w:val="single" w:color="auto" w:sz="12" w:space="0"/>
                    <w:bottom w:val="single" w:color="auto" w:sz="2" w:space="0"/>
                  </w:tcBorders>
                  <w:vAlign w:val="center"/>
                </w:tcPr>
                <w:p>
                  <w:pPr>
                    <w:adjustRightInd w:val="0"/>
                    <w:snapToGrid w:val="0"/>
                    <w:jc w:val="center"/>
                    <w:rPr>
                      <w:szCs w:val="21"/>
                    </w:rPr>
                  </w:pPr>
                  <w:r>
                    <w:rPr>
                      <w:b/>
                      <w:bCs/>
                      <w:szCs w:val="21"/>
                    </w:rPr>
                    <w:t>最大储存量</w:t>
                  </w:r>
                </w:p>
              </w:tc>
              <w:tc>
                <w:tcPr>
                  <w:tcW w:w="695" w:type="pct"/>
                  <w:tcBorders>
                    <w:top w:val="single" w:color="auto" w:sz="12" w:space="0"/>
                    <w:bottom w:val="single" w:color="auto" w:sz="2" w:space="0"/>
                  </w:tcBorders>
                  <w:vAlign w:val="center"/>
                </w:tcPr>
                <w:p>
                  <w:pPr>
                    <w:adjustRightInd w:val="0"/>
                    <w:snapToGrid w:val="0"/>
                    <w:jc w:val="center"/>
                    <w:rPr>
                      <w:szCs w:val="21"/>
                    </w:rPr>
                  </w:pPr>
                  <w:r>
                    <w:rPr>
                      <w:b/>
                      <w:bCs/>
                      <w:szCs w:val="21"/>
                    </w:rPr>
                    <w:t>来源及运输方式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9" w:type="pct"/>
                  <w:tcBorders>
                    <w:right w:val="single" w:color="auto" w:sz="2" w:space="0"/>
                  </w:tcBorders>
                  <w:vAlign w:val="center"/>
                </w:tcPr>
                <w:p>
                  <w:pPr>
                    <w:widowControl/>
                    <w:adjustRightInd w:val="0"/>
                    <w:snapToGrid w:val="0"/>
                    <w:jc w:val="center"/>
                    <w:textAlignment w:val="center"/>
                    <w:rPr>
                      <w:kern w:val="0"/>
                      <w:szCs w:val="21"/>
                    </w:rPr>
                  </w:pPr>
                  <w:r>
                    <w:rPr>
                      <w:kern w:val="0"/>
                      <w:szCs w:val="21"/>
                    </w:rPr>
                    <w:t>1</w:t>
                  </w:r>
                </w:p>
              </w:tc>
              <w:tc>
                <w:tcPr>
                  <w:tcW w:w="566" w:type="pct"/>
                  <w:tcBorders>
                    <w:left w:val="single" w:color="auto" w:sz="2" w:space="0"/>
                  </w:tcBorders>
                  <w:vAlign w:val="center"/>
                </w:tcPr>
                <w:p>
                  <w:pPr>
                    <w:adjustRightInd w:val="0"/>
                    <w:snapToGrid w:val="0"/>
                    <w:jc w:val="center"/>
                    <w:rPr>
                      <w:szCs w:val="21"/>
                    </w:rPr>
                  </w:pPr>
                  <w:r>
                    <w:rPr>
                      <w:szCs w:val="21"/>
                    </w:rPr>
                    <w:t>天然气</w:t>
                  </w:r>
                </w:p>
              </w:tc>
              <w:tc>
                <w:tcPr>
                  <w:tcW w:w="1264" w:type="pct"/>
                  <w:vAlign w:val="center"/>
                </w:tcPr>
                <w:p>
                  <w:pPr>
                    <w:adjustRightInd w:val="0"/>
                    <w:snapToGrid w:val="0"/>
                    <w:jc w:val="center"/>
                    <w:rPr>
                      <w:szCs w:val="21"/>
                    </w:rPr>
                  </w:pPr>
                  <w:r>
                    <w:rPr>
                      <w:szCs w:val="21"/>
                    </w:rPr>
                    <w:t>甲烷、乙烷等</w:t>
                  </w:r>
                  <w:r>
                    <w:fldChar w:fldCharType="begin"/>
                  </w:r>
                  <w:r>
                    <w:instrText xml:space="preserve"> HYPERLINK "https://baike.baidu.com/item/%E7%83%83" \t "https://baike.baidu.com/item/%E5%A4%A9%E7%84%B6%E6%B0%94/_blank" </w:instrText>
                  </w:r>
                  <w:r>
                    <w:fldChar w:fldCharType="separate"/>
                  </w:r>
                  <w:r>
                    <w:rPr>
                      <w:szCs w:val="21"/>
                    </w:rPr>
                    <w:t>烃</w:t>
                  </w:r>
                  <w:r>
                    <w:rPr>
                      <w:szCs w:val="21"/>
                    </w:rPr>
                    <w:fldChar w:fldCharType="end"/>
                  </w:r>
                  <w:r>
                    <w:rPr>
                      <w:szCs w:val="21"/>
                    </w:rPr>
                    <w:t>类和非烃类气体的混合物</w:t>
                  </w:r>
                </w:p>
              </w:tc>
              <w:tc>
                <w:tcPr>
                  <w:tcW w:w="855" w:type="pct"/>
                  <w:vAlign w:val="center"/>
                </w:tcPr>
                <w:p>
                  <w:pPr>
                    <w:adjustRightInd w:val="0"/>
                    <w:snapToGrid w:val="0"/>
                    <w:jc w:val="center"/>
                    <w:rPr>
                      <w:szCs w:val="21"/>
                    </w:rPr>
                  </w:pPr>
                  <w:r>
                    <w:rPr>
                      <w:szCs w:val="21"/>
                    </w:rPr>
                    <w:t>120万立方米/年</w:t>
                  </w:r>
                </w:p>
              </w:tc>
              <w:tc>
                <w:tcPr>
                  <w:tcW w:w="688" w:type="pct"/>
                  <w:vAlign w:val="center"/>
                </w:tcPr>
                <w:p>
                  <w:pPr>
                    <w:adjustRightInd w:val="0"/>
                    <w:snapToGrid w:val="0"/>
                    <w:jc w:val="center"/>
                    <w:rPr>
                      <w:szCs w:val="21"/>
                    </w:rPr>
                  </w:pPr>
                  <w:r>
                    <w:rPr>
                      <w:szCs w:val="21"/>
                    </w:rPr>
                    <w:t>/</w:t>
                  </w:r>
                </w:p>
              </w:tc>
              <w:tc>
                <w:tcPr>
                  <w:tcW w:w="688" w:type="pct"/>
                  <w:vAlign w:val="center"/>
                </w:tcPr>
                <w:p>
                  <w:pPr>
                    <w:adjustRightInd w:val="0"/>
                    <w:snapToGrid w:val="0"/>
                    <w:jc w:val="center"/>
                    <w:rPr>
                      <w:szCs w:val="21"/>
                    </w:rPr>
                  </w:pPr>
                  <w:r>
                    <w:rPr>
                      <w:szCs w:val="21"/>
                    </w:rPr>
                    <w:t>厂内不储存</w:t>
                  </w:r>
                </w:p>
              </w:tc>
              <w:tc>
                <w:tcPr>
                  <w:tcW w:w="695" w:type="pct"/>
                  <w:vAlign w:val="center"/>
                </w:tcPr>
                <w:p>
                  <w:pPr>
                    <w:adjustRightInd w:val="0"/>
                    <w:snapToGrid w:val="0"/>
                    <w:jc w:val="center"/>
                    <w:rPr>
                      <w:szCs w:val="21"/>
                    </w:rPr>
                  </w:pPr>
                  <w:r>
                    <w:rPr>
                      <w:szCs w:val="21"/>
                    </w:rPr>
                    <w:t>天然气管道运输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9" w:type="pct"/>
                  <w:tcBorders>
                    <w:right w:val="single" w:color="auto" w:sz="2" w:space="0"/>
                  </w:tcBorders>
                  <w:vAlign w:val="center"/>
                </w:tcPr>
                <w:p>
                  <w:pPr>
                    <w:widowControl/>
                    <w:adjustRightInd w:val="0"/>
                    <w:snapToGrid w:val="0"/>
                    <w:jc w:val="center"/>
                    <w:textAlignment w:val="center"/>
                    <w:rPr>
                      <w:kern w:val="0"/>
                      <w:szCs w:val="21"/>
                    </w:rPr>
                  </w:pPr>
                  <w:r>
                    <w:rPr>
                      <w:kern w:val="0"/>
                      <w:szCs w:val="21"/>
                    </w:rPr>
                    <w:t>2</w:t>
                  </w:r>
                </w:p>
              </w:tc>
              <w:tc>
                <w:tcPr>
                  <w:tcW w:w="566" w:type="pct"/>
                  <w:tcBorders>
                    <w:left w:val="single" w:color="auto" w:sz="2" w:space="0"/>
                  </w:tcBorders>
                  <w:vAlign w:val="center"/>
                </w:tcPr>
                <w:p>
                  <w:pPr>
                    <w:adjustRightInd w:val="0"/>
                    <w:snapToGrid w:val="0"/>
                    <w:jc w:val="center"/>
                    <w:rPr>
                      <w:szCs w:val="21"/>
                    </w:rPr>
                  </w:pPr>
                  <w:r>
                    <w:rPr>
                      <w:szCs w:val="21"/>
                    </w:rPr>
                    <w:t>导热油</w:t>
                  </w:r>
                </w:p>
              </w:tc>
              <w:tc>
                <w:tcPr>
                  <w:tcW w:w="1264" w:type="pct"/>
                  <w:vAlign w:val="center"/>
                </w:tcPr>
                <w:p>
                  <w:pPr>
                    <w:adjustRightInd w:val="0"/>
                    <w:snapToGrid w:val="0"/>
                    <w:jc w:val="center"/>
                    <w:rPr>
                      <w:szCs w:val="21"/>
                    </w:rPr>
                  </w:pPr>
                  <w:r>
                    <w:rPr>
                      <w:szCs w:val="21"/>
                    </w:rPr>
                    <w:t>矿物油</w:t>
                  </w:r>
                </w:p>
              </w:tc>
              <w:tc>
                <w:tcPr>
                  <w:tcW w:w="855" w:type="pct"/>
                  <w:vAlign w:val="center"/>
                </w:tcPr>
                <w:p>
                  <w:pPr>
                    <w:adjustRightInd w:val="0"/>
                    <w:snapToGrid w:val="0"/>
                    <w:jc w:val="center"/>
                    <w:rPr>
                      <w:szCs w:val="21"/>
                    </w:rPr>
                  </w:pPr>
                  <w:r>
                    <w:rPr>
                      <w:szCs w:val="21"/>
                    </w:rPr>
                    <w:t>25.5吨/年</w:t>
                  </w:r>
                </w:p>
              </w:tc>
              <w:tc>
                <w:tcPr>
                  <w:tcW w:w="688" w:type="pct"/>
                  <w:vAlign w:val="center"/>
                </w:tcPr>
                <w:p>
                  <w:pPr>
                    <w:adjustRightInd w:val="0"/>
                    <w:snapToGrid w:val="0"/>
                    <w:jc w:val="center"/>
                    <w:rPr>
                      <w:szCs w:val="21"/>
                    </w:rPr>
                  </w:pPr>
                  <w:r>
                    <w:rPr>
                      <w:szCs w:val="21"/>
                    </w:rPr>
                    <w:t>170kg/桶</w:t>
                  </w:r>
                </w:p>
              </w:tc>
              <w:tc>
                <w:tcPr>
                  <w:tcW w:w="688" w:type="pct"/>
                  <w:vAlign w:val="center"/>
                </w:tcPr>
                <w:p>
                  <w:pPr>
                    <w:adjustRightInd w:val="0"/>
                    <w:snapToGrid w:val="0"/>
                    <w:jc w:val="center"/>
                    <w:rPr>
                      <w:szCs w:val="21"/>
                    </w:rPr>
                  </w:pPr>
                  <w:r>
                    <w:rPr>
                      <w:szCs w:val="21"/>
                    </w:rPr>
                    <w:t>3.4吨</w:t>
                  </w:r>
                </w:p>
              </w:tc>
              <w:tc>
                <w:tcPr>
                  <w:tcW w:w="695" w:type="pct"/>
                  <w:vAlign w:val="center"/>
                </w:tcPr>
                <w:p>
                  <w:pPr>
                    <w:adjustRightInd w:val="0"/>
                    <w:snapToGrid w:val="0"/>
                    <w:jc w:val="center"/>
                    <w:rPr>
                      <w:szCs w:val="21"/>
                    </w:rPr>
                  </w:pPr>
                  <w:r>
                    <w:rPr>
                      <w:szCs w:val="21"/>
                    </w:rPr>
                    <w:t>国内</w:t>
                  </w:r>
                </w:p>
                <w:p>
                  <w:pPr>
                    <w:adjustRightInd w:val="0"/>
                    <w:snapToGrid w:val="0"/>
                    <w:jc w:val="center"/>
                    <w:rPr>
                      <w:szCs w:val="21"/>
                    </w:rPr>
                  </w:pPr>
                  <w:r>
                    <w:rPr>
                      <w:szCs w:val="21"/>
                    </w:rPr>
                    <w:t>汽运</w:t>
                  </w:r>
                </w:p>
              </w:tc>
            </w:tr>
          </w:tbl>
          <w:p>
            <w:pPr>
              <w:jc w:val="center"/>
              <w:rPr>
                <w:b/>
                <w:sz w:val="24"/>
              </w:rPr>
            </w:pPr>
            <w:r>
              <w:rPr>
                <w:b/>
                <w:sz w:val="24"/>
              </w:rPr>
              <w:t>表2-6  原辅材料理化性质</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997"/>
              <w:gridCol w:w="956"/>
              <w:gridCol w:w="3376"/>
              <w:gridCol w:w="208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95" w:type="pct"/>
                  <w:vAlign w:val="center"/>
                </w:tcPr>
                <w:p>
                  <w:pPr>
                    <w:adjustRightInd w:val="0"/>
                    <w:snapToGrid w:val="0"/>
                    <w:jc w:val="center"/>
                    <w:rPr>
                      <w:b/>
                      <w:bCs/>
                      <w:szCs w:val="21"/>
                    </w:rPr>
                  </w:pPr>
                  <w:r>
                    <w:rPr>
                      <w:b/>
                      <w:bCs/>
                      <w:szCs w:val="21"/>
                    </w:rPr>
                    <w:t>序号</w:t>
                  </w:r>
                </w:p>
              </w:tc>
              <w:tc>
                <w:tcPr>
                  <w:tcW w:w="606" w:type="pct"/>
                  <w:vAlign w:val="center"/>
                </w:tcPr>
                <w:p>
                  <w:pPr>
                    <w:adjustRightInd w:val="0"/>
                    <w:snapToGrid w:val="0"/>
                    <w:jc w:val="center"/>
                    <w:rPr>
                      <w:b/>
                      <w:bCs/>
                      <w:szCs w:val="21"/>
                    </w:rPr>
                  </w:pPr>
                  <w:r>
                    <w:rPr>
                      <w:b/>
                      <w:bCs/>
                      <w:szCs w:val="21"/>
                    </w:rPr>
                    <w:t>名称</w:t>
                  </w:r>
                </w:p>
              </w:tc>
              <w:tc>
                <w:tcPr>
                  <w:tcW w:w="581" w:type="pct"/>
                  <w:vAlign w:val="center"/>
                </w:tcPr>
                <w:p>
                  <w:pPr>
                    <w:pStyle w:val="51"/>
                    <w:adjustRightInd w:val="0"/>
                    <w:snapToGrid w:val="0"/>
                    <w:rPr>
                      <w:rFonts w:ascii="Times New Roman" w:hAnsi="Times New Roman"/>
                      <w:b/>
                      <w:szCs w:val="21"/>
                    </w:rPr>
                  </w:pPr>
                  <w:r>
                    <w:rPr>
                      <w:rFonts w:ascii="Times New Roman" w:hAnsi="Times New Roman"/>
                      <w:b/>
                      <w:szCs w:val="21"/>
                    </w:rPr>
                    <w:t>CAS号</w:t>
                  </w:r>
                </w:p>
              </w:tc>
              <w:tc>
                <w:tcPr>
                  <w:tcW w:w="2052" w:type="pct"/>
                  <w:vAlign w:val="center"/>
                </w:tcPr>
                <w:p>
                  <w:pPr>
                    <w:adjustRightInd w:val="0"/>
                    <w:snapToGrid w:val="0"/>
                    <w:jc w:val="center"/>
                    <w:rPr>
                      <w:b/>
                      <w:bCs/>
                      <w:szCs w:val="21"/>
                    </w:rPr>
                  </w:pPr>
                  <w:r>
                    <w:rPr>
                      <w:b/>
                      <w:bCs/>
                      <w:szCs w:val="21"/>
                    </w:rPr>
                    <w:t>理化性质</w:t>
                  </w:r>
                </w:p>
              </w:tc>
              <w:tc>
                <w:tcPr>
                  <w:tcW w:w="1264" w:type="pct"/>
                  <w:vAlign w:val="center"/>
                </w:tcPr>
                <w:p>
                  <w:pPr>
                    <w:adjustRightInd w:val="0"/>
                    <w:snapToGrid w:val="0"/>
                    <w:jc w:val="center"/>
                    <w:rPr>
                      <w:b/>
                      <w:bCs/>
                      <w:szCs w:val="21"/>
                    </w:rPr>
                  </w:pPr>
                  <w:r>
                    <w:rPr>
                      <w:b/>
                      <w:bCs/>
                      <w:szCs w:val="21"/>
                    </w:rPr>
                    <w:t>毒性毒理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95" w:type="pct"/>
                  <w:vAlign w:val="center"/>
                </w:tcPr>
                <w:p>
                  <w:pPr>
                    <w:adjustRightInd w:val="0"/>
                    <w:snapToGrid w:val="0"/>
                    <w:jc w:val="center"/>
                    <w:rPr>
                      <w:szCs w:val="21"/>
                    </w:rPr>
                  </w:pPr>
                  <w:r>
                    <w:rPr>
                      <w:szCs w:val="21"/>
                    </w:rPr>
                    <w:t>1</w:t>
                  </w:r>
                </w:p>
              </w:tc>
              <w:tc>
                <w:tcPr>
                  <w:tcW w:w="606" w:type="pct"/>
                  <w:vAlign w:val="center"/>
                </w:tcPr>
                <w:p>
                  <w:pPr>
                    <w:adjustRightInd w:val="0"/>
                    <w:snapToGrid w:val="0"/>
                    <w:jc w:val="center"/>
                    <w:rPr>
                      <w:szCs w:val="21"/>
                    </w:rPr>
                  </w:pPr>
                  <w:r>
                    <w:rPr>
                      <w:szCs w:val="21"/>
                    </w:rPr>
                    <w:t>甲烷</w:t>
                  </w:r>
                </w:p>
              </w:tc>
              <w:tc>
                <w:tcPr>
                  <w:tcW w:w="581" w:type="pct"/>
                  <w:vAlign w:val="center"/>
                </w:tcPr>
                <w:p>
                  <w:pPr>
                    <w:adjustRightInd w:val="0"/>
                    <w:snapToGrid w:val="0"/>
                    <w:jc w:val="center"/>
                    <w:rPr>
                      <w:szCs w:val="21"/>
                    </w:rPr>
                  </w:pPr>
                  <w:r>
                    <w:rPr>
                      <w:szCs w:val="21"/>
                    </w:rPr>
                    <w:t>/</w:t>
                  </w:r>
                </w:p>
              </w:tc>
              <w:tc>
                <w:tcPr>
                  <w:tcW w:w="2052" w:type="pct"/>
                  <w:vAlign w:val="center"/>
                </w:tcPr>
                <w:p>
                  <w:pPr>
                    <w:adjustRightInd w:val="0"/>
                    <w:snapToGrid w:val="0"/>
                    <w:jc w:val="center"/>
                    <w:rPr>
                      <w:szCs w:val="21"/>
                    </w:rPr>
                  </w:pPr>
                  <w:r>
                    <w:rPr>
                      <w:szCs w:val="21"/>
                    </w:rPr>
                    <w:t>甲烷是一种有机化合物，分子式是CH</w:t>
                  </w:r>
                  <w:r>
                    <w:rPr>
                      <w:szCs w:val="21"/>
                      <w:vertAlign w:val="subscript"/>
                    </w:rPr>
                    <w:t>4</w:t>
                  </w:r>
                  <w:r>
                    <w:rPr>
                      <w:szCs w:val="21"/>
                    </w:rPr>
                    <w:t>，分子量为16.043。甲烷是最简单的有机物，也是含碳量最小（含氢量最大）的</w:t>
                  </w:r>
                  <w:r>
                    <w:fldChar w:fldCharType="begin"/>
                  </w:r>
                  <w:r>
                    <w:instrText xml:space="preserve"> HYPERLINK "https://baike.baidu.com/item/%E7%83%83/646808" \t "https://baike.baidu.com/item/%E7%94%B2%E7%83%B7/_blank" </w:instrText>
                  </w:r>
                  <w:r>
                    <w:fldChar w:fldCharType="separate"/>
                  </w:r>
                  <w:r>
                    <w:rPr>
                      <w:szCs w:val="21"/>
                    </w:rPr>
                    <w:t>烃</w:t>
                  </w:r>
                  <w:r>
                    <w:rPr>
                      <w:szCs w:val="21"/>
                    </w:rPr>
                    <w:fldChar w:fldCharType="end"/>
                  </w:r>
                  <w:r>
                    <w:rPr>
                      <w:szCs w:val="21"/>
                    </w:rPr>
                    <w:t>。在标准状态下甲烷是一种无色无味气体。</w:t>
                  </w:r>
                </w:p>
              </w:tc>
              <w:tc>
                <w:tcPr>
                  <w:tcW w:w="1264" w:type="pct"/>
                  <w:vAlign w:val="center"/>
                </w:tcPr>
                <w:p>
                  <w:pPr>
                    <w:adjustRightInd w:val="0"/>
                    <w:snapToGrid w:val="0"/>
                    <w:jc w:val="center"/>
                    <w:rPr>
                      <w:szCs w:val="21"/>
                    </w:rPr>
                  </w:pPr>
                  <w:r>
                    <w:rPr>
                      <w:szCs w:val="21"/>
                    </w:rPr>
                    <w:t>小鼠吸入2%浓度×60分钟，麻醉作用；兔吸入2%浓度×60分钟，麻醉作用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95" w:type="pct"/>
                  <w:vAlign w:val="center"/>
                </w:tcPr>
                <w:p>
                  <w:pPr>
                    <w:adjustRightInd w:val="0"/>
                    <w:snapToGrid w:val="0"/>
                    <w:jc w:val="center"/>
                    <w:rPr>
                      <w:szCs w:val="21"/>
                    </w:rPr>
                  </w:pPr>
                  <w:r>
                    <w:rPr>
                      <w:szCs w:val="21"/>
                    </w:rPr>
                    <w:t>2</w:t>
                  </w:r>
                </w:p>
              </w:tc>
              <w:tc>
                <w:tcPr>
                  <w:tcW w:w="606" w:type="pct"/>
                  <w:vAlign w:val="center"/>
                </w:tcPr>
                <w:p>
                  <w:pPr>
                    <w:adjustRightInd w:val="0"/>
                    <w:snapToGrid w:val="0"/>
                    <w:jc w:val="center"/>
                    <w:rPr>
                      <w:szCs w:val="21"/>
                    </w:rPr>
                  </w:pPr>
                  <w:r>
                    <w:rPr>
                      <w:szCs w:val="21"/>
                    </w:rPr>
                    <w:t>乙烷</w:t>
                  </w:r>
                </w:p>
              </w:tc>
              <w:tc>
                <w:tcPr>
                  <w:tcW w:w="581" w:type="pct"/>
                  <w:vAlign w:val="center"/>
                </w:tcPr>
                <w:p>
                  <w:pPr>
                    <w:adjustRightInd w:val="0"/>
                    <w:snapToGrid w:val="0"/>
                    <w:jc w:val="center"/>
                    <w:rPr>
                      <w:szCs w:val="21"/>
                    </w:rPr>
                  </w:pPr>
                  <w:r>
                    <w:rPr>
                      <w:szCs w:val="21"/>
                    </w:rPr>
                    <w:t>/</w:t>
                  </w:r>
                </w:p>
              </w:tc>
              <w:tc>
                <w:tcPr>
                  <w:tcW w:w="2052" w:type="pct"/>
                  <w:vAlign w:val="center"/>
                </w:tcPr>
                <w:p>
                  <w:pPr>
                    <w:adjustRightInd w:val="0"/>
                    <w:snapToGrid w:val="0"/>
                    <w:jc w:val="center"/>
                    <w:rPr>
                      <w:szCs w:val="21"/>
                    </w:rPr>
                  </w:pPr>
                  <w:r>
                    <w:rPr>
                      <w:szCs w:val="21"/>
                    </w:rPr>
                    <w:t>乙烷是为最简单的含碳-碳单键的烃，分子式是C</w:t>
                  </w:r>
                  <w:r>
                    <w:rPr>
                      <w:szCs w:val="21"/>
                      <w:vertAlign w:val="subscript"/>
                    </w:rPr>
                    <w:t>2</w:t>
                  </w:r>
                  <w:r>
                    <w:rPr>
                      <w:szCs w:val="21"/>
                    </w:rPr>
                    <w:t>H</w:t>
                  </w:r>
                  <w:r>
                    <w:rPr>
                      <w:szCs w:val="21"/>
                      <w:vertAlign w:val="subscript"/>
                    </w:rPr>
                    <w:t>6</w:t>
                  </w:r>
                  <w:r>
                    <w:rPr>
                      <w:szCs w:val="21"/>
                    </w:rPr>
                    <w:t>。在标准状态下乙烷是一种无色无臭气体，不溶于水，微溶于乙醇、丙酮，溶于苯，与四氯化碳互溶。</w:t>
                  </w:r>
                </w:p>
              </w:tc>
              <w:tc>
                <w:tcPr>
                  <w:tcW w:w="1264" w:type="pct"/>
                  <w:vAlign w:val="center"/>
                </w:tcPr>
                <w:p>
                  <w:pPr>
                    <w:jc w:val="center"/>
                    <w:rPr>
                      <w:szCs w:val="21"/>
                      <w:shd w:val="clear" w:color="auto" w:fill="FFFFFF"/>
                    </w:rPr>
                  </w:pPr>
                  <w:r>
                    <w:rPr>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95" w:type="pct"/>
                  <w:vAlign w:val="center"/>
                </w:tcPr>
                <w:p>
                  <w:pPr>
                    <w:adjustRightInd w:val="0"/>
                    <w:snapToGrid w:val="0"/>
                    <w:jc w:val="center"/>
                    <w:rPr>
                      <w:szCs w:val="21"/>
                    </w:rPr>
                  </w:pPr>
                  <w:r>
                    <w:rPr>
                      <w:szCs w:val="21"/>
                    </w:rPr>
                    <w:t>3</w:t>
                  </w:r>
                </w:p>
              </w:tc>
              <w:tc>
                <w:tcPr>
                  <w:tcW w:w="606" w:type="pct"/>
                  <w:vAlign w:val="center"/>
                </w:tcPr>
                <w:p>
                  <w:pPr>
                    <w:adjustRightInd w:val="0"/>
                    <w:snapToGrid w:val="0"/>
                    <w:jc w:val="center"/>
                    <w:rPr>
                      <w:szCs w:val="21"/>
                    </w:rPr>
                  </w:pPr>
                  <w:r>
                    <w:rPr>
                      <w:szCs w:val="21"/>
                    </w:rPr>
                    <w:t>导热油</w:t>
                  </w:r>
                </w:p>
              </w:tc>
              <w:tc>
                <w:tcPr>
                  <w:tcW w:w="581" w:type="pct"/>
                  <w:vAlign w:val="center"/>
                </w:tcPr>
                <w:p>
                  <w:pPr>
                    <w:adjustRightInd w:val="0"/>
                    <w:snapToGrid w:val="0"/>
                    <w:jc w:val="center"/>
                    <w:rPr>
                      <w:szCs w:val="21"/>
                    </w:rPr>
                  </w:pPr>
                  <w:r>
                    <w:rPr>
                      <w:szCs w:val="21"/>
                    </w:rPr>
                    <w:t>/</w:t>
                  </w:r>
                </w:p>
              </w:tc>
              <w:tc>
                <w:tcPr>
                  <w:tcW w:w="2052" w:type="pct"/>
                  <w:vAlign w:val="center"/>
                </w:tcPr>
                <w:p>
                  <w:pPr>
                    <w:adjustRightInd w:val="0"/>
                    <w:snapToGrid w:val="0"/>
                    <w:jc w:val="center"/>
                    <w:rPr>
                      <w:szCs w:val="21"/>
                    </w:rPr>
                  </w:pPr>
                  <w:r>
                    <w:rPr>
                      <w:szCs w:val="21"/>
                    </w:rPr>
                    <w:t>导热油是一种用于间接传递热量的一类热稳定性较好的专用油品，传热效率好，散热快，热稳定性很好，结焦少，使用寿命较长。</w:t>
                  </w:r>
                </w:p>
              </w:tc>
              <w:tc>
                <w:tcPr>
                  <w:tcW w:w="1264" w:type="pct"/>
                  <w:vAlign w:val="center"/>
                </w:tcPr>
                <w:p>
                  <w:pPr>
                    <w:jc w:val="center"/>
                    <w:rPr>
                      <w:szCs w:val="21"/>
                      <w:shd w:val="clear" w:color="auto" w:fill="FFFFFF"/>
                    </w:rPr>
                  </w:pPr>
                  <w:r>
                    <w:rPr>
                      <w:szCs w:val="21"/>
                    </w:rPr>
                    <w:t>--</w:t>
                  </w:r>
                </w:p>
              </w:tc>
            </w:tr>
          </w:tbl>
          <w:p>
            <w:pPr>
              <w:adjustRightInd w:val="0"/>
              <w:snapToGrid w:val="0"/>
              <w:spacing w:line="360" w:lineRule="auto"/>
              <w:rPr>
                <w:b/>
                <w:sz w:val="24"/>
              </w:rPr>
            </w:pPr>
            <w:r>
              <w:rPr>
                <w:b/>
                <w:sz w:val="24"/>
              </w:rPr>
              <w:t>8、给排水</w:t>
            </w:r>
          </w:p>
          <w:p>
            <w:pPr>
              <w:adjustRightInd w:val="0"/>
              <w:snapToGrid w:val="0"/>
              <w:spacing w:line="360" w:lineRule="auto"/>
              <w:ind w:firstLine="480" w:firstLineChars="200"/>
              <w:jc w:val="left"/>
              <w:rPr>
                <w:b/>
                <w:sz w:val="24"/>
              </w:rPr>
            </w:pPr>
            <w:r>
              <w:rPr>
                <w:sz w:val="24"/>
              </w:rPr>
              <w:t>本项目不新增职工，不新增生活用水；本项目无生产用水。</w:t>
            </w:r>
          </w:p>
          <w:p>
            <w:pPr>
              <w:adjustRightInd w:val="0"/>
              <w:snapToGrid w:val="0"/>
              <w:spacing w:line="360" w:lineRule="auto"/>
              <w:rPr>
                <w:b/>
                <w:sz w:val="24"/>
              </w:rPr>
            </w:pPr>
            <w:r>
              <w:rPr>
                <w:b/>
                <w:sz w:val="24"/>
              </w:rPr>
              <w:t>9、生产制度、职工人数</w:t>
            </w:r>
          </w:p>
          <w:p>
            <w:pPr>
              <w:adjustRightInd w:val="0"/>
              <w:snapToGrid w:val="0"/>
              <w:spacing w:line="360" w:lineRule="auto"/>
              <w:ind w:firstLine="480" w:firstLineChars="200"/>
              <w:rPr>
                <w:sz w:val="24"/>
              </w:rPr>
            </w:pPr>
            <w:r>
              <w:rPr>
                <w:sz w:val="24"/>
              </w:rPr>
              <w:t>本项目不新增职工，从原有项目中调配，厂区总职工数为350人，一班制生产，8h/班，年工作日约300天，年工作2400小时。</w:t>
            </w:r>
          </w:p>
          <w:p>
            <w:pPr>
              <w:adjustRightInd w:val="0"/>
              <w:snapToGrid w:val="0"/>
              <w:spacing w:line="360" w:lineRule="auto"/>
              <w:rPr>
                <w:b/>
                <w:sz w:val="24"/>
              </w:rPr>
            </w:pPr>
            <w:r>
              <w:rPr>
                <w:b/>
                <w:sz w:val="24"/>
              </w:rPr>
              <w:t>10、厂区平面布置</w:t>
            </w:r>
          </w:p>
          <w:p>
            <w:pPr>
              <w:adjustRightInd w:val="0"/>
              <w:snapToGrid w:val="0"/>
              <w:spacing w:line="360" w:lineRule="auto"/>
              <w:ind w:firstLine="480" w:firstLineChars="200"/>
              <w:rPr>
                <w:sz w:val="24"/>
                <w:szCs w:val="22"/>
              </w:rPr>
            </w:pPr>
            <w:r>
              <w:rPr>
                <w:sz w:val="24"/>
              </w:rPr>
              <w:t>常州市江南塑料有限公司</w:t>
            </w:r>
            <w:r>
              <w:rPr>
                <w:sz w:val="24"/>
                <w:szCs w:val="22"/>
              </w:rPr>
              <w:t>厂区道路东侧自西向东为涂布车间、涂布仓库、配料车间，涂布仓库南侧为定型车间，定型车间南侧为锅炉房。厂区东南角设置门卫室，厂区出入口布设在南侧武进东大道。</w:t>
            </w:r>
          </w:p>
          <w:p>
            <w:pPr>
              <w:adjustRightInd w:val="0"/>
              <w:snapToGrid w:val="0"/>
              <w:spacing w:line="360" w:lineRule="auto"/>
              <w:ind w:firstLine="480" w:firstLineChars="200"/>
              <w:rPr>
                <w:color w:val="0000FF"/>
                <w:sz w:val="24"/>
              </w:rPr>
            </w:pPr>
            <w:r>
              <w:rPr>
                <w:sz w:val="24"/>
              </w:rPr>
              <w:t>建设项目厂区平面布置图见附图3。</w:t>
            </w:r>
          </w:p>
        </w:tc>
      </w:tr>
    </w:tbl>
    <w:p>
      <w:pPr>
        <w:pStyle w:val="8"/>
        <w:ind w:left="1470" w:right="1470"/>
        <w:rPr>
          <w:rFonts w:ascii="Times New Roman" w:hAnsi="Times New Roman"/>
          <w:snapToGrid w:val="0"/>
          <w:color w:val="0000FF"/>
          <w:sz w:val="30"/>
          <w:szCs w:val="30"/>
        </w:rPr>
        <w:sectPr>
          <w:pgSz w:w="11906" w:h="16838"/>
          <w:pgMar w:top="1701" w:right="1531" w:bottom="1701" w:left="1531" w:header="851" w:footer="851" w:gutter="0"/>
          <w:cols w:space="720" w:num="1"/>
          <w:docGrid w:linePitch="312" w:charSpace="0"/>
        </w:sect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4" w:hRule="atLeast"/>
          <w:jc w:val="center"/>
        </w:trPr>
        <w:tc>
          <w:tcPr>
            <w:tcW w:w="426" w:type="dxa"/>
            <w:vAlign w:val="center"/>
          </w:tcPr>
          <w:p>
            <w:pPr>
              <w:pStyle w:val="18"/>
              <w:adjustRightInd w:val="0"/>
              <w:snapToGrid w:val="0"/>
              <w:spacing w:before="0" w:beforeAutospacing="0" w:after="0" w:afterAutospacing="0"/>
              <w:jc w:val="both"/>
              <w:rPr>
                <w:rFonts w:ascii="Times New Roman" w:hAnsi="Times New Roman"/>
                <w:color w:val="0000FF"/>
                <w:sz w:val="21"/>
                <w:szCs w:val="21"/>
              </w:rPr>
            </w:pPr>
            <w:r>
              <w:rPr>
                <w:rFonts w:ascii="Times New Roman" w:hAnsi="Times New Roman"/>
                <w:sz w:val="21"/>
                <w:szCs w:val="21"/>
              </w:rPr>
              <w:t>工艺流程和产排污环节</w:t>
            </w:r>
          </w:p>
        </w:tc>
        <w:tc>
          <w:tcPr>
            <w:tcW w:w="8634" w:type="dxa"/>
          </w:tcPr>
          <w:p>
            <w:pPr>
              <w:adjustRightInd w:val="0"/>
              <w:snapToGrid w:val="0"/>
              <w:spacing w:line="360" w:lineRule="auto"/>
              <w:rPr>
                <w:b/>
                <w:bCs/>
                <w:sz w:val="24"/>
              </w:rPr>
            </w:pPr>
            <w:r>
              <w:rPr>
                <w:b/>
                <w:bCs/>
                <w:sz w:val="24"/>
              </w:rPr>
              <w:t>工艺流程简述：</w:t>
            </w:r>
          </w:p>
          <w:p>
            <w:pPr>
              <w:adjustRightInd w:val="0"/>
              <w:snapToGrid w:val="0"/>
              <w:spacing w:line="360" w:lineRule="auto"/>
              <w:ind w:firstLine="480" w:firstLineChars="200"/>
              <w:rPr>
                <w:sz w:val="24"/>
                <w:szCs w:val="22"/>
              </w:rPr>
            </w:pPr>
            <w:r>
              <w:rPr>
                <w:sz w:val="24"/>
                <w:szCs w:val="22"/>
              </w:rPr>
              <w:t>本项目运营期工艺主要涉及燃气锅炉运行工艺，锅炉工作原理如下：</w:t>
            </w:r>
          </w:p>
          <w:p>
            <w:pPr>
              <w:adjustRightInd w:val="0"/>
              <w:snapToGrid w:val="0"/>
              <w:spacing w:line="360" w:lineRule="auto"/>
              <w:ind w:firstLine="480" w:firstLineChars="200"/>
              <w:rPr>
                <w:sz w:val="24"/>
                <w:szCs w:val="22"/>
              </w:rPr>
            </w:pPr>
            <w:r>
              <w:rPr>
                <w:sz w:val="24"/>
                <w:szCs w:val="22"/>
              </w:rPr>
              <w:object>
                <v:shape id="_x0000_i1025" o:spt="75" type="#_x0000_t75" style="height:107.65pt;width:360pt;" o:ole="t" filled="f" o:preferrelative="t" stroked="f" coordsize="21600,21600">
                  <v:path/>
                  <v:fill on="f" focussize="0,0"/>
                  <v:stroke on="f" joinstyle="miter"/>
                  <v:imagedata r:id="rId11" o:title=""/>
                  <o:lock v:ext="edit" aspectratio="t"/>
                  <w10:wrap type="none"/>
                  <w10:anchorlock/>
                </v:shape>
                <o:OLEObject Type="Embed" ProgID="Visio.Drawing.11" ShapeID="_x0000_i1025" DrawAspect="Content" ObjectID="_1468075725" r:id="rId10">
                  <o:LockedField>false</o:LockedField>
                </o:OLEObject>
              </w:object>
            </w:r>
          </w:p>
          <w:p>
            <w:pPr>
              <w:pStyle w:val="8"/>
              <w:ind w:left="1470" w:right="1470"/>
              <w:jc w:val="center"/>
              <w:rPr>
                <w:rFonts w:ascii="Times New Roman" w:hAnsi="Times New Roman"/>
                <w:b/>
                <w:sz w:val="24"/>
              </w:rPr>
            </w:pPr>
            <w:r>
              <w:rPr>
                <w:rFonts w:ascii="Times New Roman" w:hAnsi="Times New Roman"/>
                <w:b/>
                <w:sz w:val="24"/>
              </w:rPr>
              <w:t>图2-2  本项目锅炉运行工作原理及产污环节图</w:t>
            </w:r>
          </w:p>
          <w:p>
            <w:pPr>
              <w:adjustRightInd w:val="0"/>
              <w:snapToGrid w:val="0"/>
              <w:spacing w:line="360" w:lineRule="auto"/>
              <w:ind w:firstLine="480" w:firstLineChars="200"/>
              <w:rPr>
                <w:sz w:val="24"/>
                <w:szCs w:val="22"/>
              </w:rPr>
            </w:pPr>
            <w:r>
              <w:rPr>
                <w:sz w:val="24"/>
                <w:szCs w:val="22"/>
              </w:rPr>
              <w:t>本项目使用的燃气锅炉是一种新型供热设备，以天然气为热源，以导热油为载体，利用循环泵强制导热油进行液相循环，将热量输送给用热设备（密炼机、开炼机、压延机等）后在返回热炉重新加热。如此周而复始，实现热量的连续传递，使被加热设备温度升高，满足用热设备生产时的温度要求。</w:t>
            </w:r>
          </w:p>
          <w:p>
            <w:pPr>
              <w:adjustRightInd w:val="0"/>
              <w:snapToGrid w:val="0"/>
              <w:spacing w:line="360" w:lineRule="auto"/>
              <w:rPr>
                <w:b/>
                <w:bCs/>
                <w:sz w:val="24"/>
              </w:rPr>
            </w:pPr>
            <w:r>
              <w:rPr>
                <w:b/>
                <w:bCs/>
                <w:sz w:val="24"/>
              </w:rPr>
              <w:t>产排污环节：</w:t>
            </w:r>
          </w:p>
          <w:p>
            <w:pPr>
              <w:adjustRightInd w:val="0"/>
              <w:snapToGrid w:val="0"/>
              <w:spacing w:line="360" w:lineRule="auto"/>
              <w:ind w:firstLine="480" w:firstLineChars="200"/>
              <w:rPr>
                <w:sz w:val="24"/>
                <w:szCs w:val="22"/>
              </w:rPr>
            </w:pPr>
            <w:r>
              <w:rPr>
                <w:sz w:val="24"/>
                <w:szCs w:val="22"/>
              </w:rPr>
              <w:t>本项目燃气锅炉用于原有项目用热设备（密炼机、开炼机、压延机等）的加热，原自查报告中已对用热设备所在工段的废气进行分析，本次环评不再分析，本次环评仅针对锅炉加热产生的废气进行分析评价。</w:t>
            </w:r>
          </w:p>
          <w:p>
            <w:pPr>
              <w:adjustRightInd w:val="0"/>
              <w:snapToGrid w:val="0"/>
              <w:spacing w:line="360" w:lineRule="auto"/>
              <w:ind w:firstLine="480" w:firstLineChars="200"/>
              <w:rPr>
                <w:sz w:val="24"/>
                <w:szCs w:val="22"/>
              </w:rPr>
            </w:pPr>
            <w:r>
              <w:rPr>
                <w:sz w:val="24"/>
                <w:szCs w:val="22"/>
              </w:rPr>
              <w:t>本项目产污环节主要是天然气燃烧过程会产生颗粒物、二氧化硫和氮氧化物。燃气锅炉配套了低氮燃烧器，天然气燃烧废气</w:t>
            </w:r>
            <w:r>
              <w:rPr>
                <w:sz w:val="24"/>
              </w:rPr>
              <w:t>通</w:t>
            </w:r>
            <w:r>
              <w:rPr>
                <w:sz w:val="24"/>
                <w:highlight w:val="none"/>
              </w:rPr>
              <w:t>过</w:t>
            </w:r>
            <w:r>
              <w:rPr>
                <w:rFonts w:hint="eastAsia"/>
                <w:sz w:val="24"/>
                <w:highlight w:val="none"/>
                <w:lang w:val="en-US" w:eastAsia="zh-CN"/>
              </w:rPr>
              <w:t>30</w:t>
            </w:r>
            <w:r>
              <w:rPr>
                <w:sz w:val="24"/>
                <w:highlight w:val="none"/>
              </w:rPr>
              <w:t>m高的排</w:t>
            </w:r>
            <w:r>
              <w:rPr>
                <w:sz w:val="24"/>
              </w:rPr>
              <w:t>气筒（FQ-5）直接排放至周围大</w:t>
            </w:r>
            <w:r>
              <w:rPr>
                <w:sz w:val="24"/>
                <w:szCs w:val="22"/>
              </w:rPr>
              <w:t>气。</w:t>
            </w:r>
          </w:p>
          <w:p>
            <w:pPr>
              <w:adjustRightInd w:val="0"/>
              <w:snapToGrid w:val="0"/>
              <w:spacing w:line="360" w:lineRule="auto"/>
              <w:ind w:firstLine="480" w:firstLineChars="200"/>
              <w:rPr>
                <w:color w:val="0000FF"/>
              </w:rPr>
            </w:pPr>
            <w:r>
              <w:rPr>
                <w:sz w:val="24"/>
                <w:szCs w:val="22"/>
              </w:rPr>
              <w:t>本项目导热油作为热载体循环使用，循环过程中</w:t>
            </w:r>
            <w:r>
              <w:rPr>
                <w:bCs/>
                <w:sz w:val="24"/>
              </w:rPr>
              <w:t>锅炉过滤器会产生少量废导热油</w:t>
            </w:r>
            <w:r>
              <w:rPr>
                <w:sz w:val="24"/>
                <w:szCs w:val="22"/>
              </w:rPr>
              <w:t>。</w:t>
            </w:r>
          </w:p>
        </w:tc>
      </w:tr>
    </w:tbl>
    <w:p>
      <w:pPr>
        <w:rPr>
          <w:color w:val="0000FF"/>
        </w:rPr>
      </w:pPr>
    </w:p>
    <w:p>
      <w:pPr>
        <w:pStyle w:val="8"/>
        <w:ind w:left="1470" w:right="1470"/>
        <w:rPr>
          <w:rFonts w:ascii="Times New Roman" w:hAnsi="Times New Roman"/>
          <w:color w:val="0000FF"/>
        </w:rPr>
      </w:pPr>
      <w:r>
        <w:rPr>
          <w:rFonts w:ascii="Times New Roman" w:hAnsi="Times New Roman"/>
          <w:color w:val="0000FF"/>
        </w:rPr>
        <w:br w:type="page"/>
      </w:r>
    </w:p>
    <w:tbl>
      <w:tblPr>
        <w:tblStyle w:val="22"/>
        <w:tblpPr w:leftFromText="180" w:rightFromText="180" w:vertAnchor="text" w:horzAnchor="margin" w:tblpX="-68" w:tblpY="140"/>
        <w:tblW w:w="50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8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0" w:hRule="atLeast"/>
        </w:trPr>
        <w:tc>
          <w:tcPr>
            <w:tcW w:w="231" w:type="pct"/>
            <w:vAlign w:val="center"/>
          </w:tcPr>
          <w:p>
            <w:pPr>
              <w:pStyle w:val="8"/>
              <w:adjustRightInd w:val="0"/>
              <w:snapToGrid w:val="0"/>
              <w:spacing w:after="0"/>
              <w:ind w:left="0" w:leftChars="0" w:right="0" w:rightChars="0"/>
              <w:jc w:val="center"/>
              <w:rPr>
                <w:rFonts w:ascii="Times New Roman" w:hAnsi="Times New Roman"/>
                <w:color w:val="0000FF"/>
              </w:rPr>
            </w:pPr>
            <w:r>
              <w:rPr>
                <w:rFonts w:ascii="Times New Roman" w:hAnsi="Times New Roman"/>
              </w:rPr>
              <w:t>与项目有关的原有环境污染问题</w:t>
            </w:r>
          </w:p>
        </w:tc>
        <w:tc>
          <w:tcPr>
            <w:tcW w:w="4769" w:type="pct"/>
          </w:tcPr>
          <w:p>
            <w:pPr>
              <w:pStyle w:val="8"/>
              <w:ind w:left="-2033" w:leftChars="-968" w:right="1470"/>
              <w:rPr>
                <w:rFonts w:ascii="Times New Roman" w:hAnsi="Times New Roman"/>
                <w:color w:val="0000FF"/>
              </w:rPr>
            </w:pPr>
          </w:p>
          <w:p>
            <w:pPr>
              <w:adjustRightInd w:val="0"/>
              <w:snapToGrid w:val="0"/>
              <w:spacing w:line="360" w:lineRule="auto"/>
              <w:jc w:val="left"/>
              <w:rPr>
                <w:b/>
                <w:sz w:val="24"/>
              </w:rPr>
            </w:pPr>
            <w:r>
              <w:rPr>
                <w:b/>
                <w:sz w:val="24"/>
              </w:rPr>
              <w:t>一、原有项目概况</w:t>
            </w:r>
          </w:p>
          <w:p>
            <w:pPr>
              <w:spacing w:line="360" w:lineRule="auto"/>
              <w:ind w:firstLine="480" w:firstLineChars="200"/>
              <w:rPr>
                <w:sz w:val="24"/>
              </w:rPr>
            </w:pPr>
            <w:r>
              <w:rPr>
                <w:bCs/>
                <w:sz w:val="24"/>
              </w:rPr>
              <w:t>1、</w:t>
            </w:r>
            <w:r>
              <w:rPr>
                <w:sz w:val="24"/>
              </w:rPr>
              <w:t>公司原有环保手续情况</w:t>
            </w:r>
          </w:p>
          <w:p>
            <w:pPr>
              <w:adjustRightInd w:val="0"/>
              <w:snapToGrid w:val="0"/>
              <w:spacing w:line="360" w:lineRule="auto"/>
              <w:ind w:firstLine="480" w:firstLineChars="200"/>
              <w:rPr>
                <w:bCs/>
                <w:sz w:val="24"/>
              </w:rPr>
            </w:pPr>
            <w:r>
              <w:rPr>
                <w:bCs/>
                <w:sz w:val="24"/>
              </w:rPr>
              <w:t>常州市江南塑料有限公司成立于1988年4月30日，原有项目环保手续件表2-7，原有项目实际产品产能见表2-8。</w:t>
            </w:r>
          </w:p>
          <w:p>
            <w:pPr>
              <w:adjustRightInd w:val="0"/>
              <w:snapToGrid w:val="0"/>
              <w:spacing w:line="480" w:lineRule="exact"/>
              <w:jc w:val="center"/>
              <w:rPr>
                <w:sz w:val="24"/>
              </w:rPr>
            </w:pPr>
            <w:r>
              <w:rPr>
                <w:b/>
                <w:sz w:val="24"/>
                <w:szCs w:val="22"/>
              </w:rPr>
              <w:t>表2-7  公司原有环保手续一览表</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2490"/>
              <w:gridCol w:w="1832"/>
              <w:gridCol w:w="360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84" w:type="pct"/>
                  <w:vAlign w:val="center"/>
                </w:tcPr>
                <w:p>
                  <w:pPr>
                    <w:adjustRightInd w:val="0"/>
                    <w:snapToGrid w:val="0"/>
                    <w:jc w:val="center"/>
                    <w:rPr>
                      <w:b/>
                      <w:bCs/>
                      <w:szCs w:val="21"/>
                    </w:rPr>
                  </w:pPr>
                  <w:r>
                    <w:rPr>
                      <w:b/>
                      <w:bCs/>
                      <w:szCs w:val="21"/>
                    </w:rPr>
                    <w:t>序号</w:t>
                  </w:r>
                </w:p>
              </w:tc>
              <w:tc>
                <w:tcPr>
                  <w:tcW w:w="1449" w:type="pct"/>
                  <w:vAlign w:val="center"/>
                </w:tcPr>
                <w:p>
                  <w:pPr>
                    <w:adjustRightInd w:val="0"/>
                    <w:snapToGrid w:val="0"/>
                    <w:jc w:val="center"/>
                    <w:rPr>
                      <w:b/>
                      <w:bCs/>
                      <w:szCs w:val="21"/>
                    </w:rPr>
                  </w:pPr>
                  <w:r>
                    <w:rPr>
                      <w:b/>
                      <w:bCs/>
                      <w:szCs w:val="21"/>
                    </w:rPr>
                    <w:t>项目名称</w:t>
                  </w:r>
                </w:p>
              </w:tc>
              <w:tc>
                <w:tcPr>
                  <w:tcW w:w="1066" w:type="pct"/>
                  <w:vAlign w:val="center"/>
                </w:tcPr>
                <w:p>
                  <w:pPr>
                    <w:adjustRightInd w:val="0"/>
                    <w:snapToGrid w:val="0"/>
                    <w:jc w:val="center"/>
                    <w:rPr>
                      <w:b/>
                      <w:bCs/>
                      <w:szCs w:val="21"/>
                    </w:rPr>
                  </w:pPr>
                  <w:r>
                    <w:rPr>
                      <w:b/>
                      <w:bCs/>
                      <w:szCs w:val="21"/>
                    </w:rPr>
                    <w:t>报告类型</w:t>
                  </w:r>
                </w:p>
              </w:tc>
              <w:tc>
                <w:tcPr>
                  <w:tcW w:w="2099" w:type="pct"/>
                  <w:vAlign w:val="center"/>
                </w:tcPr>
                <w:p>
                  <w:pPr>
                    <w:adjustRightInd w:val="0"/>
                    <w:snapToGrid w:val="0"/>
                    <w:jc w:val="center"/>
                    <w:rPr>
                      <w:b/>
                      <w:bCs/>
                      <w:szCs w:val="21"/>
                    </w:rPr>
                  </w:pPr>
                  <w:r>
                    <w:rPr>
                      <w:b/>
                      <w:bCs/>
                      <w:szCs w:val="21"/>
                    </w:rPr>
                    <w:t>审批部门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84" w:type="pct"/>
                  <w:vAlign w:val="center"/>
                </w:tcPr>
                <w:p>
                  <w:pPr>
                    <w:adjustRightInd w:val="0"/>
                    <w:snapToGrid w:val="0"/>
                    <w:jc w:val="center"/>
                    <w:rPr>
                      <w:szCs w:val="21"/>
                    </w:rPr>
                  </w:pPr>
                  <w:r>
                    <w:rPr>
                      <w:szCs w:val="21"/>
                    </w:rPr>
                    <w:t>1</w:t>
                  </w:r>
                </w:p>
              </w:tc>
              <w:tc>
                <w:tcPr>
                  <w:tcW w:w="1449" w:type="pct"/>
                  <w:vAlign w:val="center"/>
                </w:tcPr>
                <w:p>
                  <w:pPr>
                    <w:adjustRightInd w:val="0"/>
                    <w:snapToGrid w:val="0"/>
                    <w:jc w:val="center"/>
                    <w:rPr>
                      <w:szCs w:val="21"/>
                    </w:rPr>
                  </w:pPr>
                  <w:r>
                    <w:rPr>
                      <w:szCs w:val="21"/>
                    </w:rPr>
                    <w:t>纳入环境保护登记管理建设项目自查评估报告</w:t>
                  </w:r>
                </w:p>
              </w:tc>
              <w:tc>
                <w:tcPr>
                  <w:tcW w:w="1066" w:type="pct"/>
                  <w:vAlign w:val="center"/>
                </w:tcPr>
                <w:p>
                  <w:pPr>
                    <w:adjustRightInd w:val="0"/>
                    <w:snapToGrid w:val="0"/>
                    <w:jc w:val="center"/>
                    <w:rPr>
                      <w:szCs w:val="21"/>
                    </w:rPr>
                  </w:pPr>
                  <w:r>
                    <w:rPr>
                      <w:szCs w:val="21"/>
                    </w:rPr>
                    <w:t>自查报告</w:t>
                  </w:r>
                </w:p>
              </w:tc>
              <w:tc>
                <w:tcPr>
                  <w:tcW w:w="2099" w:type="pct"/>
                  <w:vAlign w:val="center"/>
                </w:tcPr>
                <w:p>
                  <w:pPr>
                    <w:adjustRightInd w:val="0"/>
                    <w:snapToGrid w:val="0"/>
                    <w:jc w:val="center"/>
                    <w:rPr>
                      <w:color w:val="FF0000"/>
                      <w:szCs w:val="21"/>
                    </w:rPr>
                  </w:pPr>
                  <w:r>
                    <w:rPr>
                      <w:color w:val="FF0000"/>
                      <w:szCs w:val="21"/>
                    </w:rPr>
                    <w:t>/</w:t>
                  </w:r>
                </w:p>
              </w:tc>
            </w:tr>
          </w:tbl>
          <w:p>
            <w:pPr>
              <w:adjustRightInd w:val="0"/>
              <w:snapToGrid w:val="0"/>
              <w:spacing w:line="480" w:lineRule="exact"/>
              <w:jc w:val="center"/>
              <w:rPr>
                <w:sz w:val="24"/>
              </w:rPr>
            </w:pPr>
            <w:r>
              <w:rPr>
                <w:b/>
                <w:sz w:val="24"/>
                <w:szCs w:val="22"/>
              </w:rPr>
              <w:t xml:space="preserve">表2-8  </w:t>
            </w:r>
            <w:r>
              <w:rPr>
                <w:b/>
                <w:bCs/>
                <w:sz w:val="24"/>
              </w:rPr>
              <w:t>原有项目自查产能及实际产能情况对照表</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1162"/>
              <w:gridCol w:w="1310"/>
              <w:gridCol w:w="1382"/>
              <w:gridCol w:w="1300"/>
              <w:gridCol w:w="1473"/>
              <w:gridCol w:w="153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54" w:type="pct"/>
                  <w:vMerge w:val="restart"/>
                  <w:vAlign w:val="center"/>
                </w:tcPr>
                <w:p>
                  <w:pPr>
                    <w:adjustRightInd w:val="0"/>
                    <w:snapToGrid w:val="0"/>
                    <w:jc w:val="center"/>
                    <w:rPr>
                      <w:b/>
                      <w:bCs/>
                      <w:szCs w:val="21"/>
                    </w:rPr>
                  </w:pPr>
                  <w:r>
                    <w:rPr>
                      <w:b/>
                      <w:bCs/>
                      <w:szCs w:val="21"/>
                    </w:rPr>
                    <w:t>序号</w:t>
                  </w:r>
                </w:p>
              </w:tc>
              <w:tc>
                <w:tcPr>
                  <w:tcW w:w="676" w:type="pct"/>
                  <w:vMerge w:val="restart"/>
                  <w:vAlign w:val="center"/>
                </w:tcPr>
                <w:p>
                  <w:pPr>
                    <w:adjustRightInd w:val="0"/>
                    <w:snapToGrid w:val="0"/>
                    <w:jc w:val="center"/>
                    <w:rPr>
                      <w:b/>
                      <w:bCs/>
                      <w:szCs w:val="21"/>
                    </w:rPr>
                  </w:pPr>
                  <w:r>
                    <w:rPr>
                      <w:b/>
                      <w:bCs/>
                      <w:szCs w:val="21"/>
                    </w:rPr>
                    <w:t>项目名称</w:t>
                  </w:r>
                </w:p>
              </w:tc>
              <w:tc>
                <w:tcPr>
                  <w:tcW w:w="762" w:type="pct"/>
                  <w:vMerge w:val="restart"/>
                  <w:vAlign w:val="center"/>
                </w:tcPr>
                <w:p>
                  <w:pPr>
                    <w:adjustRightInd w:val="0"/>
                    <w:snapToGrid w:val="0"/>
                    <w:jc w:val="center"/>
                    <w:rPr>
                      <w:b/>
                      <w:bCs/>
                      <w:szCs w:val="21"/>
                    </w:rPr>
                  </w:pPr>
                  <w:r>
                    <w:rPr>
                      <w:b/>
                      <w:bCs/>
                      <w:szCs w:val="21"/>
                    </w:rPr>
                    <w:t>产品名称</w:t>
                  </w:r>
                </w:p>
              </w:tc>
              <w:tc>
                <w:tcPr>
                  <w:tcW w:w="2417" w:type="pct"/>
                  <w:gridSpan w:val="3"/>
                  <w:vAlign w:val="center"/>
                </w:tcPr>
                <w:p>
                  <w:pPr>
                    <w:adjustRightInd w:val="0"/>
                    <w:snapToGrid w:val="0"/>
                    <w:jc w:val="center"/>
                    <w:rPr>
                      <w:b/>
                      <w:bCs/>
                      <w:szCs w:val="21"/>
                    </w:rPr>
                  </w:pPr>
                  <w:r>
                    <w:rPr>
                      <w:b/>
                      <w:bCs/>
                      <w:szCs w:val="21"/>
                    </w:rPr>
                    <w:t>生产能力</w:t>
                  </w:r>
                </w:p>
              </w:tc>
              <w:tc>
                <w:tcPr>
                  <w:tcW w:w="890" w:type="pct"/>
                  <w:vMerge w:val="restart"/>
                  <w:vAlign w:val="center"/>
                </w:tcPr>
                <w:p>
                  <w:pPr>
                    <w:adjustRightInd w:val="0"/>
                    <w:snapToGrid w:val="0"/>
                    <w:jc w:val="center"/>
                    <w:rPr>
                      <w:b/>
                      <w:bCs/>
                      <w:szCs w:val="21"/>
                    </w:rPr>
                  </w:pPr>
                  <w:r>
                    <w:rPr>
                      <w:b/>
                      <w:bCs/>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54" w:type="pct"/>
                  <w:vMerge w:val="continue"/>
                  <w:vAlign w:val="center"/>
                </w:tcPr>
                <w:p>
                  <w:pPr>
                    <w:adjustRightInd w:val="0"/>
                    <w:snapToGrid w:val="0"/>
                    <w:jc w:val="center"/>
                    <w:rPr>
                      <w:szCs w:val="21"/>
                    </w:rPr>
                  </w:pPr>
                </w:p>
              </w:tc>
              <w:tc>
                <w:tcPr>
                  <w:tcW w:w="676" w:type="pct"/>
                  <w:vMerge w:val="continue"/>
                  <w:vAlign w:val="center"/>
                </w:tcPr>
                <w:p>
                  <w:pPr>
                    <w:adjustRightInd w:val="0"/>
                    <w:snapToGrid w:val="0"/>
                    <w:jc w:val="center"/>
                    <w:rPr>
                      <w:szCs w:val="21"/>
                    </w:rPr>
                  </w:pPr>
                </w:p>
              </w:tc>
              <w:tc>
                <w:tcPr>
                  <w:tcW w:w="762" w:type="pct"/>
                  <w:vMerge w:val="continue"/>
                  <w:vAlign w:val="center"/>
                </w:tcPr>
                <w:p>
                  <w:pPr>
                    <w:adjustRightInd w:val="0"/>
                    <w:snapToGrid w:val="0"/>
                    <w:jc w:val="center"/>
                    <w:rPr>
                      <w:szCs w:val="21"/>
                    </w:rPr>
                  </w:pPr>
                </w:p>
              </w:tc>
              <w:tc>
                <w:tcPr>
                  <w:tcW w:w="804" w:type="pct"/>
                  <w:vAlign w:val="center"/>
                </w:tcPr>
                <w:p>
                  <w:pPr>
                    <w:adjustRightInd w:val="0"/>
                    <w:snapToGrid w:val="0"/>
                    <w:jc w:val="center"/>
                    <w:rPr>
                      <w:b/>
                      <w:bCs/>
                      <w:szCs w:val="21"/>
                    </w:rPr>
                  </w:pPr>
                  <w:r>
                    <w:rPr>
                      <w:b/>
                      <w:bCs/>
                      <w:szCs w:val="21"/>
                    </w:rPr>
                    <w:t>自查报告产能</w:t>
                  </w:r>
                </w:p>
              </w:tc>
              <w:tc>
                <w:tcPr>
                  <w:tcW w:w="756" w:type="pct"/>
                  <w:vAlign w:val="center"/>
                </w:tcPr>
                <w:p>
                  <w:pPr>
                    <w:adjustRightInd w:val="0"/>
                    <w:snapToGrid w:val="0"/>
                    <w:jc w:val="center"/>
                    <w:rPr>
                      <w:b/>
                      <w:bCs/>
                      <w:szCs w:val="21"/>
                    </w:rPr>
                  </w:pPr>
                  <w:r>
                    <w:rPr>
                      <w:b/>
                      <w:bCs/>
                      <w:szCs w:val="21"/>
                    </w:rPr>
                    <w:t>实际产能</w:t>
                  </w:r>
                </w:p>
              </w:tc>
              <w:tc>
                <w:tcPr>
                  <w:tcW w:w="856" w:type="pct"/>
                  <w:vAlign w:val="center"/>
                </w:tcPr>
                <w:p>
                  <w:pPr>
                    <w:adjustRightInd w:val="0"/>
                    <w:snapToGrid w:val="0"/>
                    <w:jc w:val="center"/>
                    <w:rPr>
                      <w:b/>
                      <w:bCs/>
                      <w:szCs w:val="21"/>
                    </w:rPr>
                  </w:pPr>
                  <w:r>
                    <w:rPr>
                      <w:b/>
                      <w:bCs/>
                      <w:szCs w:val="21"/>
                    </w:rPr>
                    <w:t>变化量</w:t>
                  </w:r>
                </w:p>
              </w:tc>
              <w:tc>
                <w:tcPr>
                  <w:tcW w:w="890" w:type="pct"/>
                  <w:vMerge w:val="continue"/>
                  <w:vAlign w:val="center"/>
                </w:tcPr>
                <w:p>
                  <w:pPr>
                    <w:adjustRightInd w:val="0"/>
                    <w:snapToGrid w:val="0"/>
                    <w:jc w:val="center"/>
                    <w:rPr>
                      <w:b/>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4" w:type="pct"/>
                  <w:vMerge w:val="restart"/>
                  <w:vAlign w:val="center"/>
                </w:tcPr>
                <w:p>
                  <w:pPr>
                    <w:adjustRightInd w:val="0"/>
                    <w:snapToGrid w:val="0"/>
                    <w:jc w:val="center"/>
                    <w:rPr>
                      <w:szCs w:val="21"/>
                    </w:rPr>
                  </w:pPr>
                  <w:r>
                    <w:rPr>
                      <w:szCs w:val="21"/>
                    </w:rPr>
                    <w:t>1</w:t>
                  </w:r>
                </w:p>
              </w:tc>
              <w:tc>
                <w:tcPr>
                  <w:tcW w:w="676" w:type="pct"/>
                  <w:vMerge w:val="restart"/>
                  <w:vAlign w:val="center"/>
                </w:tcPr>
                <w:p>
                  <w:pPr>
                    <w:adjustRightInd w:val="0"/>
                    <w:snapToGrid w:val="0"/>
                    <w:jc w:val="center"/>
                    <w:rPr>
                      <w:szCs w:val="21"/>
                    </w:rPr>
                  </w:pPr>
                  <w:r>
                    <w:rPr>
                      <w:szCs w:val="21"/>
                    </w:rPr>
                    <w:t>纳入环境保护登记管理建设项目自查评估报告</w:t>
                  </w:r>
                </w:p>
              </w:tc>
              <w:tc>
                <w:tcPr>
                  <w:tcW w:w="762" w:type="pct"/>
                  <w:vAlign w:val="center"/>
                </w:tcPr>
                <w:p>
                  <w:pPr>
                    <w:adjustRightInd w:val="0"/>
                    <w:snapToGrid w:val="0"/>
                    <w:jc w:val="center"/>
                    <w:rPr>
                      <w:szCs w:val="21"/>
                    </w:rPr>
                  </w:pPr>
                  <w:r>
                    <w:rPr>
                      <w:szCs w:val="21"/>
                    </w:rPr>
                    <w:t>印花布</w:t>
                  </w:r>
                </w:p>
              </w:tc>
              <w:tc>
                <w:tcPr>
                  <w:tcW w:w="804" w:type="pct"/>
                  <w:vAlign w:val="center"/>
                </w:tcPr>
                <w:p>
                  <w:pPr>
                    <w:adjustRightInd w:val="0"/>
                    <w:snapToGrid w:val="0"/>
                    <w:jc w:val="center"/>
                    <w:rPr>
                      <w:szCs w:val="21"/>
                    </w:rPr>
                  </w:pPr>
                  <w:r>
                    <w:rPr>
                      <w:szCs w:val="21"/>
                    </w:rPr>
                    <w:t>500万米/年</w:t>
                  </w:r>
                </w:p>
              </w:tc>
              <w:tc>
                <w:tcPr>
                  <w:tcW w:w="756" w:type="pct"/>
                  <w:vAlign w:val="center"/>
                </w:tcPr>
                <w:p>
                  <w:pPr>
                    <w:adjustRightInd w:val="0"/>
                    <w:snapToGrid w:val="0"/>
                    <w:jc w:val="center"/>
                    <w:rPr>
                      <w:rFonts w:hint="eastAsia" w:eastAsia="宋体"/>
                      <w:szCs w:val="21"/>
                      <w:lang w:eastAsia="zh-CN"/>
                    </w:rPr>
                  </w:pPr>
                  <w:r>
                    <w:rPr>
                      <w:rFonts w:hint="eastAsia"/>
                      <w:szCs w:val="21"/>
                      <w:lang w:val="en-US" w:eastAsia="zh-CN"/>
                    </w:rPr>
                    <w:t>0</w:t>
                  </w:r>
                </w:p>
              </w:tc>
              <w:tc>
                <w:tcPr>
                  <w:tcW w:w="856" w:type="pct"/>
                  <w:vAlign w:val="center"/>
                </w:tcPr>
                <w:p>
                  <w:pPr>
                    <w:adjustRightInd w:val="0"/>
                    <w:snapToGrid w:val="0"/>
                    <w:jc w:val="center"/>
                    <w:rPr>
                      <w:szCs w:val="21"/>
                    </w:rPr>
                  </w:pPr>
                  <w:r>
                    <w:rPr>
                      <w:rFonts w:hint="eastAsia"/>
                      <w:szCs w:val="21"/>
                      <w:lang w:val="en-US" w:eastAsia="zh-CN"/>
                    </w:rPr>
                    <w:t>-</w:t>
                  </w:r>
                  <w:r>
                    <w:rPr>
                      <w:szCs w:val="21"/>
                    </w:rPr>
                    <w:t>500万米/年</w:t>
                  </w:r>
                </w:p>
              </w:tc>
              <w:tc>
                <w:tcPr>
                  <w:tcW w:w="890" w:type="pct"/>
                  <w:vMerge w:val="restart"/>
                  <w:vAlign w:val="center"/>
                </w:tcPr>
                <w:p>
                  <w:pPr>
                    <w:adjustRightInd w:val="0"/>
                    <w:snapToGrid w:val="0"/>
                    <w:jc w:val="center"/>
                    <w:rPr>
                      <w:b/>
                      <w:bCs/>
                      <w:szCs w:val="21"/>
                    </w:rPr>
                  </w:pPr>
                  <w:r>
                    <w:rPr>
                      <w:szCs w:val="21"/>
                    </w:rPr>
                    <w:t>实际产能减少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4" w:type="pct"/>
                  <w:vMerge w:val="continue"/>
                  <w:vAlign w:val="center"/>
                </w:tcPr>
                <w:p>
                  <w:pPr>
                    <w:adjustRightInd w:val="0"/>
                    <w:snapToGrid w:val="0"/>
                    <w:jc w:val="center"/>
                    <w:rPr>
                      <w:szCs w:val="21"/>
                    </w:rPr>
                  </w:pPr>
                </w:p>
              </w:tc>
              <w:tc>
                <w:tcPr>
                  <w:tcW w:w="676" w:type="pct"/>
                  <w:vMerge w:val="continue"/>
                  <w:vAlign w:val="center"/>
                </w:tcPr>
                <w:p>
                  <w:pPr>
                    <w:adjustRightInd w:val="0"/>
                    <w:snapToGrid w:val="0"/>
                    <w:jc w:val="center"/>
                    <w:rPr>
                      <w:szCs w:val="21"/>
                    </w:rPr>
                  </w:pPr>
                </w:p>
              </w:tc>
              <w:tc>
                <w:tcPr>
                  <w:tcW w:w="762" w:type="pct"/>
                  <w:vAlign w:val="center"/>
                </w:tcPr>
                <w:p>
                  <w:pPr>
                    <w:adjustRightInd w:val="0"/>
                    <w:snapToGrid w:val="0"/>
                    <w:jc w:val="center"/>
                    <w:rPr>
                      <w:szCs w:val="21"/>
                    </w:rPr>
                  </w:pPr>
                  <w:r>
                    <w:rPr>
                      <w:szCs w:val="21"/>
                    </w:rPr>
                    <w:t>雨衣膜</w:t>
                  </w:r>
                </w:p>
              </w:tc>
              <w:tc>
                <w:tcPr>
                  <w:tcW w:w="804" w:type="pct"/>
                  <w:vAlign w:val="center"/>
                </w:tcPr>
                <w:p>
                  <w:pPr>
                    <w:adjustRightInd w:val="0"/>
                    <w:snapToGrid w:val="0"/>
                    <w:jc w:val="center"/>
                    <w:rPr>
                      <w:szCs w:val="21"/>
                    </w:rPr>
                  </w:pPr>
                  <w:r>
                    <w:rPr>
                      <w:szCs w:val="21"/>
                    </w:rPr>
                    <w:t>3000吨/年</w:t>
                  </w:r>
                </w:p>
              </w:tc>
              <w:tc>
                <w:tcPr>
                  <w:tcW w:w="756" w:type="pct"/>
                  <w:vAlign w:val="center"/>
                </w:tcPr>
                <w:p>
                  <w:pPr>
                    <w:adjustRightInd w:val="0"/>
                    <w:snapToGrid w:val="0"/>
                    <w:jc w:val="center"/>
                    <w:rPr>
                      <w:szCs w:val="21"/>
                    </w:rPr>
                  </w:pPr>
                  <w:r>
                    <w:rPr>
                      <w:szCs w:val="21"/>
                    </w:rPr>
                    <w:t>2250吨/年</w:t>
                  </w:r>
                </w:p>
              </w:tc>
              <w:tc>
                <w:tcPr>
                  <w:tcW w:w="856" w:type="pct"/>
                  <w:vAlign w:val="center"/>
                </w:tcPr>
                <w:p>
                  <w:pPr>
                    <w:adjustRightInd w:val="0"/>
                    <w:snapToGrid w:val="0"/>
                    <w:jc w:val="center"/>
                    <w:rPr>
                      <w:szCs w:val="21"/>
                    </w:rPr>
                  </w:pPr>
                  <w:r>
                    <w:rPr>
                      <w:szCs w:val="21"/>
                    </w:rPr>
                    <w:t>-750吨/年</w:t>
                  </w:r>
                </w:p>
              </w:tc>
              <w:tc>
                <w:tcPr>
                  <w:tcW w:w="890" w:type="pct"/>
                  <w:vMerge w:val="continue"/>
                  <w:vAlign w:val="center"/>
                </w:tcPr>
                <w:p>
                  <w:pPr>
                    <w:adjustRightInd w:val="0"/>
                    <w:snapToGrid w:val="0"/>
                    <w:jc w:val="center"/>
                    <w:rPr>
                      <w:b/>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4" w:type="pct"/>
                  <w:vMerge w:val="continue"/>
                  <w:vAlign w:val="center"/>
                </w:tcPr>
                <w:p>
                  <w:pPr>
                    <w:adjustRightInd w:val="0"/>
                    <w:snapToGrid w:val="0"/>
                    <w:jc w:val="center"/>
                    <w:rPr>
                      <w:szCs w:val="21"/>
                    </w:rPr>
                  </w:pPr>
                </w:p>
              </w:tc>
              <w:tc>
                <w:tcPr>
                  <w:tcW w:w="676" w:type="pct"/>
                  <w:vMerge w:val="continue"/>
                  <w:vAlign w:val="center"/>
                </w:tcPr>
                <w:p>
                  <w:pPr>
                    <w:adjustRightInd w:val="0"/>
                    <w:snapToGrid w:val="0"/>
                    <w:jc w:val="center"/>
                    <w:rPr>
                      <w:szCs w:val="21"/>
                    </w:rPr>
                  </w:pPr>
                </w:p>
              </w:tc>
              <w:tc>
                <w:tcPr>
                  <w:tcW w:w="762" w:type="pct"/>
                  <w:vAlign w:val="center"/>
                </w:tcPr>
                <w:p>
                  <w:pPr>
                    <w:adjustRightInd w:val="0"/>
                    <w:snapToGrid w:val="0"/>
                    <w:jc w:val="center"/>
                    <w:rPr>
                      <w:szCs w:val="21"/>
                    </w:rPr>
                  </w:pPr>
                  <w:r>
                    <w:rPr>
                      <w:szCs w:val="21"/>
                    </w:rPr>
                    <w:t>箱包布</w:t>
                  </w:r>
                </w:p>
              </w:tc>
              <w:tc>
                <w:tcPr>
                  <w:tcW w:w="804" w:type="pct"/>
                  <w:vAlign w:val="center"/>
                </w:tcPr>
                <w:p>
                  <w:pPr>
                    <w:adjustRightInd w:val="0"/>
                    <w:snapToGrid w:val="0"/>
                    <w:jc w:val="center"/>
                    <w:rPr>
                      <w:szCs w:val="21"/>
                    </w:rPr>
                  </w:pPr>
                  <w:r>
                    <w:rPr>
                      <w:szCs w:val="21"/>
                    </w:rPr>
                    <w:t>1000万米/年</w:t>
                  </w:r>
                </w:p>
              </w:tc>
              <w:tc>
                <w:tcPr>
                  <w:tcW w:w="756" w:type="pct"/>
                  <w:vAlign w:val="center"/>
                </w:tcPr>
                <w:p>
                  <w:pPr>
                    <w:adjustRightInd w:val="0"/>
                    <w:snapToGrid w:val="0"/>
                    <w:jc w:val="center"/>
                    <w:rPr>
                      <w:szCs w:val="21"/>
                    </w:rPr>
                  </w:pPr>
                  <w:r>
                    <w:rPr>
                      <w:szCs w:val="21"/>
                    </w:rPr>
                    <w:t>0</w:t>
                  </w:r>
                </w:p>
              </w:tc>
              <w:tc>
                <w:tcPr>
                  <w:tcW w:w="856" w:type="pct"/>
                  <w:vAlign w:val="center"/>
                </w:tcPr>
                <w:p>
                  <w:pPr>
                    <w:adjustRightInd w:val="0"/>
                    <w:snapToGrid w:val="0"/>
                    <w:jc w:val="center"/>
                    <w:rPr>
                      <w:szCs w:val="21"/>
                    </w:rPr>
                  </w:pPr>
                  <w:r>
                    <w:rPr>
                      <w:szCs w:val="21"/>
                    </w:rPr>
                    <w:t>-1000万米/年</w:t>
                  </w:r>
                </w:p>
              </w:tc>
              <w:tc>
                <w:tcPr>
                  <w:tcW w:w="890" w:type="pct"/>
                  <w:vMerge w:val="continue"/>
                  <w:vAlign w:val="center"/>
                </w:tcPr>
                <w:p>
                  <w:pPr>
                    <w:adjustRightInd w:val="0"/>
                    <w:snapToGrid w:val="0"/>
                    <w:jc w:val="center"/>
                    <w:rPr>
                      <w:b/>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4" w:type="pct"/>
                  <w:vMerge w:val="continue"/>
                  <w:vAlign w:val="center"/>
                </w:tcPr>
                <w:p>
                  <w:pPr>
                    <w:adjustRightInd w:val="0"/>
                    <w:snapToGrid w:val="0"/>
                    <w:jc w:val="center"/>
                    <w:rPr>
                      <w:szCs w:val="21"/>
                    </w:rPr>
                  </w:pPr>
                </w:p>
              </w:tc>
              <w:tc>
                <w:tcPr>
                  <w:tcW w:w="676" w:type="pct"/>
                  <w:vMerge w:val="continue"/>
                  <w:vAlign w:val="center"/>
                </w:tcPr>
                <w:p>
                  <w:pPr>
                    <w:adjustRightInd w:val="0"/>
                    <w:snapToGrid w:val="0"/>
                    <w:jc w:val="center"/>
                    <w:rPr>
                      <w:szCs w:val="21"/>
                    </w:rPr>
                  </w:pPr>
                </w:p>
              </w:tc>
              <w:tc>
                <w:tcPr>
                  <w:tcW w:w="762" w:type="pct"/>
                  <w:vAlign w:val="center"/>
                </w:tcPr>
                <w:p>
                  <w:pPr>
                    <w:adjustRightInd w:val="0"/>
                    <w:snapToGrid w:val="0"/>
                    <w:jc w:val="center"/>
                    <w:rPr>
                      <w:szCs w:val="21"/>
                    </w:rPr>
                  </w:pPr>
                  <w:r>
                    <w:rPr>
                      <w:szCs w:val="21"/>
                    </w:rPr>
                    <w:t>贴膜箱包布</w:t>
                  </w:r>
                </w:p>
              </w:tc>
              <w:tc>
                <w:tcPr>
                  <w:tcW w:w="804" w:type="pct"/>
                  <w:vAlign w:val="center"/>
                </w:tcPr>
                <w:p>
                  <w:pPr>
                    <w:adjustRightInd w:val="0"/>
                    <w:snapToGrid w:val="0"/>
                    <w:jc w:val="center"/>
                    <w:rPr>
                      <w:szCs w:val="21"/>
                    </w:rPr>
                  </w:pPr>
                  <w:r>
                    <w:rPr>
                      <w:szCs w:val="21"/>
                    </w:rPr>
                    <w:t>4400万米/年</w:t>
                  </w:r>
                </w:p>
              </w:tc>
              <w:tc>
                <w:tcPr>
                  <w:tcW w:w="756" w:type="pct"/>
                  <w:vAlign w:val="center"/>
                </w:tcPr>
                <w:p>
                  <w:pPr>
                    <w:adjustRightInd w:val="0"/>
                    <w:snapToGrid w:val="0"/>
                    <w:jc w:val="center"/>
                    <w:rPr>
                      <w:szCs w:val="21"/>
                    </w:rPr>
                  </w:pPr>
                  <w:r>
                    <w:rPr>
                      <w:szCs w:val="21"/>
                    </w:rPr>
                    <w:t>4400万米/年</w:t>
                  </w:r>
                </w:p>
              </w:tc>
              <w:tc>
                <w:tcPr>
                  <w:tcW w:w="856" w:type="pct"/>
                  <w:vAlign w:val="center"/>
                </w:tcPr>
                <w:p>
                  <w:pPr>
                    <w:adjustRightInd w:val="0"/>
                    <w:snapToGrid w:val="0"/>
                    <w:jc w:val="center"/>
                    <w:rPr>
                      <w:szCs w:val="21"/>
                    </w:rPr>
                  </w:pPr>
                  <w:r>
                    <w:rPr>
                      <w:szCs w:val="21"/>
                    </w:rPr>
                    <w:t>0</w:t>
                  </w:r>
                </w:p>
              </w:tc>
              <w:tc>
                <w:tcPr>
                  <w:tcW w:w="890" w:type="pct"/>
                  <w:vMerge w:val="continue"/>
                  <w:vAlign w:val="center"/>
                </w:tcPr>
                <w:p>
                  <w:pPr>
                    <w:adjustRightInd w:val="0"/>
                    <w:snapToGrid w:val="0"/>
                    <w:jc w:val="center"/>
                    <w:rPr>
                      <w:b/>
                      <w:bCs/>
                      <w:szCs w:val="21"/>
                    </w:rPr>
                  </w:pPr>
                </w:p>
              </w:tc>
            </w:tr>
          </w:tbl>
          <w:p>
            <w:pPr>
              <w:adjustRightInd w:val="0"/>
              <w:snapToGrid w:val="0"/>
              <w:spacing w:line="360" w:lineRule="auto"/>
              <w:ind w:firstLine="480" w:firstLineChars="200"/>
              <w:rPr>
                <w:sz w:val="24"/>
              </w:rPr>
            </w:pPr>
            <w:r>
              <w:rPr>
                <w:sz w:val="24"/>
              </w:rPr>
              <w:t>2、排污许可证申领情况</w:t>
            </w:r>
          </w:p>
          <w:p>
            <w:pPr>
              <w:adjustRightInd w:val="0"/>
              <w:snapToGrid w:val="0"/>
              <w:spacing w:line="360" w:lineRule="auto"/>
              <w:ind w:firstLine="480" w:firstLineChars="200"/>
              <w:rPr>
                <w:sz w:val="24"/>
              </w:rPr>
            </w:pPr>
            <w:r>
              <w:rPr>
                <w:sz w:val="24"/>
              </w:rPr>
              <w:t>企业已取得排污许可证，证书编号为91320412250893008T001U，证书有限期限为2021-12-13至2026-12-12。</w:t>
            </w:r>
          </w:p>
          <w:p>
            <w:pPr>
              <w:ind w:firstLine="420" w:firstLineChars="200"/>
              <w:rPr>
                <w:color w:val="0000FF"/>
              </w:rPr>
            </w:pPr>
          </w:p>
        </w:tc>
      </w:tr>
    </w:tbl>
    <w:p>
      <w:pPr>
        <w:rPr>
          <w:color w:val="0000FF"/>
        </w:rPr>
      </w:pPr>
    </w:p>
    <w:p>
      <w:pPr>
        <w:pStyle w:val="8"/>
        <w:ind w:left="1470" w:right="1470"/>
        <w:rPr>
          <w:rFonts w:ascii="Times New Roman" w:hAnsi="Times New Roman"/>
          <w:color w:val="0000FF"/>
        </w:rPr>
        <w:sectPr>
          <w:pgSz w:w="11906" w:h="16838"/>
          <w:pgMar w:top="1701" w:right="1531" w:bottom="1701" w:left="1531" w:header="851" w:footer="851" w:gutter="0"/>
          <w:cols w:space="720" w:num="1"/>
          <w:docGrid w:linePitch="312" w:charSpace="0"/>
        </w:sectPr>
      </w:pPr>
      <w:r>
        <w:rPr>
          <w:rFonts w:ascii="Times New Roman" w:hAnsi="Times New Roman"/>
          <w:color w:val="0000FF"/>
        </w:rPr>
        <w:br w:type="page"/>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8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8" w:hRule="atLeast"/>
        </w:trPr>
        <w:tc>
          <w:tcPr>
            <w:tcW w:w="81" w:type="pct"/>
          </w:tcPr>
          <w:p>
            <w:pPr>
              <w:pStyle w:val="8"/>
              <w:ind w:left="0" w:leftChars="0" w:right="1470"/>
              <w:rPr>
                <w:rFonts w:ascii="Times New Roman" w:hAnsi="Times New Roman"/>
                <w:color w:val="0000FF"/>
              </w:rPr>
            </w:pPr>
          </w:p>
        </w:tc>
        <w:tc>
          <w:tcPr>
            <w:tcW w:w="4919" w:type="pct"/>
          </w:tcPr>
          <w:p>
            <w:pPr>
              <w:pStyle w:val="2"/>
              <w:spacing w:before="0" w:after="0" w:line="360" w:lineRule="auto"/>
              <w:ind w:right="0" w:firstLine="480" w:firstLineChars="200"/>
              <w:rPr>
                <w:kern w:val="2"/>
                <w:sz w:val="24"/>
                <w:szCs w:val="24"/>
              </w:rPr>
            </w:pPr>
            <w:r>
              <w:rPr>
                <w:kern w:val="2"/>
                <w:sz w:val="24"/>
                <w:szCs w:val="24"/>
              </w:rPr>
              <w:t>3、原有项目原辅料及设备情况</w:t>
            </w:r>
          </w:p>
          <w:p>
            <w:pPr>
              <w:tabs>
                <w:tab w:val="center" w:pos="4393"/>
                <w:tab w:val="left" w:pos="7140"/>
              </w:tabs>
              <w:jc w:val="center"/>
              <w:rPr>
                <w:b/>
                <w:bCs/>
                <w:sz w:val="24"/>
              </w:rPr>
            </w:pPr>
            <w:r>
              <w:rPr>
                <w:b/>
                <w:bCs/>
                <w:sz w:val="24"/>
              </w:rPr>
              <w:t>表2-9  原有项目主要原辅料消耗状况一览表</w:t>
            </w:r>
          </w:p>
          <w:tbl>
            <w:tblPr>
              <w:tblStyle w:val="21"/>
              <w:tblW w:w="499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680"/>
              <w:gridCol w:w="910"/>
              <w:gridCol w:w="1093"/>
              <w:gridCol w:w="1257"/>
              <w:gridCol w:w="867"/>
              <w:gridCol w:w="531"/>
              <w:gridCol w:w="1300"/>
              <w:gridCol w:w="829"/>
              <w:gridCol w:w="11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395" w:type="pct"/>
                  <w:vAlign w:val="center"/>
                </w:tcPr>
                <w:p>
                  <w:pPr>
                    <w:jc w:val="center"/>
                    <w:rPr>
                      <w:b/>
                      <w:bCs/>
                      <w:szCs w:val="21"/>
                    </w:rPr>
                  </w:pPr>
                  <w:r>
                    <w:rPr>
                      <w:b/>
                      <w:bCs/>
                      <w:szCs w:val="21"/>
                    </w:rPr>
                    <w:t>项目名称</w:t>
                  </w:r>
                </w:p>
              </w:tc>
              <w:tc>
                <w:tcPr>
                  <w:tcW w:w="528" w:type="pct"/>
                  <w:vAlign w:val="center"/>
                </w:tcPr>
                <w:p>
                  <w:pPr>
                    <w:jc w:val="center"/>
                    <w:rPr>
                      <w:b/>
                      <w:bCs/>
                      <w:szCs w:val="21"/>
                    </w:rPr>
                  </w:pPr>
                  <w:r>
                    <w:rPr>
                      <w:b/>
                      <w:bCs/>
                      <w:szCs w:val="21"/>
                    </w:rPr>
                    <w:t>产品名称</w:t>
                  </w:r>
                </w:p>
              </w:tc>
              <w:tc>
                <w:tcPr>
                  <w:tcW w:w="634" w:type="pct"/>
                  <w:vAlign w:val="center"/>
                </w:tcPr>
                <w:p>
                  <w:pPr>
                    <w:jc w:val="center"/>
                    <w:rPr>
                      <w:b/>
                      <w:bCs/>
                      <w:szCs w:val="21"/>
                    </w:rPr>
                  </w:pPr>
                  <w:r>
                    <w:rPr>
                      <w:b/>
                      <w:bCs/>
                      <w:szCs w:val="21"/>
                    </w:rPr>
                    <w:t>物料名称</w:t>
                  </w:r>
                </w:p>
              </w:tc>
              <w:tc>
                <w:tcPr>
                  <w:tcW w:w="729" w:type="pct"/>
                  <w:vAlign w:val="center"/>
                </w:tcPr>
                <w:p>
                  <w:pPr>
                    <w:jc w:val="center"/>
                    <w:rPr>
                      <w:b/>
                      <w:bCs/>
                      <w:szCs w:val="21"/>
                    </w:rPr>
                  </w:pPr>
                  <w:r>
                    <w:rPr>
                      <w:b/>
                      <w:bCs/>
                      <w:szCs w:val="21"/>
                    </w:rPr>
                    <w:t>组分、规格、指标</w:t>
                  </w:r>
                </w:p>
              </w:tc>
              <w:tc>
                <w:tcPr>
                  <w:tcW w:w="503" w:type="pct"/>
                  <w:vAlign w:val="center"/>
                </w:tcPr>
                <w:p>
                  <w:pPr>
                    <w:jc w:val="center"/>
                    <w:rPr>
                      <w:b/>
                      <w:bCs/>
                      <w:szCs w:val="21"/>
                    </w:rPr>
                  </w:pPr>
                  <w:r>
                    <w:rPr>
                      <w:b/>
                      <w:bCs/>
                      <w:szCs w:val="21"/>
                    </w:rPr>
                    <w:t>包装方式</w:t>
                  </w:r>
                </w:p>
              </w:tc>
              <w:tc>
                <w:tcPr>
                  <w:tcW w:w="308" w:type="pct"/>
                  <w:vAlign w:val="center"/>
                </w:tcPr>
                <w:p>
                  <w:pPr>
                    <w:jc w:val="center"/>
                    <w:rPr>
                      <w:b/>
                      <w:bCs/>
                      <w:szCs w:val="21"/>
                    </w:rPr>
                  </w:pPr>
                  <w:r>
                    <w:rPr>
                      <w:b/>
                      <w:bCs/>
                      <w:szCs w:val="21"/>
                    </w:rPr>
                    <w:t>物态</w:t>
                  </w:r>
                </w:p>
              </w:tc>
              <w:tc>
                <w:tcPr>
                  <w:tcW w:w="754" w:type="pct"/>
                  <w:vAlign w:val="center"/>
                </w:tcPr>
                <w:p>
                  <w:pPr>
                    <w:jc w:val="center"/>
                    <w:rPr>
                      <w:b/>
                      <w:bCs/>
                      <w:szCs w:val="21"/>
                    </w:rPr>
                  </w:pPr>
                  <w:r>
                    <w:rPr>
                      <w:b/>
                      <w:bCs/>
                      <w:szCs w:val="21"/>
                    </w:rPr>
                    <w:t>自查报告设计年耗量t</w:t>
                  </w:r>
                </w:p>
              </w:tc>
              <w:tc>
                <w:tcPr>
                  <w:tcW w:w="481" w:type="pct"/>
                  <w:vAlign w:val="center"/>
                </w:tcPr>
                <w:p>
                  <w:pPr>
                    <w:jc w:val="center"/>
                    <w:rPr>
                      <w:b/>
                      <w:bCs/>
                      <w:szCs w:val="21"/>
                    </w:rPr>
                  </w:pPr>
                  <w:r>
                    <w:rPr>
                      <w:b/>
                      <w:bCs/>
                      <w:szCs w:val="21"/>
                    </w:rPr>
                    <w:t>实际年耗量t</w:t>
                  </w:r>
                </w:p>
              </w:tc>
              <w:tc>
                <w:tcPr>
                  <w:tcW w:w="664" w:type="pct"/>
                  <w:vAlign w:val="center"/>
                </w:tcPr>
                <w:p>
                  <w:pPr>
                    <w:jc w:val="center"/>
                    <w:rPr>
                      <w:b/>
                      <w:bCs/>
                      <w:szCs w:val="21"/>
                    </w:rPr>
                  </w:pPr>
                  <w:r>
                    <w:rPr>
                      <w:b/>
                      <w:bCs/>
                      <w:szCs w:val="21"/>
                    </w:rPr>
                    <w:t>变化量t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395" w:type="pct"/>
                  <w:vMerge w:val="restart"/>
                  <w:vAlign w:val="center"/>
                </w:tcPr>
                <w:p>
                  <w:pPr>
                    <w:widowControl/>
                    <w:jc w:val="center"/>
                    <w:rPr>
                      <w:kern w:val="0"/>
                      <w:szCs w:val="21"/>
                    </w:rPr>
                  </w:pPr>
                  <w:r>
                    <w:rPr>
                      <w:szCs w:val="21"/>
                    </w:rPr>
                    <w:t>纳入环境保护登记管理建设项目自查评估报告</w:t>
                  </w:r>
                </w:p>
              </w:tc>
              <w:tc>
                <w:tcPr>
                  <w:tcW w:w="528" w:type="pct"/>
                  <w:vMerge w:val="restart"/>
                  <w:vAlign w:val="center"/>
                </w:tcPr>
                <w:p>
                  <w:pPr>
                    <w:widowControl/>
                    <w:jc w:val="center"/>
                    <w:rPr>
                      <w:kern w:val="0"/>
                      <w:szCs w:val="21"/>
                    </w:rPr>
                  </w:pPr>
                  <w:r>
                    <w:rPr>
                      <w:kern w:val="0"/>
                      <w:szCs w:val="21"/>
                    </w:rPr>
                    <w:t>印花布</w:t>
                  </w:r>
                </w:p>
              </w:tc>
              <w:tc>
                <w:tcPr>
                  <w:tcW w:w="634" w:type="pct"/>
                  <w:vAlign w:val="center"/>
                </w:tcPr>
                <w:p>
                  <w:pPr>
                    <w:widowControl/>
                    <w:jc w:val="center"/>
                    <w:rPr>
                      <w:kern w:val="0"/>
                      <w:szCs w:val="21"/>
                    </w:rPr>
                  </w:pPr>
                  <w:r>
                    <w:rPr>
                      <w:kern w:val="0"/>
                      <w:szCs w:val="21"/>
                    </w:rPr>
                    <w:t>坯布</w:t>
                  </w:r>
                </w:p>
              </w:tc>
              <w:tc>
                <w:tcPr>
                  <w:tcW w:w="729" w:type="pct"/>
                  <w:vAlign w:val="center"/>
                </w:tcPr>
                <w:p>
                  <w:pPr>
                    <w:jc w:val="center"/>
                    <w:rPr>
                      <w:bCs/>
                      <w:szCs w:val="21"/>
                    </w:rPr>
                  </w:pPr>
                  <w:r>
                    <w:rPr>
                      <w:bCs/>
                      <w:szCs w:val="21"/>
                    </w:rPr>
                    <w:t>/</w:t>
                  </w:r>
                </w:p>
              </w:tc>
              <w:tc>
                <w:tcPr>
                  <w:tcW w:w="503" w:type="pct"/>
                  <w:vAlign w:val="center"/>
                </w:tcPr>
                <w:p>
                  <w:pPr>
                    <w:widowControl/>
                    <w:jc w:val="center"/>
                    <w:rPr>
                      <w:kern w:val="0"/>
                      <w:szCs w:val="21"/>
                    </w:rPr>
                  </w:pPr>
                  <w:r>
                    <w:rPr>
                      <w:kern w:val="0"/>
                      <w:szCs w:val="21"/>
                    </w:rPr>
                    <w:t>/</w:t>
                  </w:r>
                </w:p>
              </w:tc>
              <w:tc>
                <w:tcPr>
                  <w:tcW w:w="308" w:type="pct"/>
                  <w:vAlign w:val="center"/>
                </w:tcPr>
                <w:p>
                  <w:pPr>
                    <w:widowControl/>
                    <w:jc w:val="center"/>
                    <w:rPr>
                      <w:kern w:val="0"/>
                      <w:szCs w:val="21"/>
                    </w:rPr>
                  </w:pPr>
                  <w:r>
                    <w:rPr>
                      <w:kern w:val="0"/>
                      <w:szCs w:val="21"/>
                    </w:rPr>
                    <w:t>固体</w:t>
                  </w:r>
                </w:p>
              </w:tc>
              <w:tc>
                <w:tcPr>
                  <w:tcW w:w="754" w:type="pct"/>
                  <w:vAlign w:val="center"/>
                </w:tcPr>
                <w:p>
                  <w:pPr>
                    <w:jc w:val="center"/>
                    <w:rPr>
                      <w:szCs w:val="21"/>
                    </w:rPr>
                  </w:pPr>
                  <w:r>
                    <w:rPr>
                      <w:szCs w:val="21"/>
                    </w:rPr>
                    <w:t>500万米</w:t>
                  </w:r>
                </w:p>
              </w:tc>
              <w:tc>
                <w:tcPr>
                  <w:tcW w:w="481" w:type="pct"/>
                  <w:vAlign w:val="center"/>
                </w:tcPr>
                <w:p>
                  <w:pPr>
                    <w:jc w:val="center"/>
                    <w:rPr>
                      <w:szCs w:val="21"/>
                    </w:rPr>
                  </w:pPr>
                  <w:r>
                    <w:rPr>
                      <w:szCs w:val="21"/>
                    </w:rPr>
                    <w:t>500万米</w:t>
                  </w:r>
                </w:p>
              </w:tc>
              <w:tc>
                <w:tcPr>
                  <w:tcW w:w="664" w:type="pct"/>
                  <w:vAlign w:val="center"/>
                </w:tcPr>
                <w:p>
                  <w:pPr>
                    <w:jc w:val="center"/>
                    <w:rPr>
                      <w:szCs w:val="21"/>
                    </w:rPr>
                  </w:pPr>
                  <w:r>
                    <w:rPr>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395" w:type="pct"/>
                  <w:vMerge w:val="continue"/>
                  <w:vAlign w:val="center"/>
                </w:tcPr>
                <w:p>
                  <w:pPr>
                    <w:widowControl/>
                    <w:jc w:val="center"/>
                    <w:rPr>
                      <w:kern w:val="0"/>
                      <w:szCs w:val="21"/>
                    </w:rPr>
                  </w:pPr>
                </w:p>
              </w:tc>
              <w:tc>
                <w:tcPr>
                  <w:tcW w:w="528" w:type="pct"/>
                  <w:vMerge w:val="continue"/>
                  <w:vAlign w:val="center"/>
                </w:tcPr>
                <w:p>
                  <w:pPr>
                    <w:widowControl/>
                    <w:jc w:val="center"/>
                    <w:rPr>
                      <w:kern w:val="0"/>
                      <w:szCs w:val="21"/>
                    </w:rPr>
                  </w:pPr>
                </w:p>
              </w:tc>
              <w:tc>
                <w:tcPr>
                  <w:tcW w:w="634" w:type="pct"/>
                  <w:vAlign w:val="center"/>
                </w:tcPr>
                <w:p>
                  <w:pPr>
                    <w:widowControl/>
                    <w:jc w:val="center"/>
                    <w:rPr>
                      <w:kern w:val="0"/>
                      <w:szCs w:val="21"/>
                    </w:rPr>
                  </w:pPr>
                  <w:r>
                    <w:rPr>
                      <w:kern w:val="0"/>
                      <w:szCs w:val="21"/>
                    </w:rPr>
                    <w:t>新闻纸</w:t>
                  </w:r>
                </w:p>
              </w:tc>
              <w:tc>
                <w:tcPr>
                  <w:tcW w:w="729" w:type="pct"/>
                  <w:vAlign w:val="center"/>
                </w:tcPr>
                <w:p>
                  <w:pPr>
                    <w:jc w:val="center"/>
                    <w:rPr>
                      <w:bCs/>
                      <w:szCs w:val="21"/>
                    </w:rPr>
                  </w:pPr>
                  <w:r>
                    <w:rPr>
                      <w:bCs/>
                      <w:szCs w:val="21"/>
                    </w:rPr>
                    <w:t>/</w:t>
                  </w:r>
                </w:p>
              </w:tc>
              <w:tc>
                <w:tcPr>
                  <w:tcW w:w="503" w:type="pct"/>
                  <w:vAlign w:val="center"/>
                </w:tcPr>
                <w:p>
                  <w:pPr>
                    <w:widowControl/>
                    <w:jc w:val="center"/>
                    <w:rPr>
                      <w:kern w:val="0"/>
                      <w:szCs w:val="21"/>
                    </w:rPr>
                  </w:pPr>
                  <w:r>
                    <w:rPr>
                      <w:kern w:val="0"/>
                      <w:szCs w:val="21"/>
                    </w:rPr>
                    <w:t>卷装</w:t>
                  </w:r>
                </w:p>
              </w:tc>
              <w:tc>
                <w:tcPr>
                  <w:tcW w:w="308" w:type="pct"/>
                  <w:vAlign w:val="center"/>
                </w:tcPr>
                <w:p>
                  <w:pPr>
                    <w:widowControl/>
                    <w:jc w:val="center"/>
                    <w:rPr>
                      <w:kern w:val="0"/>
                      <w:szCs w:val="21"/>
                    </w:rPr>
                  </w:pPr>
                  <w:r>
                    <w:rPr>
                      <w:kern w:val="0"/>
                      <w:szCs w:val="21"/>
                    </w:rPr>
                    <w:t>固体</w:t>
                  </w:r>
                </w:p>
              </w:tc>
              <w:tc>
                <w:tcPr>
                  <w:tcW w:w="754" w:type="pct"/>
                  <w:vAlign w:val="center"/>
                </w:tcPr>
                <w:p>
                  <w:pPr>
                    <w:jc w:val="center"/>
                    <w:rPr>
                      <w:szCs w:val="21"/>
                    </w:rPr>
                  </w:pPr>
                  <w:r>
                    <w:rPr>
                      <w:szCs w:val="21"/>
                    </w:rPr>
                    <w:t>240</w:t>
                  </w:r>
                </w:p>
              </w:tc>
              <w:tc>
                <w:tcPr>
                  <w:tcW w:w="481" w:type="pct"/>
                  <w:vAlign w:val="center"/>
                </w:tcPr>
                <w:p>
                  <w:pPr>
                    <w:jc w:val="center"/>
                    <w:rPr>
                      <w:szCs w:val="21"/>
                    </w:rPr>
                  </w:pPr>
                  <w:r>
                    <w:rPr>
                      <w:szCs w:val="21"/>
                    </w:rPr>
                    <w:t>240</w:t>
                  </w:r>
                </w:p>
              </w:tc>
              <w:tc>
                <w:tcPr>
                  <w:tcW w:w="664" w:type="pct"/>
                  <w:vAlign w:val="center"/>
                </w:tcPr>
                <w:p>
                  <w:pPr>
                    <w:jc w:val="center"/>
                    <w:rPr>
                      <w:szCs w:val="21"/>
                    </w:rPr>
                  </w:pPr>
                  <w:r>
                    <w:rPr>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395" w:type="pct"/>
                  <w:vMerge w:val="continue"/>
                  <w:vAlign w:val="center"/>
                </w:tcPr>
                <w:p>
                  <w:pPr>
                    <w:widowControl/>
                    <w:jc w:val="center"/>
                    <w:rPr>
                      <w:kern w:val="0"/>
                      <w:szCs w:val="21"/>
                    </w:rPr>
                  </w:pPr>
                </w:p>
              </w:tc>
              <w:tc>
                <w:tcPr>
                  <w:tcW w:w="528" w:type="pct"/>
                  <w:vMerge w:val="continue"/>
                  <w:vAlign w:val="center"/>
                </w:tcPr>
                <w:p>
                  <w:pPr>
                    <w:widowControl/>
                    <w:jc w:val="center"/>
                    <w:rPr>
                      <w:kern w:val="0"/>
                      <w:szCs w:val="21"/>
                    </w:rPr>
                  </w:pPr>
                </w:p>
              </w:tc>
              <w:tc>
                <w:tcPr>
                  <w:tcW w:w="634" w:type="pct"/>
                  <w:vAlign w:val="center"/>
                </w:tcPr>
                <w:p>
                  <w:pPr>
                    <w:widowControl/>
                    <w:jc w:val="center"/>
                    <w:rPr>
                      <w:kern w:val="0"/>
                      <w:szCs w:val="21"/>
                    </w:rPr>
                  </w:pPr>
                  <w:r>
                    <w:rPr>
                      <w:kern w:val="0"/>
                      <w:szCs w:val="21"/>
                    </w:rPr>
                    <w:t>油墨</w:t>
                  </w:r>
                </w:p>
              </w:tc>
              <w:tc>
                <w:tcPr>
                  <w:tcW w:w="729" w:type="pct"/>
                  <w:vAlign w:val="center"/>
                </w:tcPr>
                <w:p>
                  <w:pPr>
                    <w:widowControl/>
                    <w:jc w:val="center"/>
                    <w:rPr>
                      <w:kern w:val="0"/>
                      <w:szCs w:val="21"/>
                    </w:rPr>
                  </w:pPr>
                  <w:r>
                    <w:rPr>
                      <w:kern w:val="0"/>
                      <w:szCs w:val="21"/>
                    </w:rPr>
                    <w:t>树脂35%、二甲苯10%、异丙醇35%、颜料15%、助剂5%</w:t>
                  </w:r>
                </w:p>
              </w:tc>
              <w:tc>
                <w:tcPr>
                  <w:tcW w:w="503" w:type="pct"/>
                  <w:vAlign w:val="center"/>
                </w:tcPr>
                <w:p>
                  <w:pPr>
                    <w:widowControl/>
                    <w:jc w:val="center"/>
                    <w:rPr>
                      <w:kern w:val="0"/>
                      <w:szCs w:val="21"/>
                    </w:rPr>
                  </w:pPr>
                  <w:r>
                    <w:rPr>
                      <w:kern w:val="0"/>
                      <w:szCs w:val="21"/>
                    </w:rPr>
                    <w:t>桶装</w:t>
                  </w:r>
                </w:p>
              </w:tc>
              <w:tc>
                <w:tcPr>
                  <w:tcW w:w="308" w:type="pct"/>
                  <w:vAlign w:val="center"/>
                </w:tcPr>
                <w:p>
                  <w:pPr>
                    <w:widowControl/>
                    <w:jc w:val="center"/>
                    <w:rPr>
                      <w:kern w:val="0"/>
                      <w:szCs w:val="21"/>
                    </w:rPr>
                  </w:pPr>
                  <w:r>
                    <w:rPr>
                      <w:kern w:val="0"/>
                      <w:szCs w:val="21"/>
                    </w:rPr>
                    <w:t>液体</w:t>
                  </w:r>
                </w:p>
              </w:tc>
              <w:tc>
                <w:tcPr>
                  <w:tcW w:w="754" w:type="pct"/>
                  <w:vAlign w:val="center"/>
                </w:tcPr>
                <w:p>
                  <w:pPr>
                    <w:jc w:val="center"/>
                    <w:rPr>
                      <w:szCs w:val="21"/>
                    </w:rPr>
                  </w:pPr>
                  <w:r>
                    <w:rPr>
                      <w:szCs w:val="21"/>
                    </w:rPr>
                    <w:t>15</w:t>
                  </w:r>
                </w:p>
              </w:tc>
              <w:tc>
                <w:tcPr>
                  <w:tcW w:w="481" w:type="pct"/>
                  <w:vAlign w:val="center"/>
                </w:tcPr>
                <w:p>
                  <w:pPr>
                    <w:jc w:val="center"/>
                    <w:rPr>
                      <w:szCs w:val="21"/>
                    </w:rPr>
                  </w:pPr>
                  <w:r>
                    <w:rPr>
                      <w:szCs w:val="21"/>
                    </w:rPr>
                    <w:t>15</w:t>
                  </w:r>
                </w:p>
              </w:tc>
              <w:tc>
                <w:tcPr>
                  <w:tcW w:w="664" w:type="pct"/>
                  <w:vAlign w:val="center"/>
                </w:tcPr>
                <w:p>
                  <w:pPr>
                    <w:jc w:val="center"/>
                    <w:rPr>
                      <w:szCs w:val="21"/>
                    </w:rPr>
                  </w:pPr>
                  <w:r>
                    <w:rPr>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395" w:type="pct"/>
                  <w:vMerge w:val="continue"/>
                  <w:vAlign w:val="center"/>
                </w:tcPr>
                <w:p>
                  <w:pPr>
                    <w:widowControl/>
                    <w:jc w:val="center"/>
                    <w:rPr>
                      <w:kern w:val="0"/>
                      <w:szCs w:val="21"/>
                    </w:rPr>
                  </w:pPr>
                </w:p>
              </w:tc>
              <w:tc>
                <w:tcPr>
                  <w:tcW w:w="528" w:type="pct"/>
                  <w:vMerge w:val="continue"/>
                  <w:vAlign w:val="center"/>
                </w:tcPr>
                <w:p>
                  <w:pPr>
                    <w:widowControl/>
                    <w:jc w:val="center"/>
                    <w:rPr>
                      <w:kern w:val="0"/>
                      <w:szCs w:val="21"/>
                    </w:rPr>
                  </w:pPr>
                </w:p>
              </w:tc>
              <w:tc>
                <w:tcPr>
                  <w:tcW w:w="634" w:type="pct"/>
                  <w:vAlign w:val="center"/>
                </w:tcPr>
                <w:p>
                  <w:pPr>
                    <w:widowControl/>
                    <w:jc w:val="center"/>
                    <w:rPr>
                      <w:kern w:val="0"/>
                      <w:szCs w:val="21"/>
                    </w:rPr>
                  </w:pPr>
                  <w:r>
                    <w:rPr>
                      <w:kern w:val="0"/>
                      <w:szCs w:val="21"/>
                    </w:rPr>
                    <w:t>工业酒精</w:t>
                  </w:r>
                </w:p>
              </w:tc>
              <w:tc>
                <w:tcPr>
                  <w:tcW w:w="729" w:type="pct"/>
                  <w:vAlign w:val="center"/>
                </w:tcPr>
                <w:p>
                  <w:pPr>
                    <w:jc w:val="center"/>
                    <w:rPr>
                      <w:kern w:val="0"/>
                      <w:szCs w:val="21"/>
                    </w:rPr>
                  </w:pPr>
                  <w:r>
                    <w:rPr>
                      <w:bCs/>
                      <w:szCs w:val="21"/>
                    </w:rPr>
                    <w:t>乙醇</w:t>
                  </w:r>
                </w:p>
              </w:tc>
              <w:tc>
                <w:tcPr>
                  <w:tcW w:w="503" w:type="pct"/>
                  <w:vAlign w:val="center"/>
                </w:tcPr>
                <w:p>
                  <w:pPr>
                    <w:widowControl/>
                    <w:jc w:val="center"/>
                    <w:rPr>
                      <w:kern w:val="0"/>
                      <w:szCs w:val="21"/>
                    </w:rPr>
                  </w:pPr>
                  <w:r>
                    <w:rPr>
                      <w:kern w:val="0"/>
                      <w:szCs w:val="21"/>
                    </w:rPr>
                    <w:t>桶装，170kg/桶</w:t>
                  </w:r>
                </w:p>
              </w:tc>
              <w:tc>
                <w:tcPr>
                  <w:tcW w:w="308" w:type="pct"/>
                  <w:vAlign w:val="center"/>
                </w:tcPr>
                <w:p>
                  <w:pPr>
                    <w:widowControl/>
                    <w:jc w:val="center"/>
                    <w:rPr>
                      <w:kern w:val="0"/>
                      <w:szCs w:val="21"/>
                    </w:rPr>
                  </w:pPr>
                  <w:r>
                    <w:rPr>
                      <w:kern w:val="0"/>
                      <w:szCs w:val="21"/>
                    </w:rPr>
                    <w:t>液体</w:t>
                  </w:r>
                </w:p>
              </w:tc>
              <w:tc>
                <w:tcPr>
                  <w:tcW w:w="754" w:type="pct"/>
                  <w:vAlign w:val="center"/>
                </w:tcPr>
                <w:p>
                  <w:pPr>
                    <w:jc w:val="center"/>
                    <w:rPr>
                      <w:szCs w:val="21"/>
                    </w:rPr>
                  </w:pPr>
                  <w:r>
                    <w:rPr>
                      <w:szCs w:val="21"/>
                    </w:rPr>
                    <w:t>100</w:t>
                  </w:r>
                </w:p>
              </w:tc>
              <w:tc>
                <w:tcPr>
                  <w:tcW w:w="481" w:type="pct"/>
                  <w:vAlign w:val="center"/>
                </w:tcPr>
                <w:p>
                  <w:pPr>
                    <w:jc w:val="center"/>
                    <w:rPr>
                      <w:szCs w:val="21"/>
                    </w:rPr>
                  </w:pPr>
                  <w:r>
                    <w:rPr>
                      <w:szCs w:val="21"/>
                    </w:rPr>
                    <w:t>100</w:t>
                  </w:r>
                </w:p>
              </w:tc>
              <w:tc>
                <w:tcPr>
                  <w:tcW w:w="664" w:type="pct"/>
                  <w:vAlign w:val="center"/>
                </w:tcPr>
                <w:p>
                  <w:pPr>
                    <w:jc w:val="center"/>
                    <w:rPr>
                      <w:szCs w:val="21"/>
                    </w:rPr>
                  </w:pPr>
                  <w:r>
                    <w:rPr>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395" w:type="pct"/>
                  <w:vMerge w:val="continue"/>
                  <w:vAlign w:val="center"/>
                </w:tcPr>
                <w:p>
                  <w:pPr>
                    <w:widowControl/>
                    <w:jc w:val="center"/>
                    <w:rPr>
                      <w:kern w:val="0"/>
                      <w:szCs w:val="21"/>
                    </w:rPr>
                  </w:pPr>
                </w:p>
              </w:tc>
              <w:tc>
                <w:tcPr>
                  <w:tcW w:w="528" w:type="pct"/>
                  <w:vMerge w:val="restart"/>
                  <w:vAlign w:val="center"/>
                </w:tcPr>
                <w:p>
                  <w:pPr>
                    <w:widowControl/>
                    <w:jc w:val="center"/>
                    <w:rPr>
                      <w:kern w:val="0"/>
                      <w:szCs w:val="21"/>
                    </w:rPr>
                  </w:pPr>
                  <w:r>
                    <w:rPr>
                      <w:kern w:val="0"/>
                      <w:szCs w:val="21"/>
                    </w:rPr>
                    <w:t>雨衣膜</w:t>
                  </w:r>
                </w:p>
              </w:tc>
              <w:tc>
                <w:tcPr>
                  <w:tcW w:w="634" w:type="pct"/>
                  <w:vAlign w:val="center"/>
                </w:tcPr>
                <w:p>
                  <w:pPr>
                    <w:widowControl/>
                    <w:jc w:val="center"/>
                    <w:rPr>
                      <w:kern w:val="0"/>
                      <w:szCs w:val="21"/>
                    </w:rPr>
                  </w:pPr>
                  <w:r>
                    <w:rPr>
                      <w:kern w:val="0"/>
                      <w:szCs w:val="21"/>
                    </w:rPr>
                    <w:t>PVC膜</w:t>
                  </w:r>
                </w:p>
              </w:tc>
              <w:tc>
                <w:tcPr>
                  <w:tcW w:w="729" w:type="pct"/>
                  <w:vAlign w:val="center"/>
                </w:tcPr>
                <w:p>
                  <w:pPr>
                    <w:jc w:val="center"/>
                    <w:rPr>
                      <w:kern w:val="0"/>
                      <w:szCs w:val="21"/>
                    </w:rPr>
                  </w:pPr>
                  <w:r>
                    <w:rPr>
                      <w:bCs/>
                      <w:szCs w:val="21"/>
                    </w:rPr>
                    <w:t>/</w:t>
                  </w:r>
                </w:p>
              </w:tc>
              <w:tc>
                <w:tcPr>
                  <w:tcW w:w="503" w:type="pct"/>
                  <w:vAlign w:val="center"/>
                </w:tcPr>
                <w:p>
                  <w:pPr>
                    <w:widowControl/>
                    <w:jc w:val="center"/>
                    <w:rPr>
                      <w:kern w:val="0"/>
                      <w:szCs w:val="21"/>
                    </w:rPr>
                  </w:pPr>
                  <w:r>
                    <w:rPr>
                      <w:kern w:val="0"/>
                      <w:szCs w:val="21"/>
                    </w:rPr>
                    <w:t>/</w:t>
                  </w:r>
                </w:p>
              </w:tc>
              <w:tc>
                <w:tcPr>
                  <w:tcW w:w="308" w:type="pct"/>
                  <w:vAlign w:val="center"/>
                </w:tcPr>
                <w:p>
                  <w:pPr>
                    <w:widowControl/>
                    <w:jc w:val="center"/>
                    <w:rPr>
                      <w:kern w:val="0"/>
                      <w:szCs w:val="21"/>
                    </w:rPr>
                  </w:pPr>
                  <w:r>
                    <w:rPr>
                      <w:kern w:val="0"/>
                      <w:szCs w:val="21"/>
                    </w:rPr>
                    <w:t>固体</w:t>
                  </w:r>
                </w:p>
              </w:tc>
              <w:tc>
                <w:tcPr>
                  <w:tcW w:w="754" w:type="pct"/>
                  <w:vAlign w:val="center"/>
                </w:tcPr>
                <w:p>
                  <w:pPr>
                    <w:jc w:val="center"/>
                    <w:rPr>
                      <w:szCs w:val="21"/>
                    </w:rPr>
                  </w:pPr>
                  <w:r>
                    <w:rPr>
                      <w:szCs w:val="21"/>
                    </w:rPr>
                    <w:t>3000</w:t>
                  </w:r>
                </w:p>
              </w:tc>
              <w:tc>
                <w:tcPr>
                  <w:tcW w:w="481" w:type="pct"/>
                  <w:vAlign w:val="center"/>
                </w:tcPr>
                <w:p>
                  <w:pPr>
                    <w:jc w:val="center"/>
                    <w:rPr>
                      <w:szCs w:val="21"/>
                    </w:rPr>
                  </w:pPr>
                  <w:r>
                    <w:rPr>
                      <w:szCs w:val="21"/>
                    </w:rPr>
                    <w:t>2250</w:t>
                  </w:r>
                </w:p>
              </w:tc>
              <w:tc>
                <w:tcPr>
                  <w:tcW w:w="664" w:type="pct"/>
                  <w:vAlign w:val="center"/>
                </w:tcPr>
                <w:p>
                  <w:pPr>
                    <w:jc w:val="center"/>
                    <w:rPr>
                      <w:szCs w:val="21"/>
                    </w:rPr>
                  </w:pPr>
                  <w:r>
                    <w:rPr>
                      <w:szCs w:val="21"/>
                    </w:rPr>
                    <w:t>-750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395" w:type="pct"/>
                  <w:vMerge w:val="continue"/>
                  <w:vAlign w:val="center"/>
                </w:tcPr>
                <w:p>
                  <w:pPr>
                    <w:widowControl/>
                    <w:jc w:val="center"/>
                    <w:rPr>
                      <w:kern w:val="0"/>
                      <w:szCs w:val="21"/>
                    </w:rPr>
                  </w:pPr>
                </w:p>
              </w:tc>
              <w:tc>
                <w:tcPr>
                  <w:tcW w:w="528" w:type="pct"/>
                  <w:vMerge w:val="continue"/>
                  <w:vAlign w:val="center"/>
                </w:tcPr>
                <w:p>
                  <w:pPr>
                    <w:widowControl/>
                    <w:jc w:val="center"/>
                    <w:rPr>
                      <w:kern w:val="0"/>
                      <w:szCs w:val="21"/>
                    </w:rPr>
                  </w:pPr>
                </w:p>
              </w:tc>
              <w:tc>
                <w:tcPr>
                  <w:tcW w:w="634" w:type="pct"/>
                  <w:vAlign w:val="center"/>
                </w:tcPr>
                <w:p>
                  <w:pPr>
                    <w:widowControl/>
                    <w:jc w:val="center"/>
                    <w:rPr>
                      <w:kern w:val="0"/>
                      <w:szCs w:val="21"/>
                    </w:rPr>
                  </w:pPr>
                  <w:r>
                    <w:rPr>
                      <w:kern w:val="0"/>
                      <w:szCs w:val="21"/>
                    </w:rPr>
                    <w:t>油墨</w:t>
                  </w:r>
                </w:p>
              </w:tc>
              <w:tc>
                <w:tcPr>
                  <w:tcW w:w="729" w:type="pct"/>
                  <w:vAlign w:val="center"/>
                </w:tcPr>
                <w:p>
                  <w:pPr>
                    <w:widowControl/>
                    <w:jc w:val="center"/>
                    <w:rPr>
                      <w:kern w:val="0"/>
                      <w:szCs w:val="21"/>
                    </w:rPr>
                  </w:pPr>
                  <w:r>
                    <w:rPr>
                      <w:kern w:val="0"/>
                      <w:szCs w:val="21"/>
                    </w:rPr>
                    <w:t>树脂35%、二甲苯10%、异丙醇35%、颜料15%、助剂5%</w:t>
                  </w:r>
                </w:p>
              </w:tc>
              <w:tc>
                <w:tcPr>
                  <w:tcW w:w="503" w:type="pct"/>
                  <w:vAlign w:val="center"/>
                </w:tcPr>
                <w:p>
                  <w:pPr>
                    <w:widowControl/>
                    <w:jc w:val="center"/>
                    <w:rPr>
                      <w:kern w:val="0"/>
                      <w:szCs w:val="21"/>
                    </w:rPr>
                  </w:pPr>
                  <w:r>
                    <w:rPr>
                      <w:kern w:val="0"/>
                      <w:szCs w:val="21"/>
                    </w:rPr>
                    <w:t>桶装</w:t>
                  </w:r>
                </w:p>
              </w:tc>
              <w:tc>
                <w:tcPr>
                  <w:tcW w:w="308" w:type="pct"/>
                  <w:vAlign w:val="center"/>
                </w:tcPr>
                <w:p>
                  <w:pPr>
                    <w:widowControl/>
                    <w:jc w:val="center"/>
                    <w:rPr>
                      <w:kern w:val="0"/>
                      <w:szCs w:val="21"/>
                    </w:rPr>
                  </w:pPr>
                  <w:r>
                    <w:rPr>
                      <w:kern w:val="0"/>
                      <w:szCs w:val="21"/>
                    </w:rPr>
                    <w:t>液体</w:t>
                  </w:r>
                </w:p>
              </w:tc>
              <w:tc>
                <w:tcPr>
                  <w:tcW w:w="754" w:type="pct"/>
                  <w:vAlign w:val="center"/>
                </w:tcPr>
                <w:p>
                  <w:pPr>
                    <w:jc w:val="center"/>
                    <w:rPr>
                      <w:szCs w:val="21"/>
                    </w:rPr>
                  </w:pPr>
                  <w:r>
                    <w:rPr>
                      <w:szCs w:val="21"/>
                    </w:rPr>
                    <w:t>10</w:t>
                  </w:r>
                </w:p>
              </w:tc>
              <w:tc>
                <w:tcPr>
                  <w:tcW w:w="481" w:type="pct"/>
                  <w:vAlign w:val="center"/>
                </w:tcPr>
                <w:p>
                  <w:pPr>
                    <w:jc w:val="center"/>
                    <w:rPr>
                      <w:szCs w:val="21"/>
                    </w:rPr>
                  </w:pPr>
                  <w:r>
                    <w:rPr>
                      <w:szCs w:val="21"/>
                    </w:rPr>
                    <w:t>7.5</w:t>
                  </w:r>
                </w:p>
              </w:tc>
              <w:tc>
                <w:tcPr>
                  <w:tcW w:w="664" w:type="pct"/>
                  <w:vAlign w:val="center"/>
                </w:tcPr>
                <w:p>
                  <w:pPr>
                    <w:jc w:val="center"/>
                    <w:rPr>
                      <w:szCs w:val="21"/>
                    </w:rPr>
                  </w:pPr>
                  <w:r>
                    <w:rPr>
                      <w:szCs w:val="21"/>
                    </w:rPr>
                    <w:t>-2.5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395" w:type="pct"/>
                  <w:vMerge w:val="continue"/>
                  <w:vAlign w:val="center"/>
                </w:tcPr>
                <w:p>
                  <w:pPr>
                    <w:widowControl/>
                    <w:jc w:val="center"/>
                    <w:rPr>
                      <w:kern w:val="0"/>
                      <w:szCs w:val="21"/>
                    </w:rPr>
                  </w:pPr>
                </w:p>
              </w:tc>
              <w:tc>
                <w:tcPr>
                  <w:tcW w:w="528" w:type="pct"/>
                  <w:vMerge w:val="continue"/>
                  <w:vAlign w:val="center"/>
                </w:tcPr>
                <w:p>
                  <w:pPr>
                    <w:widowControl/>
                    <w:jc w:val="center"/>
                    <w:rPr>
                      <w:kern w:val="0"/>
                      <w:szCs w:val="21"/>
                    </w:rPr>
                  </w:pPr>
                </w:p>
              </w:tc>
              <w:tc>
                <w:tcPr>
                  <w:tcW w:w="634" w:type="pct"/>
                  <w:vAlign w:val="center"/>
                </w:tcPr>
                <w:p>
                  <w:pPr>
                    <w:widowControl/>
                    <w:jc w:val="center"/>
                    <w:rPr>
                      <w:kern w:val="0"/>
                      <w:szCs w:val="21"/>
                    </w:rPr>
                  </w:pPr>
                  <w:r>
                    <w:rPr>
                      <w:kern w:val="0"/>
                      <w:szCs w:val="21"/>
                    </w:rPr>
                    <w:t>丁酮</w:t>
                  </w:r>
                </w:p>
              </w:tc>
              <w:tc>
                <w:tcPr>
                  <w:tcW w:w="729" w:type="pct"/>
                  <w:vAlign w:val="center"/>
                </w:tcPr>
                <w:p>
                  <w:pPr>
                    <w:jc w:val="center"/>
                    <w:rPr>
                      <w:bCs/>
                      <w:szCs w:val="21"/>
                    </w:rPr>
                  </w:pPr>
                  <w:r>
                    <w:rPr>
                      <w:bCs/>
                      <w:szCs w:val="21"/>
                    </w:rPr>
                    <w:t>/</w:t>
                  </w:r>
                </w:p>
              </w:tc>
              <w:tc>
                <w:tcPr>
                  <w:tcW w:w="503" w:type="pct"/>
                  <w:vAlign w:val="center"/>
                </w:tcPr>
                <w:p>
                  <w:pPr>
                    <w:widowControl/>
                    <w:jc w:val="center"/>
                    <w:rPr>
                      <w:kern w:val="0"/>
                      <w:szCs w:val="21"/>
                    </w:rPr>
                  </w:pPr>
                  <w:r>
                    <w:rPr>
                      <w:kern w:val="0"/>
                      <w:szCs w:val="21"/>
                    </w:rPr>
                    <w:t>桶装</w:t>
                  </w:r>
                </w:p>
              </w:tc>
              <w:tc>
                <w:tcPr>
                  <w:tcW w:w="308" w:type="pct"/>
                  <w:vAlign w:val="center"/>
                </w:tcPr>
                <w:p>
                  <w:pPr>
                    <w:widowControl/>
                    <w:jc w:val="center"/>
                    <w:rPr>
                      <w:kern w:val="0"/>
                      <w:szCs w:val="21"/>
                    </w:rPr>
                  </w:pPr>
                  <w:r>
                    <w:rPr>
                      <w:kern w:val="0"/>
                      <w:szCs w:val="21"/>
                    </w:rPr>
                    <w:t>液体</w:t>
                  </w:r>
                </w:p>
              </w:tc>
              <w:tc>
                <w:tcPr>
                  <w:tcW w:w="754" w:type="pct"/>
                  <w:vAlign w:val="center"/>
                </w:tcPr>
                <w:p>
                  <w:pPr>
                    <w:jc w:val="center"/>
                    <w:rPr>
                      <w:szCs w:val="21"/>
                    </w:rPr>
                  </w:pPr>
                  <w:r>
                    <w:rPr>
                      <w:szCs w:val="21"/>
                    </w:rPr>
                    <w:t>25</w:t>
                  </w:r>
                </w:p>
              </w:tc>
              <w:tc>
                <w:tcPr>
                  <w:tcW w:w="481" w:type="pct"/>
                  <w:vAlign w:val="center"/>
                </w:tcPr>
                <w:p>
                  <w:pPr>
                    <w:jc w:val="center"/>
                    <w:rPr>
                      <w:szCs w:val="21"/>
                    </w:rPr>
                  </w:pPr>
                  <w:r>
                    <w:rPr>
                      <w:szCs w:val="21"/>
                    </w:rPr>
                    <w:t>18.75</w:t>
                  </w:r>
                </w:p>
              </w:tc>
              <w:tc>
                <w:tcPr>
                  <w:tcW w:w="664" w:type="pct"/>
                  <w:vAlign w:val="center"/>
                </w:tcPr>
                <w:p>
                  <w:pPr>
                    <w:jc w:val="center"/>
                    <w:rPr>
                      <w:szCs w:val="21"/>
                    </w:rPr>
                  </w:pPr>
                  <w:r>
                    <w:rPr>
                      <w:szCs w:val="21"/>
                    </w:rPr>
                    <w:t>-6.25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395" w:type="pct"/>
                  <w:vMerge w:val="continue"/>
                  <w:vAlign w:val="center"/>
                </w:tcPr>
                <w:p>
                  <w:pPr>
                    <w:widowControl/>
                    <w:jc w:val="center"/>
                    <w:rPr>
                      <w:kern w:val="0"/>
                      <w:szCs w:val="21"/>
                    </w:rPr>
                  </w:pPr>
                </w:p>
              </w:tc>
              <w:tc>
                <w:tcPr>
                  <w:tcW w:w="528" w:type="pct"/>
                  <w:vMerge w:val="continue"/>
                  <w:vAlign w:val="center"/>
                </w:tcPr>
                <w:p>
                  <w:pPr>
                    <w:widowControl/>
                    <w:jc w:val="center"/>
                    <w:rPr>
                      <w:kern w:val="0"/>
                      <w:szCs w:val="21"/>
                    </w:rPr>
                  </w:pPr>
                </w:p>
              </w:tc>
              <w:tc>
                <w:tcPr>
                  <w:tcW w:w="634" w:type="pct"/>
                  <w:vAlign w:val="center"/>
                </w:tcPr>
                <w:p>
                  <w:pPr>
                    <w:widowControl/>
                    <w:jc w:val="center"/>
                    <w:rPr>
                      <w:kern w:val="0"/>
                      <w:szCs w:val="21"/>
                    </w:rPr>
                  </w:pPr>
                  <w:r>
                    <w:rPr>
                      <w:kern w:val="0"/>
                      <w:szCs w:val="21"/>
                    </w:rPr>
                    <w:t>丁酯</w:t>
                  </w:r>
                </w:p>
              </w:tc>
              <w:tc>
                <w:tcPr>
                  <w:tcW w:w="729" w:type="pct"/>
                  <w:vAlign w:val="center"/>
                </w:tcPr>
                <w:p>
                  <w:pPr>
                    <w:jc w:val="center"/>
                    <w:rPr>
                      <w:bCs/>
                      <w:szCs w:val="21"/>
                    </w:rPr>
                  </w:pPr>
                  <w:r>
                    <w:rPr>
                      <w:bCs/>
                      <w:szCs w:val="21"/>
                    </w:rPr>
                    <w:t>/</w:t>
                  </w:r>
                </w:p>
              </w:tc>
              <w:tc>
                <w:tcPr>
                  <w:tcW w:w="503" w:type="pct"/>
                  <w:vAlign w:val="center"/>
                </w:tcPr>
                <w:p>
                  <w:pPr>
                    <w:widowControl/>
                    <w:jc w:val="center"/>
                    <w:rPr>
                      <w:kern w:val="0"/>
                      <w:szCs w:val="21"/>
                    </w:rPr>
                  </w:pPr>
                  <w:r>
                    <w:rPr>
                      <w:kern w:val="0"/>
                      <w:szCs w:val="21"/>
                    </w:rPr>
                    <w:t>桶装</w:t>
                  </w:r>
                </w:p>
              </w:tc>
              <w:tc>
                <w:tcPr>
                  <w:tcW w:w="308" w:type="pct"/>
                  <w:vAlign w:val="center"/>
                </w:tcPr>
                <w:p>
                  <w:pPr>
                    <w:widowControl/>
                    <w:jc w:val="center"/>
                    <w:rPr>
                      <w:kern w:val="0"/>
                      <w:szCs w:val="21"/>
                    </w:rPr>
                  </w:pPr>
                  <w:r>
                    <w:rPr>
                      <w:kern w:val="0"/>
                      <w:szCs w:val="21"/>
                    </w:rPr>
                    <w:t>液体</w:t>
                  </w:r>
                </w:p>
              </w:tc>
              <w:tc>
                <w:tcPr>
                  <w:tcW w:w="754" w:type="pct"/>
                  <w:vAlign w:val="center"/>
                </w:tcPr>
                <w:p>
                  <w:pPr>
                    <w:jc w:val="center"/>
                    <w:rPr>
                      <w:szCs w:val="21"/>
                    </w:rPr>
                  </w:pPr>
                  <w:r>
                    <w:rPr>
                      <w:szCs w:val="21"/>
                    </w:rPr>
                    <w:t>25</w:t>
                  </w:r>
                </w:p>
              </w:tc>
              <w:tc>
                <w:tcPr>
                  <w:tcW w:w="481" w:type="pct"/>
                  <w:vAlign w:val="center"/>
                </w:tcPr>
                <w:p>
                  <w:pPr>
                    <w:jc w:val="center"/>
                    <w:rPr>
                      <w:szCs w:val="21"/>
                    </w:rPr>
                  </w:pPr>
                  <w:r>
                    <w:rPr>
                      <w:szCs w:val="21"/>
                    </w:rPr>
                    <w:t>18.75</w:t>
                  </w:r>
                </w:p>
              </w:tc>
              <w:tc>
                <w:tcPr>
                  <w:tcW w:w="664" w:type="pct"/>
                  <w:vAlign w:val="center"/>
                </w:tcPr>
                <w:p>
                  <w:pPr>
                    <w:jc w:val="center"/>
                    <w:rPr>
                      <w:szCs w:val="21"/>
                    </w:rPr>
                  </w:pPr>
                  <w:r>
                    <w:rPr>
                      <w:szCs w:val="21"/>
                    </w:rPr>
                    <w:t>-6.25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395" w:type="pct"/>
                  <w:vMerge w:val="continue"/>
                  <w:vAlign w:val="center"/>
                </w:tcPr>
                <w:p>
                  <w:pPr>
                    <w:widowControl/>
                    <w:jc w:val="center"/>
                    <w:rPr>
                      <w:kern w:val="0"/>
                      <w:szCs w:val="21"/>
                    </w:rPr>
                  </w:pPr>
                </w:p>
              </w:tc>
              <w:tc>
                <w:tcPr>
                  <w:tcW w:w="528" w:type="pct"/>
                  <w:vMerge w:val="restart"/>
                  <w:vAlign w:val="center"/>
                </w:tcPr>
                <w:p>
                  <w:pPr>
                    <w:widowControl/>
                    <w:jc w:val="center"/>
                    <w:rPr>
                      <w:kern w:val="0"/>
                      <w:szCs w:val="21"/>
                    </w:rPr>
                  </w:pPr>
                  <w:r>
                    <w:rPr>
                      <w:kern w:val="0"/>
                      <w:szCs w:val="21"/>
                    </w:rPr>
                    <w:t>箱包布</w:t>
                  </w:r>
                </w:p>
              </w:tc>
              <w:tc>
                <w:tcPr>
                  <w:tcW w:w="634" w:type="pct"/>
                  <w:vAlign w:val="center"/>
                </w:tcPr>
                <w:p>
                  <w:pPr>
                    <w:widowControl/>
                    <w:jc w:val="center"/>
                    <w:rPr>
                      <w:kern w:val="0"/>
                      <w:szCs w:val="21"/>
                    </w:rPr>
                  </w:pPr>
                  <w:r>
                    <w:rPr>
                      <w:kern w:val="0"/>
                      <w:szCs w:val="21"/>
                    </w:rPr>
                    <w:t>坯布</w:t>
                  </w:r>
                </w:p>
              </w:tc>
              <w:tc>
                <w:tcPr>
                  <w:tcW w:w="729" w:type="pct"/>
                  <w:vAlign w:val="center"/>
                </w:tcPr>
                <w:p>
                  <w:pPr>
                    <w:jc w:val="center"/>
                    <w:rPr>
                      <w:bCs/>
                      <w:szCs w:val="21"/>
                    </w:rPr>
                  </w:pPr>
                  <w:r>
                    <w:rPr>
                      <w:bCs/>
                      <w:szCs w:val="21"/>
                    </w:rPr>
                    <w:t>/</w:t>
                  </w:r>
                </w:p>
              </w:tc>
              <w:tc>
                <w:tcPr>
                  <w:tcW w:w="503" w:type="pct"/>
                  <w:vAlign w:val="center"/>
                </w:tcPr>
                <w:p>
                  <w:pPr>
                    <w:widowControl/>
                    <w:jc w:val="center"/>
                    <w:rPr>
                      <w:kern w:val="0"/>
                      <w:szCs w:val="21"/>
                    </w:rPr>
                  </w:pPr>
                  <w:r>
                    <w:rPr>
                      <w:kern w:val="0"/>
                      <w:szCs w:val="21"/>
                    </w:rPr>
                    <w:t>/</w:t>
                  </w:r>
                </w:p>
              </w:tc>
              <w:tc>
                <w:tcPr>
                  <w:tcW w:w="308" w:type="pct"/>
                  <w:vAlign w:val="center"/>
                </w:tcPr>
                <w:p>
                  <w:pPr>
                    <w:widowControl/>
                    <w:jc w:val="center"/>
                    <w:rPr>
                      <w:kern w:val="0"/>
                      <w:szCs w:val="21"/>
                    </w:rPr>
                  </w:pPr>
                  <w:r>
                    <w:rPr>
                      <w:kern w:val="0"/>
                      <w:szCs w:val="21"/>
                    </w:rPr>
                    <w:t>固体</w:t>
                  </w:r>
                </w:p>
              </w:tc>
              <w:tc>
                <w:tcPr>
                  <w:tcW w:w="754" w:type="pct"/>
                  <w:vAlign w:val="center"/>
                </w:tcPr>
                <w:p>
                  <w:pPr>
                    <w:jc w:val="center"/>
                    <w:rPr>
                      <w:szCs w:val="21"/>
                    </w:rPr>
                  </w:pPr>
                  <w:r>
                    <w:rPr>
                      <w:kern w:val="0"/>
                      <w:szCs w:val="21"/>
                    </w:rPr>
                    <w:t>2000万米</w:t>
                  </w:r>
                </w:p>
              </w:tc>
              <w:tc>
                <w:tcPr>
                  <w:tcW w:w="481" w:type="pct"/>
                  <w:vAlign w:val="center"/>
                </w:tcPr>
                <w:p>
                  <w:pPr>
                    <w:jc w:val="center"/>
                    <w:rPr>
                      <w:szCs w:val="21"/>
                    </w:rPr>
                  </w:pPr>
                  <w:r>
                    <w:rPr>
                      <w:kern w:val="0"/>
                      <w:szCs w:val="21"/>
                    </w:rPr>
                    <w:t>0</w:t>
                  </w:r>
                </w:p>
              </w:tc>
              <w:tc>
                <w:tcPr>
                  <w:tcW w:w="664" w:type="pct"/>
                  <w:vAlign w:val="center"/>
                </w:tcPr>
                <w:p>
                  <w:pPr>
                    <w:jc w:val="center"/>
                    <w:rPr>
                      <w:szCs w:val="21"/>
                    </w:rPr>
                  </w:pPr>
                  <w:r>
                    <w:rPr>
                      <w:kern w:val="0"/>
                      <w:szCs w:val="21"/>
                    </w:rPr>
                    <w:t>-2000万米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395" w:type="pct"/>
                  <w:vMerge w:val="continue"/>
                  <w:vAlign w:val="center"/>
                </w:tcPr>
                <w:p>
                  <w:pPr>
                    <w:widowControl/>
                    <w:jc w:val="center"/>
                    <w:rPr>
                      <w:kern w:val="0"/>
                      <w:szCs w:val="21"/>
                    </w:rPr>
                  </w:pPr>
                </w:p>
              </w:tc>
              <w:tc>
                <w:tcPr>
                  <w:tcW w:w="528" w:type="pct"/>
                  <w:vMerge w:val="continue"/>
                  <w:vAlign w:val="center"/>
                </w:tcPr>
                <w:p>
                  <w:pPr>
                    <w:widowControl/>
                    <w:jc w:val="center"/>
                    <w:rPr>
                      <w:kern w:val="0"/>
                      <w:szCs w:val="21"/>
                    </w:rPr>
                  </w:pPr>
                </w:p>
              </w:tc>
              <w:tc>
                <w:tcPr>
                  <w:tcW w:w="634" w:type="pct"/>
                  <w:vAlign w:val="center"/>
                </w:tcPr>
                <w:p>
                  <w:pPr>
                    <w:widowControl/>
                    <w:jc w:val="center"/>
                    <w:rPr>
                      <w:kern w:val="0"/>
                      <w:szCs w:val="21"/>
                    </w:rPr>
                  </w:pPr>
                  <w:r>
                    <w:rPr>
                      <w:kern w:val="0"/>
                      <w:szCs w:val="21"/>
                    </w:rPr>
                    <w:t>环保型软胶</w:t>
                  </w:r>
                </w:p>
              </w:tc>
              <w:tc>
                <w:tcPr>
                  <w:tcW w:w="729" w:type="pct"/>
                  <w:vAlign w:val="center"/>
                </w:tcPr>
                <w:p>
                  <w:pPr>
                    <w:jc w:val="center"/>
                    <w:rPr>
                      <w:bCs/>
                      <w:szCs w:val="21"/>
                    </w:rPr>
                  </w:pPr>
                  <w:r>
                    <w:rPr>
                      <w:bCs/>
                      <w:szCs w:val="21"/>
                    </w:rPr>
                    <w:t>/</w:t>
                  </w:r>
                </w:p>
              </w:tc>
              <w:tc>
                <w:tcPr>
                  <w:tcW w:w="503" w:type="pct"/>
                  <w:vAlign w:val="center"/>
                </w:tcPr>
                <w:p>
                  <w:pPr>
                    <w:widowControl/>
                    <w:jc w:val="center"/>
                    <w:rPr>
                      <w:kern w:val="0"/>
                      <w:szCs w:val="21"/>
                    </w:rPr>
                  </w:pPr>
                  <w:r>
                    <w:rPr>
                      <w:kern w:val="0"/>
                      <w:szCs w:val="21"/>
                    </w:rPr>
                    <w:t>桶装</w:t>
                  </w:r>
                </w:p>
              </w:tc>
              <w:tc>
                <w:tcPr>
                  <w:tcW w:w="308" w:type="pct"/>
                  <w:vAlign w:val="center"/>
                </w:tcPr>
                <w:p>
                  <w:pPr>
                    <w:widowControl/>
                    <w:jc w:val="center"/>
                    <w:rPr>
                      <w:kern w:val="0"/>
                      <w:szCs w:val="21"/>
                    </w:rPr>
                  </w:pPr>
                </w:p>
              </w:tc>
              <w:tc>
                <w:tcPr>
                  <w:tcW w:w="754" w:type="pct"/>
                  <w:vAlign w:val="center"/>
                </w:tcPr>
                <w:p>
                  <w:pPr>
                    <w:jc w:val="center"/>
                    <w:rPr>
                      <w:szCs w:val="21"/>
                    </w:rPr>
                  </w:pPr>
                  <w:r>
                    <w:rPr>
                      <w:szCs w:val="21"/>
                    </w:rPr>
                    <w:t>140</w:t>
                  </w:r>
                </w:p>
              </w:tc>
              <w:tc>
                <w:tcPr>
                  <w:tcW w:w="481" w:type="pct"/>
                  <w:vAlign w:val="center"/>
                </w:tcPr>
                <w:p>
                  <w:pPr>
                    <w:jc w:val="center"/>
                    <w:rPr>
                      <w:szCs w:val="21"/>
                    </w:rPr>
                  </w:pPr>
                  <w:r>
                    <w:rPr>
                      <w:szCs w:val="21"/>
                    </w:rPr>
                    <w:t>0</w:t>
                  </w:r>
                </w:p>
              </w:tc>
              <w:tc>
                <w:tcPr>
                  <w:tcW w:w="664" w:type="pct"/>
                  <w:vAlign w:val="center"/>
                </w:tcPr>
                <w:p>
                  <w:pPr>
                    <w:jc w:val="center"/>
                    <w:rPr>
                      <w:szCs w:val="21"/>
                    </w:rPr>
                  </w:pPr>
                  <w:r>
                    <w:rPr>
                      <w:szCs w:val="21"/>
                    </w:rPr>
                    <w:t>-140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395" w:type="pct"/>
                  <w:vMerge w:val="continue"/>
                  <w:vAlign w:val="center"/>
                </w:tcPr>
                <w:p>
                  <w:pPr>
                    <w:widowControl/>
                    <w:jc w:val="center"/>
                    <w:rPr>
                      <w:kern w:val="0"/>
                      <w:szCs w:val="21"/>
                    </w:rPr>
                  </w:pPr>
                </w:p>
              </w:tc>
              <w:tc>
                <w:tcPr>
                  <w:tcW w:w="528" w:type="pct"/>
                  <w:vMerge w:val="continue"/>
                  <w:vAlign w:val="center"/>
                </w:tcPr>
                <w:p>
                  <w:pPr>
                    <w:widowControl/>
                    <w:jc w:val="center"/>
                    <w:rPr>
                      <w:kern w:val="0"/>
                      <w:szCs w:val="21"/>
                    </w:rPr>
                  </w:pPr>
                </w:p>
              </w:tc>
              <w:tc>
                <w:tcPr>
                  <w:tcW w:w="634" w:type="pct"/>
                  <w:vAlign w:val="center"/>
                </w:tcPr>
                <w:p>
                  <w:pPr>
                    <w:widowControl/>
                    <w:jc w:val="center"/>
                    <w:rPr>
                      <w:kern w:val="0"/>
                      <w:szCs w:val="21"/>
                    </w:rPr>
                  </w:pPr>
                  <w:r>
                    <w:rPr>
                      <w:kern w:val="0"/>
                      <w:szCs w:val="21"/>
                    </w:rPr>
                    <w:t>环保型硬胶</w:t>
                  </w:r>
                </w:p>
              </w:tc>
              <w:tc>
                <w:tcPr>
                  <w:tcW w:w="729" w:type="pct"/>
                  <w:vAlign w:val="center"/>
                </w:tcPr>
                <w:p>
                  <w:pPr>
                    <w:jc w:val="center"/>
                    <w:rPr>
                      <w:bCs/>
                      <w:szCs w:val="21"/>
                    </w:rPr>
                  </w:pPr>
                  <w:r>
                    <w:rPr>
                      <w:bCs/>
                      <w:szCs w:val="21"/>
                    </w:rPr>
                    <w:t>/</w:t>
                  </w:r>
                </w:p>
              </w:tc>
              <w:tc>
                <w:tcPr>
                  <w:tcW w:w="503" w:type="pct"/>
                  <w:vAlign w:val="center"/>
                </w:tcPr>
                <w:p>
                  <w:pPr>
                    <w:widowControl/>
                    <w:jc w:val="center"/>
                    <w:rPr>
                      <w:kern w:val="0"/>
                      <w:szCs w:val="21"/>
                    </w:rPr>
                  </w:pPr>
                  <w:r>
                    <w:rPr>
                      <w:kern w:val="0"/>
                      <w:szCs w:val="21"/>
                    </w:rPr>
                    <w:t>桶装</w:t>
                  </w:r>
                </w:p>
              </w:tc>
              <w:tc>
                <w:tcPr>
                  <w:tcW w:w="308" w:type="pct"/>
                  <w:vAlign w:val="center"/>
                </w:tcPr>
                <w:p>
                  <w:pPr>
                    <w:widowControl/>
                    <w:jc w:val="center"/>
                    <w:rPr>
                      <w:kern w:val="0"/>
                      <w:szCs w:val="21"/>
                    </w:rPr>
                  </w:pPr>
                </w:p>
              </w:tc>
              <w:tc>
                <w:tcPr>
                  <w:tcW w:w="754" w:type="pct"/>
                  <w:vAlign w:val="center"/>
                </w:tcPr>
                <w:p>
                  <w:pPr>
                    <w:jc w:val="center"/>
                    <w:rPr>
                      <w:szCs w:val="21"/>
                    </w:rPr>
                  </w:pPr>
                  <w:r>
                    <w:rPr>
                      <w:szCs w:val="21"/>
                    </w:rPr>
                    <w:t>150</w:t>
                  </w:r>
                </w:p>
              </w:tc>
              <w:tc>
                <w:tcPr>
                  <w:tcW w:w="481" w:type="pct"/>
                  <w:vAlign w:val="center"/>
                </w:tcPr>
                <w:p>
                  <w:pPr>
                    <w:jc w:val="center"/>
                    <w:rPr>
                      <w:szCs w:val="21"/>
                    </w:rPr>
                  </w:pPr>
                  <w:r>
                    <w:rPr>
                      <w:szCs w:val="21"/>
                    </w:rPr>
                    <w:t>0</w:t>
                  </w:r>
                </w:p>
              </w:tc>
              <w:tc>
                <w:tcPr>
                  <w:tcW w:w="664" w:type="pct"/>
                  <w:vAlign w:val="center"/>
                </w:tcPr>
                <w:p>
                  <w:pPr>
                    <w:jc w:val="center"/>
                    <w:rPr>
                      <w:szCs w:val="21"/>
                    </w:rPr>
                  </w:pPr>
                  <w:r>
                    <w:rPr>
                      <w:szCs w:val="21"/>
                    </w:rPr>
                    <w:t>-150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395" w:type="pct"/>
                  <w:vMerge w:val="continue"/>
                  <w:vAlign w:val="center"/>
                </w:tcPr>
                <w:p>
                  <w:pPr>
                    <w:widowControl/>
                    <w:jc w:val="center"/>
                    <w:rPr>
                      <w:kern w:val="0"/>
                      <w:szCs w:val="21"/>
                    </w:rPr>
                  </w:pPr>
                </w:p>
              </w:tc>
              <w:tc>
                <w:tcPr>
                  <w:tcW w:w="528" w:type="pct"/>
                  <w:vMerge w:val="continue"/>
                  <w:vAlign w:val="center"/>
                </w:tcPr>
                <w:p>
                  <w:pPr>
                    <w:widowControl/>
                    <w:jc w:val="center"/>
                    <w:rPr>
                      <w:kern w:val="0"/>
                      <w:szCs w:val="21"/>
                    </w:rPr>
                  </w:pPr>
                </w:p>
              </w:tc>
              <w:tc>
                <w:tcPr>
                  <w:tcW w:w="634" w:type="pct"/>
                  <w:vAlign w:val="center"/>
                </w:tcPr>
                <w:p>
                  <w:pPr>
                    <w:widowControl/>
                    <w:jc w:val="center"/>
                    <w:rPr>
                      <w:kern w:val="0"/>
                      <w:szCs w:val="21"/>
                    </w:rPr>
                  </w:pPr>
                  <w:r>
                    <w:rPr>
                      <w:kern w:val="0"/>
                      <w:szCs w:val="21"/>
                    </w:rPr>
                    <w:t>环保型增稠剂</w:t>
                  </w:r>
                </w:p>
              </w:tc>
              <w:tc>
                <w:tcPr>
                  <w:tcW w:w="729" w:type="pct"/>
                  <w:vAlign w:val="center"/>
                </w:tcPr>
                <w:p>
                  <w:pPr>
                    <w:jc w:val="center"/>
                    <w:rPr>
                      <w:bCs/>
                      <w:szCs w:val="21"/>
                    </w:rPr>
                  </w:pPr>
                  <w:r>
                    <w:rPr>
                      <w:bCs/>
                      <w:szCs w:val="21"/>
                    </w:rPr>
                    <w:t>/</w:t>
                  </w:r>
                </w:p>
              </w:tc>
              <w:tc>
                <w:tcPr>
                  <w:tcW w:w="503" w:type="pct"/>
                  <w:vAlign w:val="center"/>
                </w:tcPr>
                <w:p>
                  <w:pPr>
                    <w:widowControl/>
                    <w:jc w:val="center"/>
                    <w:rPr>
                      <w:kern w:val="0"/>
                      <w:szCs w:val="21"/>
                    </w:rPr>
                  </w:pPr>
                  <w:r>
                    <w:rPr>
                      <w:kern w:val="0"/>
                      <w:szCs w:val="21"/>
                    </w:rPr>
                    <w:t>桶装</w:t>
                  </w:r>
                </w:p>
              </w:tc>
              <w:tc>
                <w:tcPr>
                  <w:tcW w:w="308" w:type="pct"/>
                  <w:vAlign w:val="center"/>
                </w:tcPr>
                <w:p>
                  <w:pPr>
                    <w:widowControl/>
                    <w:jc w:val="center"/>
                    <w:rPr>
                      <w:kern w:val="0"/>
                      <w:szCs w:val="21"/>
                    </w:rPr>
                  </w:pPr>
                </w:p>
              </w:tc>
              <w:tc>
                <w:tcPr>
                  <w:tcW w:w="754" w:type="pct"/>
                  <w:vAlign w:val="center"/>
                </w:tcPr>
                <w:p>
                  <w:pPr>
                    <w:jc w:val="center"/>
                    <w:rPr>
                      <w:szCs w:val="21"/>
                    </w:rPr>
                  </w:pPr>
                  <w:r>
                    <w:rPr>
                      <w:szCs w:val="21"/>
                    </w:rPr>
                    <w:t>5</w:t>
                  </w:r>
                </w:p>
              </w:tc>
              <w:tc>
                <w:tcPr>
                  <w:tcW w:w="481" w:type="pct"/>
                  <w:vAlign w:val="center"/>
                </w:tcPr>
                <w:p>
                  <w:pPr>
                    <w:jc w:val="center"/>
                    <w:rPr>
                      <w:szCs w:val="21"/>
                    </w:rPr>
                  </w:pPr>
                  <w:r>
                    <w:rPr>
                      <w:szCs w:val="21"/>
                    </w:rPr>
                    <w:t>0</w:t>
                  </w:r>
                </w:p>
              </w:tc>
              <w:tc>
                <w:tcPr>
                  <w:tcW w:w="664" w:type="pct"/>
                  <w:vAlign w:val="center"/>
                </w:tcPr>
                <w:p>
                  <w:pPr>
                    <w:jc w:val="center"/>
                    <w:rPr>
                      <w:szCs w:val="21"/>
                    </w:rPr>
                  </w:pPr>
                  <w:r>
                    <w:rPr>
                      <w:szCs w:val="21"/>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395" w:type="pct"/>
                  <w:vMerge w:val="continue"/>
                  <w:vAlign w:val="center"/>
                </w:tcPr>
                <w:p>
                  <w:pPr>
                    <w:widowControl/>
                    <w:jc w:val="center"/>
                    <w:rPr>
                      <w:kern w:val="0"/>
                      <w:szCs w:val="21"/>
                    </w:rPr>
                  </w:pPr>
                </w:p>
              </w:tc>
              <w:tc>
                <w:tcPr>
                  <w:tcW w:w="528" w:type="pct"/>
                  <w:vMerge w:val="continue"/>
                  <w:vAlign w:val="center"/>
                </w:tcPr>
                <w:p>
                  <w:pPr>
                    <w:widowControl/>
                    <w:jc w:val="center"/>
                    <w:rPr>
                      <w:kern w:val="0"/>
                      <w:szCs w:val="21"/>
                    </w:rPr>
                  </w:pPr>
                </w:p>
              </w:tc>
              <w:tc>
                <w:tcPr>
                  <w:tcW w:w="634" w:type="pct"/>
                  <w:vAlign w:val="center"/>
                </w:tcPr>
                <w:p>
                  <w:pPr>
                    <w:widowControl/>
                    <w:jc w:val="center"/>
                    <w:rPr>
                      <w:kern w:val="0"/>
                      <w:szCs w:val="21"/>
                    </w:rPr>
                  </w:pPr>
                  <w:r>
                    <w:rPr>
                      <w:kern w:val="0"/>
                      <w:szCs w:val="21"/>
                    </w:rPr>
                    <w:t>防渗剂</w:t>
                  </w:r>
                </w:p>
              </w:tc>
              <w:tc>
                <w:tcPr>
                  <w:tcW w:w="729" w:type="pct"/>
                  <w:vAlign w:val="center"/>
                </w:tcPr>
                <w:p>
                  <w:pPr>
                    <w:jc w:val="center"/>
                    <w:rPr>
                      <w:bCs/>
                      <w:szCs w:val="21"/>
                    </w:rPr>
                  </w:pPr>
                  <w:r>
                    <w:rPr>
                      <w:bCs/>
                      <w:szCs w:val="21"/>
                    </w:rPr>
                    <w:t>/</w:t>
                  </w:r>
                </w:p>
              </w:tc>
              <w:tc>
                <w:tcPr>
                  <w:tcW w:w="503" w:type="pct"/>
                  <w:vAlign w:val="center"/>
                </w:tcPr>
                <w:p>
                  <w:pPr>
                    <w:widowControl/>
                    <w:jc w:val="center"/>
                    <w:rPr>
                      <w:kern w:val="0"/>
                      <w:szCs w:val="21"/>
                    </w:rPr>
                  </w:pPr>
                  <w:r>
                    <w:rPr>
                      <w:kern w:val="0"/>
                      <w:szCs w:val="21"/>
                    </w:rPr>
                    <w:t>桶装</w:t>
                  </w:r>
                </w:p>
              </w:tc>
              <w:tc>
                <w:tcPr>
                  <w:tcW w:w="308" w:type="pct"/>
                  <w:vAlign w:val="center"/>
                </w:tcPr>
                <w:p>
                  <w:pPr>
                    <w:widowControl/>
                    <w:jc w:val="center"/>
                    <w:rPr>
                      <w:kern w:val="0"/>
                      <w:szCs w:val="21"/>
                    </w:rPr>
                  </w:pPr>
                </w:p>
              </w:tc>
              <w:tc>
                <w:tcPr>
                  <w:tcW w:w="754" w:type="pct"/>
                  <w:vAlign w:val="center"/>
                </w:tcPr>
                <w:p>
                  <w:pPr>
                    <w:jc w:val="center"/>
                    <w:rPr>
                      <w:szCs w:val="21"/>
                    </w:rPr>
                  </w:pPr>
                  <w:r>
                    <w:rPr>
                      <w:szCs w:val="21"/>
                    </w:rPr>
                    <w:t>5</w:t>
                  </w:r>
                </w:p>
              </w:tc>
              <w:tc>
                <w:tcPr>
                  <w:tcW w:w="481" w:type="pct"/>
                  <w:vAlign w:val="center"/>
                </w:tcPr>
                <w:p>
                  <w:pPr>
                    <w:jc w:val="center"/>
                    <w:rPr>
                      <w:szCs w:val="21"/>
                    </w:rPr>
                  </w:pPr>
                  <w:r>
                    <w:rPr>
                      <w:szCs w:val="21"/>
                    </w:rPr>
                    <w:t>0</w:t>
                  </w:r>
                </w:p>
              </w:tc>
              <w:tc>
                <w:tcPr>
                  <w:tcW w:w="664" w:type="pct"/>
                  <w:vAlign w:val="center"/>
                </w:tcPr>
                <w:p>
                  <w:pPr>
                    <w:jc w:val="center"/>
                    <w:rPr>
                      <w:szCs w:val="21"/>
                    </w:rPr>
                  </w:pPr>
                  <w:r>
                    <w:rPr>
                      <w:szCs w:val="21"/>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395" w:type="pct"/>
                  <w:vMerge w:val="continue"/>
                  <w:vAlign w:val="center"/>
                </w:tcPr>
                <w:p>
                  <w:pPr>
                    <w:widowControl/>
                    <w:jc w:val="center"/>
                    <w:rPr>
                      <w:kern w:val="0"/>
                      <w:szCs w:val="21"/>
                    </w:rPr>
                  </w:pPr>
                </w:p>
              </w:tc>
              <w:tc>
                <w:tcPr>
                  <w:tcW w:w="528" w:type="pct"/>
                  <w:vMerge w:val="restart"/>
                  <w:vAlign w:val="center"/>
                </w:tcPr>
                <w:p>
                  <w:pPr>
                    <w:widowControl/>
                    <w:jc w:val="center"/>
                    <w:rPr>
                      <w:kern w:val="0"/>
                      <w:szCs w:val="21"/>
                    </w:rPr>
                  </w:pPr>
                  <w:r>
                    <w:rPr>
                      <w:kern w:val="0"/>
                      <w:szCs w:val="21"/>
                    </w:rPr>
                    <w:t>贴膜箱包布</w:t>
                  </w:r>
                </w:p>
              </w:tc>
              <w:tc>
                <w:tcPr>
                  <w:tcW w:w="634" w:type="pct"/>
                  <w:vAlign w:val="center"/>
                </w:tcPr>
                <w:p>
                  <w:pPr>
                    <w:widowControl/>
                    <w:jc w:val="center"/>
                    <w:rPr>
                      <w:kern w:val="0"/>
                      <w:szCs w:val="21"/>
                    </w:rPr>
                  </w:pPr>
                  <w:r>
                    <w:rPr>
                      <w:kern w:val="0"/>
                      <w:szCs w:val="21"/>
                    </w:rPr>
                    <w:t>杨柳青轻钙</w:t>
                  </w:r>
                </w:p>
              </w:tc>
              <w:tc>
                <w:tcPr>
                  <w:tcW w:w="729" w:type="pct"/>
                  <w:vAlign w:val="center"/>
                </w:tcPr>
                <w:p>
                  <w:pPr>
                    <w:jc w:val="center"/>
                    <w:rPr>
                      <w:bCs/>
                      <w:szCs w:val="21"/>
                    </w:rPr>
                  </w:pPr>
                  <w:r>
                    <w:rPr>
                      <w:bCs/>
                      <w:szCs w:val="21"/>
                    </w:rPr>
                    <w:t>/</w:t>
                  </w:r>
                </w:p>
              </w:tc>
              <w:tc>
                <w:tcPr>
                  <w:tcW w:w="503" w:type="pct"/>
                  <w:vAlign w:val="center"/>
                </w:tcPr>
                <w:p>
                  <w:pPr>
                    <w:widowControl/>
                    <w:jc w:val="center"/>
                    <w:rPr>
                      <w:kern w:val="0"/>
                      <w:szCs w:val="21"/>
                    </w:rPr>
                  </w:pPr>
                  <w:r>
                    <w:rPr>
                      <w:kern w:val="0"/>
                      <w:szCs w:val="21"/>
                    </w:rPr>
                    <w:t>袋装</w:t>
                  </w:r>
                </w:p>
              </w:tc>
              <w:tc>
                <w:tcPr>
                  <w:tcW w:w="308" w:type="pct"/>
                  <w:vAlign w:val="center"/>
                </w:tcPr>
                <w:p>
                  <w:pPr>
                    <w:widowControl/>
                    <w:jc w:val="center"/>
                    <w:rPr>
                      <w:kern w:val="0"/>
                      <w:szCs w:val="21"/>
                    </w:rPr>
                  </w:pPr>
                  <w:r>
                    <w:rPr>
                      <w:kern w:val="0"/>
                      <w:szCs w:val="21"/>
                    </w:rPr>
                    <w:t>固体</w:t>
                  </w:r>
                </w:p>
              </w:tc>
              <w:tc>
                <w:tcPr>
                  <w:tcW w:w="754" w:type="pct"/>
                  <w:vAlign w:val="center"/>
                </w:tcPr>
                <w:p>
                  <w:pPr>
                    <w:jc w:val="center"/>
                    <w:rPr>
                      <w:szCs w:val="21"/>
                    </w:rPr>
                  </w:pPr>
                  <w:r>
                    <w:rPr>
                      <w:szCs w:val="21"/>
                    </w:rPr>
                    <w:t>8250</w:t>
                  </w:r>
                </w:p>
              </w:tc>
              <w:tc>
                <w:tcPr>
                  <w:tcW w:w="481" w:type="pct"/>
                  <w:vAlign w:val="center"/>
                </w:tcPr>
                <w:p>
                  <w:pPr>
                    <w:jc w:val="center"/>
                    <w:rPr>
                      <w:szCs w:val="21"/>
                    </w:rPr>
                  </w:pPr>
                  <w:r>
                    <w:rPr>
                      <w:szCs w:val="21"/>
                    </w:rPr>
                    <w:t>8250</w:t>
                  </w:r>
                </w:p>
              </w:tc>
              <w:tc>
                <w:tcPr>
                  <w:tcW w:w="664" w:type="pct"/>
                  <w:vAlign w:val="center"/>
                </w:tcPr>
                <w:p>
                  <w:pPr>
                    <w:jc w:val="center"/>
                    <w:rPr>
                      <w:szCs w:val="21"/>
                    </w:rPr>
                  </w:pPr>
                  <w:r>
                    <w:rPr>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395" w:type="pct"/>
                  <w:vMerge w:val="continue"/>
                  <w:vAlign w:val="center"/>
                </w:tcPr>
                <w:p>
                  <w:pPr>
                    <w:widowControl/>
                    <w:jc w:val="center"/>
                    <w:rPr>
                      <w:kern w:val="0"/>
                      <w:szCs w:val="21"/>
                    </w:rPr>
                  </w:pPr>
                </w:p>
              </w:tc>
              <w:tc>
                <w:tcPr>
                  <w:tcW w:w="528" w:type="pct"/>
                  <w:vMerge w:val="continue"/>
                  <w:vAlign w:val="center"/>
                </w:tcPr>
                <w:p>
                  <w:pPr>
                    <w:widowControl/>
                    <w:jc w:val="center"/>
                    <w:rPr>
                      <w:kern w:val="0"/>
                      <w:szCs w:val="21"/>
                    </w:rPr>
                  </w:pPr>
                </w:p>
              </w:tc>
              <w:tc>
                <w:tcPr>
                  <w:tcW w:w="634" w:type="pct"/>
                  <w:vAlign w:val="center"/>
                </w:tcPr>
                <w:p>
                  <w:pPr>
                    <w:widowControl/>
                    <w:jc w:val="center"/>
                    <w:rPr>
                      <w:kern w:val="0"/>
                      <w:szCs w:val="21"/>
                    </w:rPr>
                  </w:pPr>
                  <w:r>
                    <w:rPr>
                      <w:kern w:val="0"/>
                      <w:szCs w:val="21"/>
                    </w:rPr>
                    <w:t>内蒙伊利树脂</w:t>
                  </w:r>
                </w:p>
              </w:tc>
              <w:tc>
                <w:tcPr>
                  <w:tcW w:w="729" w:type="pct"/>
                  <w:vAlign w:val="center"/>
                </w:tcPr>
                <w:p>
                  <w:pPr>
                    <w:jc w:val="center"/>
                    <w:rPr>
                      <w:bCs/>
                      <w:szCs w:val="21"/>
                    </w:rPr>
                  </w:pPr>
                  <w:r>
                    <w:rPr>
                      <w:bCs/>
                      <w:szCs w:val="21"/>
                    </w:rPr>
                    <w:t>/</w:t>
                  </w:r>
                </w:p>
              </w:tc>
              <w:tc>
                <w:tcPr>
                  <w:tcW w:w="503" w:type="pct"/>
                  <w:vAlign w:val="center"/>
                </w:tcPr>
                <w:p>
                  <w:pPr>
                    <w:widowControl/>
                    <w:jc w:val="center"/>
                    <w:rPr>
                      <w:kern w:val="0"/>
                      <w:szCs w:val="21"/>
                    </w:rPr>
                  </w:pPr>
                  <w:r>
                    <w:rPr>
                      <w:kern w:val="0"/>
                      <w:szCs w:val="21"/>
                    </w:rPr>
                    <w:t>袋装</w:t>
                  </w:r>
                </w:p>
              </w:tc>
              <w:tc>
                <w:tcPr>
                  <w:tcW w:w="308" w:type="pct"/>
                  <w:vAlign w:val="center"/>
                </w:tcPr>
                <w:p>
                  <w:pPr>
                    <w:widowControl/>
                    <w:jc w:val="center"/>
                    <w:rPr>
                      <w:kern w:val="0"/>
                      <w:szCs w:val="21"/>
                    </w:rPr>
                  </w:pPr>
                  <w:r>
                    <w:rPr>
                      <w:kern w:val="0"/>
                      <w:szCs w:val="21"/>
                    </w:rPr>
                    <w:t>固体</w:t>
                  </w:r>
                </w:p>
              </w:tc>
              <w:tc>
                <w:tcPr>
                  <w:tcW w:w="754" w:type="pct"/>
                  <w:vAlign w:val="center"/>
                </w:tcPr>
                <w:p>
                  <w:pPr>
                    <w:jc w:val="center"/>
                    <w:rPr>
                      <w:szCs w:val="21"/>
                    </w:rPr>
                  </w:pPr>
                  <w:r>
                    <w:rPr>
                      <w:szCs w:val="21"/>
                    </w:rPr>
                    <w:t>750</w:t>
                  </w:r>
                </w:p>
              </w:tc>
              <w:tc>
                <w:tcPr>
                  <w:tcW w:w="481" w:type="pct"/>
                  <w:vAlign w:val="center"/>
                </w:tcPr>
                <w:p>
                  <w:pPr>
                    <w:jc w:val="center"/>
                    <w:rPr>
                      <w:szCs w:val="21"/>
                    </w:rPr>
                  </w:pPr>
                  <w:r>
                    <w:rPr>
                      <w:szCs w:val="21"/>
                    </w:rPr>
                    <w:t>750</w:t>
                  </w:r>
                </w:p>
              </w:tc>
              <w:tc>
                <w:tcPr>
                  <w:tcW w:w="664" w:type="pct"/>
                  <w:vAlign w:val="center"/>
                </w:tcPr>
                <w:p>
                  <w:pPr>
                    <w:jc w:val="center"/>
                    <w:rPr>
                      <w:szCs w:val="21"/>
                    </w:rPr>
                  </w:pPr>
                  <w:r>
                    <w:rPr>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395" w:type="pct"/>
                  <w:vMerge w:val="continue"/>
                  <w:vAlign w:val="center"/>
                </w:tcPr>
                <w:p>
                  <w:pPr>
                    <w:widowControl/>
                    <w:jc w:val="center"/>
                    <w:rPr>
                      <w:kern w:val="0"/>
                      <w:szCs w:val="21"/>
                    </w:rPr>
                  </w:pPr>
                </w:p>
              </w:tc>
              <w:tc>
                <w:tcPr>
                  <w:tcW w:w="528" w:type="pct"/>
                  <w:vMerge w:val="continue"/>
                  <w:vAlign w:val="center"/>
                </w:tcPr>
                <w:p>
                  <w:pPr>
                    <w:widowControl/>
                    <w:jc w:val="center"/>
                    <w:rPr>
                      <w:kern w:val="0"/>
                      <w:szCs w:val="21"/>
                    </w:rPr>
                  </w:pPr>
                </w:p>
              </w:tc>
              <w:tc>
                <w:tcPr>
                  <w:tcW w:w="634" w:type="pct"/>
                  <w:vAlign w:val="center"/>
                </w:tcPr>
                <w:p>
                  <w:pPr>
                    <w:widowControl/>
                    <w:jc w:val="center"/>
                    <w:rPr>
                      <w:kern w:val="0"/>
                      <w:szCs w:val="21"/>
                    </w:rPr>
                  </w:pPr>
                  <w:r>
                    <w:rPr>
                      <w:kern w:val="0"/>
                      <w:szCs w:val="21"/>
                    </w:rPr>
                    <w:t>PVC树脂</w:t>
                  </w:r>
                </w:p>
              </w:tc>
              <w:tc>
                <w:tcPr>
                  <w:tcW w:w="729" w:type="pct"/>
                  <w:vAlign w:val="center"/>
                </w:tcPr>
                <w:p>
                  <w:pPr>
                    <w:jc w:val="center"/>
                    <w:rPr>
                      <w:bCs/>
                      <w:szCs w:val="21"/>
                    </w:rPr>
                  </w:pPr>
                  <w:r>
                    <w:rPr>
                      <w:bCs/>
                      <w:szCs w:val="21"/>
                    </w:rPr>
                    <w:t>/</w:t>
                  </w:r>
                </w:p>
              </w:tc>
              <w:tc>
                <w:tcPr>
                  <w:tcW w:w="503" w:type="pct"/>
                  <w:vAlign w:val="center"/>
                </w:tcPr>
                <w:p>
                  <w:pPr>
                    <w:widowControl/>
                    <w:jc w:val="center"/>
                    <w:rPr>
                      <w:kern w:val="0"/>
                      <w:szCs w:val="21"/>
                    </w:rPr>
                  </w:pPr>
                  <w:r>
                    <w:rPr>
                      <w:kern w:val="0"/>
                      <w:szCs w:val="21"/>
                    </w:rPr>
                    <w:t>袋装</w:t>
                  </w:r>
                </w:p>
              </w:tc>
              <w:tc>
                <w:tcPr>
                  <w:tcW w:w="308" w:type="pct"/>
                  <w:vAlign w:val="center"/>
                </w:tcPr>
                <w:p>
                  <w:pPr>
                    <w:widowControl/>
                    <w:jc w:val="center"/>
                    <w:rPr>
                      <w:kern w:val="0"/>
                      <w:szCs w:val="21"/>
                    </w:rPr>
                  </w:pPr>
                  <w:r>
                    <w:rPr>
                      <w:kern w:val="0"/>
                      <w:szCs w:val="21"/>
                    </w:rPr>
                    <w:t>固体</w:t>
                  </w:r>
                </w:p>
              </w:tc>
              <w:tc>
                <w:tcPr>
                  <w:tcW w:w="754" w:type="pct"/>
                  <w:vAlign w:val="center"/>
                </w:tcPr>
                <w:p>
                  <w:pPr>
                    <w:jc w:val="center"/>
                    <w:rPr>
                      <w:szCs w:val="21"/>
                    </w:rPr>
                  </w:pPr>
                  <w:r>
                    <w:rPr>
                      <w:szCs w:val="21"/>
                    </w:rPr>
                    <w:t>1080</w:t>
                  </w:r>
                </w:p>
              </w:tc>
              <w:tc>
                <w:tcPr>
                  <w:tcW w:w="481" w:type="pct"/>
                  <w:vAlign w:val="center"/>
                </w:tcPr>
                <w:p>
                  <w:pPr>
                    <w:jc w:val="center"/>
                    <w:rPr>
                      <w:szCs w:val="21"/>
                    </w:rPr>
                  </w:pPr>
                  <w:r>
                    <w:rPr>
                      <w:szCs w:val="21"/>
                    </w:rPr>
                    <w:t>1080</w:t>
                  </w:r>
                </w:p>
              </w:tc>
              <w:tc>
                <w:tcPr>
                  <w:tcW w:w="664" w:type="pct"/>
                  <w:vAlign w:val="center"/>
                </w:tcPr>
                <w:p>
                  <w:pPr>
                    <w:jc w:val="center"/>
                    <w:rPr>
                      <w:szCs w:val="21"/>
                    </w:rPr>
                  </w:pPr>
                  <w:r>
                    <w:rPr>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395" w:type="pct"/>
                  <w:vMerge w:val="continue"/>
                  <w:vAlign w:val="center"/>
                </w:tcPr>
                <w:p>
                  <w:pPr>
                    <w:widowControl/>
                    <w:jc w:val="center"/>
                    <w:rPr>
                      <w:kern w:val="0"/>
                      <w:szCs w:val="21"/>
                    </w:rPr>
                  </w:pPr>
                </w:p>
              </w:tc>
              <w:tc>
                <w:tcPr>
                  <w:tcW w:w="528" w:type="pct"/>
                  <w:vMerge w:val="continue"/>
                  <w:vAlign w:val="center"/>
                </w:tcPr>
                <w:p>
                  <w:pPr>
                    <w:widowControl/>
                    <w:jc w:val="center"/>
                    <w:rPr>
                      <w:kern w:val="0"/>
                      <w:szCs w:val="21"/>
                    </w:rPr>
                  </w:pPr>
                </w:p>
              </w:tc>
              <w:tc>
                <w:tcPr>
                  <w:tcW w:w="634" w:type="pct"/>
                  <w:vAlign w:val="center"/>
                </w:tcPr>
                <w:p>
                  <w:pPr>
                    <w:widowControl/>
                    <w:jc w:val="center"/>
                    <w:rPr>
                      <w:kern w:val="0"/>
                      <w:szCs w:val="21"/>
                    </w:rPr>
                  </w:pPr>
                  <w:r>
                    <w:rPr>
                      <w:kern w:val="0"/>
                      <w:szCs w:val="21"/>
                    </w:rPr>
                    <w:t>氯代甲酯</w:t>
                  </w:r>
                </w:p>
              </w:tc>
              <w:tc>
                <w:tcPr>
                  <w:tcW w:w="729" w:type="pct"/>
                  <w:vAlign w:val="center"/>
                </w:tcPr>
                <w:p>
                  <w:pPr>
                    <w:jc w:val="center"/>
                    <w:rPr>
                      <w:bCs/>
                      <w:szCs w:val="21"/>
                    </w:rPr>
                  </w:pPr>
                  <w:r>
                    <w:rPr>
                      <w:bCs/>
                      <w:szCs w:val="21"/>
                    </w:rPr>
                    <w:t>/</w:t>
                  </w:r>
                </w:p>
              </w:tc>
              <w:tc>
                <w:tcPr>
                  <w:tcW w:w="503" w:type="pct"/>
                  <w:vAlign w:val="center"/>
                </w:tcPr>
                <w:p>
                  <w:pPr>
                    <w:widowControl/>
                    <w:jc w:val="center"/>
                    <w:rPr>
                      <w:kern w:val="0"/>
                      <w:szCs w:val="21"/>
                    </w:rPr>
                  </w:pPr>
                  <w:r>
                    <w:rPr>
                      <w:kern w:val="0"/>
                      <w:szCs w:val="21"/>
                    </w:rPr>
                    <w:t>桶装</w:t>
                  </w:r>
                </w:p>
              </w:tc>
              <w:tc>
                <w:tcPr>
                  <w:tcW w:w="308" w:type="pct"/>
                  <w:vAlign w:val="center"/>
                </w:tcPr>
                <w:p>
                  <w:pPr>
                    <w:widowControl/>
                    <w:jc w:val="center"/>
                    <w:rPr>
                      <w:kern w:val="0"/>
                      <w:szCs w:val="21"/>
                    </w:rPr>
                  </w:pPr>
                  <w:r>
                    <w:rPr>
                      <w:kern w:val="0"/>
                      <w:szCs w:val="21"/>
                    </w:rPr>
                    <w:t>液体</w:t>
                  </w:r>
                </w:p>
              </w:tc>
              <w:tc>
                <w:tcPr>
                  <w:tcW w:w="754" w:type="pct"/>
                  <w:vAlign w:val="center"/>
                </w:tcPr>
                <w:p>
                  <w:pPr>
                    <w:jc w:val="center"/>
                    <w:rPr>
                      <w:szCs w:val="21"/>
                    </w:rPr>
                  </w:pPr>
                  <w:r>
                    <w:rPr>
                      <w:szCs w:val="21"/>
                    </w:rPr>
                    <w:t>1200</w:t>
                  </w:r>
                </w:p>
              </w:tc>
              <w:tc>
                <w:tcPr>
                  <w:tcW w:w="481" w:type="pct"/>
                  <w:vAlign w:val="center"/>
                </w:tcPr>
                <w:p>
                  <w:pPr>
                    <w:jc w:val="center"/>
                    <w:rPr>
                      <w:szCs w:val="21"/>
                    </w:rPr>
                  </w:pPr>
                  <w:r>
                    <w:rPr>
                      <w:szCs w:val="21"/>
                    </w:rPr>
                    <w:t>1200</w:t>
                  </w:r>
                </w:p>
              </w:tc>
              <w:tc>
                <w:tcPr>
                  <w:tcW w:w="664" w:type="pct"/>
                  <w:vAlign w:val="center"/>
                </w:tcPr>
                <w:p>
                  <w:pPr>
                    <w:jc w:val="center"/>
                    <w:rPr>
                      <w:szCs w:val="21"/>
                    </w:rPr>
                  </w:pPr>
                  <w:r>
                    <w:rPr>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395" w:type="pct"/>
                  <w:vMerge w:val="continue"/>
                  <w:vAlign w:val="center"/>
                </w:tcPr>
                <w:p>
                  <w:pPr>
                    <w:widowControl/>
                    <w:jc w:val="center"/>
                    <w:rPr>
                      <w:kern w:val="0"/>
                      <w:szCs w:val="21"/>
                    </w:rPr>
                  </w:pPr>
                </w:p>
              </w:tc>
              <w:tc>
                <w:tcPr>
                  <w:tcW w:w="528" w:type="pct"/>
                  <w:vMerge w:val="continue"/>
                  <w:vAlign w:val="center"/>
                </w:tcPr>
                <w:p>
                  <w:pPr>
                    <w:widowControl/>
                    <w:jc w:val="center"/>
                    <w:rPr>
                      <w:kern w:val="0"/>
                      <w:szCs w:val="21"/>
                    </w:rPr>
                  </w:pPr>
                </w:p>
              </w:tc>
              <w:tc>
                <w:tcPr>
                  <w:tcW w:w="634" w:type="pct"/>
                  <w:vAlign w:val="center"/>
                </w:tcPr>
                <w:p>
                  <w:pPr>
                    <w:widowControl/>
                    <w:jc w:val="center"/>
                    <w:rPr>
                      <w:kern w:val="0"/>
                      <w:szCs w:val="21"/>
                    </w:rPr>
                  </w:pPr>
                  <w:r>
                    <w:rPr>
                      <w:kern w:val="0"/>
                      <w:szCs w:val="21"/>
                    </w:rPr>
                    <w:t>石灰石粉</w:t>
                  </w:r>
                </w:p>
              </w:tc>
              <w:tc>
                <w:tcPr>
                  <w:tcW w:w="729" w:type="pct"/>
                  <w:vAlign w:val="center"/>
                </w:tcPr>
                <w:p>
                  <w:pPr>
                    <w:jc w:val="center"/>
                    <w:rPr>
                      <w:bCs/>
                      <w:szCs w:val="21"/>
                    </w:rPr>
                  </w:pPr>
                  <w:r>
                    <w:rPr>
                      <w:bCs/>
                      <w:szCs w:val="21"/>
                    </w:rPr>
                    <w:t>/</w:t>
                  </w:r>
                </w:p>
              </w:tc>
              <w:tc>
                <w:tcPr>
                  <w:tcW w:w="503" w:type="pct"/>
                  <w:vAlign w:val="center"/>
                </w:tcPr>
                <w:p>
                  <w:pPr>
                    <w:widowControl/>
                    <w:jc w:val="center"/>
                    <w:rPr>
                      <w:kern w:val="0"/>
                      <w:szCs w:val="21"/>
                    </w:rPr>
                  </w:pPr>
                  <w:r>
                    <w:rPr>
                      <w:kern w:val="0"/>
                      <w:szCs w:val="21"/>
                    </w:rPr>
                    <w:t>袋装</w:t>
                  </w:r>
                </w:p>
              </w:tc>
              <w:tc>
                <w:tcPr>
                  <w:tcW w:w="308" w:type="pct"/>
                  <w:vAlign w:val="center"/>
                </w:tcPr>
                <w:p>
                  <w:pPr>
                    <w:widowControl/>
                    <w:jc w:val="center"/>
                    <w:rPr>
                      <w:kern w:val="0"/>
                      <w:szCs w:val="21"/>
                    </w:rPr>
                  </w:pPr>
                  <w:r>
                    <w:rPr>
                      <w:kern w:val="0"/>
                      <w:szCs w:val="21"/>
                    </w:rPr>
                    <w:t>固体</w:t>
                  </w:r>
                </w:p>
              </w:tc>
              <w:tc>
                <w:tcPr>
                  <w:tcW w:w="754" w:type="pct"/>
                  <w:vAlign w:val="center"/>
                </w:tcPr>
                <w:p>
                  <w:pPr>
                    <w:jc w:val="center"/>
                    <w:rPr>
                      <w:szCs w:val="21"/>
                    </w:rPr>
                  </w:pPr>
                  <w:r>
                    <w:rPr>
                      <w:szCs w:val="21"/>
                    </w:rPr>
                    <w:t>4170</w:t>
                  </w:r>
                </w:p>
              </w:tc>
              <w:tc>
                <w:tcPr>
                  <w:tcW w:w="481" w:type="pct"/>
                  <w:vAlign w:val="center"/>
                </w:tcPr>
                <w:p>
                  <w:pPr>
                    <w:jc w:val="center"/>
                    <w:rPr>
                      <w:szCs w:val="21"/>
                    </w:rPr>
                  </w:pPr>
                  <w:r>
                    <w:rPr>
                      <w:szCs w:val="21"/>
                    </w:rPr>
                    <w:t>4170</w:t>
                  </w:r>
                </w:p>
              </w:tc>
              <w:tc>
                <w:tcPr>
                  <w:tcW w:w="664" w:type="pct"/>
                  <w:vAlign w:val="center"/>
                </w:tcPr>
                <w:p>
                  <w:pPr>
                    <w:jc w:val="center"/>
                    <w:rPr>
                      <w:szCs w:val="21"/>
                    </w:rPr>
                  </w:pPr>
                  <w:r>
                    <w:rPr>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395" w:type="pct"/>
                  <w:vMerge w:val="continue"/>
                  <w:vAlign w:val="center"/>
                </w:tcPr>
                <w:p>
                  <w:pPr>
                    <w:widowControl/>
                    <w:jc w:val="center"/>
                    <w:rPr>
                      <w:kern w:val="0"/>
                      <w:szCs w:val="21"/>
                    </w:rPr>
                  </w:pPr>
                </w:p>
              </w:tc>
              <w:tc>
                <w:tcPr>
                  <w:tcW w:w="528" w:type="pct"/>
                  <w:vMerge w:val="continue"/>
                  <w:vAlign w:val="center"/>
                </w:tcPr>
                <w:p>
                  <w:pPr>
                    <w:widowControl/>
                    <w:jc w:val="center"/>
                    <w:rPr>
                      <w:kern w:val="0"/>
                      <w:szCs w:val="21"/>
                    </w:rPr>
                  </w:pPr>
                </w:p>
              </w:tc>
              <w:tc>
                <w:tcPr>
                  <w:tcW w:w="634" w:type="pct"/>
                  <w:vAlign w:val="center"/>
                </w:tcPr>
                <w:p>
                  <w:pPr>
                    <w:widowControl/>
                    <w:jc w:val="center"/>
                    <w:rPr>
                      <w:kern w:val="0"/>
                      <w:szCs w:val="21"/>
                    </w:rPr>
                  </w:pPr>
                  <w:r>
                    <w:rPr>
                      <w:kern w:val="0"/>
                      <w:szCs w:val="21"/>
                    </w:rPr>
                    <w:t>水性胶水</w:t>
                  </w:r>
                </w:p>
              </w:tc>
              <w:tc>
                <w:tcPr>
                  <w:tcW w:w="729" w:type="pct"/>
                  <w:vAlign w:val="center"/>
                </w:tcPr>
                <w:p>
                  <w:pPr>
                    <w:jc w:val="center"/>
                    <w:rPr>
                      <w:bCs/>
                      <w:szCs w:val="21"/>
                    </w:rPr>
                  </w:pPr>
                  <w:r>
                    <w:rPr>
                      <w:bCs/>
                      <w:szCs w:val="21"/>
                    </w:rPr>
                    <w:t>水基型丙烯酸树脂25%、水75%</w:t>
                  </w:r>
                </w:p>
              </w:tc>
              <w:tc>
                <w:tcPr>
                  <w:tcW w:w="503" w:type="pct"/>
                  <w:vAlign w:val="center"/>
                </w:tcPr>
                <w:p>
                  <w:pPr>
                    <w:widowControl/>
                    <w:jc w:val="center"/>
                    <w:rPr>
                      <w:kern w:val="0"/>
                      <w:szCs w:val="21"/>
                    </w:rPr>
                  </w:pPr>
                  <w:r>
                    <w:rPr>
                      <w:kern w:val="0"/>
                      <w:szCs w:val="21"/>
                    </w:rPr>
                    <w:t>桶装</w:t>
                  </w:r>
                </w:p>
              </w:tc>
              <w:tc>
                <w:tcPr>
                  <w:tcW w:w="308" w:type="pct"/>
                  <w:vAlign w:val="center"/>
                </w:tcPr>
                <w:p>
                  <w:pPr>
                    <w:widowControl/>
                    <w:jc w:val="center"/>
                    <w:rPr>
                      <w:kern w:val="0"/>
                      <w:szCs w:val="21"/>
                    </w:rPr>
                  </w:pPr>
                  <w:r>
                    <w:rPr>
                      <w:kern w:val="0"/>
                      <w:szCs w:val="21"/>
                    </w:rPr>
                    <w:t>液体</w:t>
                  </w:r>
                </w:p>
              </w:tc>
              <w:tc>
                <w:tcPr>
                  <w:tcW w:w="754" w:type="pct"/>
                  <w:vAlign w:val="center"/>
                </w:tcPr>
                <w:p>
                  <w:pPr>
                    <w:jc w:val="center"/>
                    <w:rPr>
                      <w:szCs w:val="21"/>
                    </w:rPr>
                  </w:pPr>
                  <w:r>
                    <w:rPr>
                      <w:szCs w:val="21"/>
                    </w:rPr>
                    <w:t>900</w:t>
                  </w:r>
                </w:p>
              </w:tc>
              <w:tc>
                <w:tcPr>
                  <w:tcW w:w="481" w:type="pct"/>
                  <w:vAlign w:val="center"/>
                </w:tcPr>
                <w:p>
                  <w:pPr>
                    <w:jc w:val="center"/>
                    <w:rPr>
                      <w:szCs w:val="21"/>
                    </w:rPr>
                  </w:pPr>
                  <w:r>
                    <w:rPr>
                      <w:szCs w:val="21"/>
                    </w:rPr>
                    <w:t>900</w:t>
                  </w:r>
                </w:p>
              </w:tc>
              <w:tc>
                <w:tcPr>
                  <w:tcW w:w="664" w:type="pct"/>
                  <w:vAlign w:val="center"/>
                </w:tcPr>
                <w:p>
                  <w:pPr>
                    <w:jc w:val="center"/>
                    <w:rPr>
                      <w:szCs w:val="21"/>
                    </w:rPr>
                  </w:pPr>
                  <w:r>
                    <w:rPr>
                      <w:szCs w:val="21"/>
                    </w:rPr>
                    <w:t>0</w:t>
                  </w:r>
                </w:p>
              </w:tc>
            </w:tr>
          </w:tbl>
          <w:p>
            <w:pPr>
              <w:adjustRightInd w:val="0"/>
              <w:snapToGrid w:val="0"/>
              <w:jc w:val="center"/>
              <w:rPr>
                <w:b/>
                <w:bCs/>
                <w:sz w:val="24"/>
              </w:rPr>
            </w:pPr>
            <w:r>
              <w:rPr>
                <w:b/>
                <w:bCs/>
                <w:sz w:val="24"/>
              </w:rPr>
              <w:t>表2-10  原有项目设备一览表</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267"/>
              <w:gridCol w:w="2119"/>
              <w:gridCol w:w="1790"/>
              <w:gridCol w:w="2055"/>
              <w:gridCol w:w="1388"/>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35" w:type="pct"/>
                  <w:vMerge w:val="restart"/>
                  <w:vAlign w:val="center"/>
                </w:tcPr>
                <w:p>
                  <w:pPr>
                    <w:adjustRightInd w:val="0"/>
                    <w:snapToGrid w:val="0"/>
                    <w:ind w:left="840" w:hanging="840"/>
                    <w:jc w:val="center"/>
                    <w:rPr>
                      <w:b/>
                      <w:bCs/>
                    </w:rPr>
                  </w:pPr>
                  <w:r>
                    <w:rPr>
                      <w:b/>
                      <w:bCs/>
                      <w:szCs w:val="21"/>
                    </w:rPr>
                    <w:t>项目名称</w:t>
                  </w:r>
                </w:p>
              </w:tc>
              <w:tc>
                <w:tcPr>
                  <w:tcW w:w="1229" w:type="pct"/>
                  <w:vMerge w:val="restart"/>
                  <w:vAlign w:val="center"/>
                </w:tcPr>
                <w:p>
                  <w:pPr>
                    <w:adjustRightInd w:val="0"/>
                    <w:snapToGrid w:val="0"/>
                    <w:ind w:left="840" w:hanging="840"/>
                    <w:jc w:val="center"/>
                    <w:rPr>
                      <w:b/>
                      <w:bCs/>
                      <w:szCs w:val="21"/>
                    </w:rPr>
                  </w:pPr>
                  <w:r>
                    <w:rPr>
                      <w:b/>
                      <w:bCs/>
                    </w:rPr>
                    <w:t>设备名称</w:t>
                  </w:r>
                </w:p>
              </w:tc>
              <w:tc>
                <w:tcPr>
                  <w:tcW w:w="3035" w:type="pct"/>
                  <w:gridSpan w:val="3"/>
                  <w:vAlign w:val="center"/>
                </w:tcPr>
                <w:p>
                  <w:pPr>
                    <w:widowControl/>
                    <w:snapToGrid w:val="0"/>
                    <w:spacing w:line="300" w:lineRule="auto"/>
                    <w:jc w:val="center"/>
                    <w:rPr>
                      <w:b/>
                      <w:bCs/>
                    </w:rPr>
                  </w:pPr>
                  <w:r>
                    <w:rPr>
                      <w:b/>
                      <w:bCs/>
                    </w:rPr>
                    <w:t>数量(单位：台/套）</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35" w:type="pct"/>
                  <w:vMerge w:val="continue"/>
                  <w:vAlign w:val="center"/>
                </w:tcPr>
                <w:p>
                  <w:pPr>
                    <w:jc w:val="center"/>
                  </w:pPr>
                </w:p>
              </w:tc>
              <w:tc>
                <w:tcPr>
                  <w:tcW w:w="1229" w:type="pct"/>
                  <w:vMerge w:val="continue"/>
                  <w:vAlign w:val="center"/>
                </w:tcPr>
                <w:p>
                  <w:pPr>
                    <w:jc w:val="center"/>
                  </w:pPr>
                </w:p>
              </w:tc>
              <w:tc>
                <w:tcPr>
                  <w:tcW w:w="1038" w:type="pct"/>
                  <w:vAlign w:val="center"/>
                </w:tcPr>
                <w:p>
                  <w:pPr>
                    <w:adjustRightInd w:val="0"/>
                    <w:snapToGrid w:val="0"/>
                    <w:jc w:val="center"/>
                    <w:rPr>
                      <w:b/>
                      <w:bCs/>
                      <w:szCs w:val="21"/>
                    </w:rPr>
                  </w:pPr>
                  <w:r>
                    <w:rPr>
                      <w:b/>
                      <w:bCs/>
                    </w:rPr>
                    <w:t>自查报告设计量</w:t>
                  </w:r>
                </w:p>
              </w:tc>
              <w:tc>
                <w:tcPr>
                  <w:tcW w:w="1192" w:type="pct"/>
                  <w:vAlign w:val="center"/>
                </w:tcPr>
                <w:p>
                  <w:pPr>
                    <w:adjustRightInd w:val="0"/>
                    <w:snapToGrid w:val="0"/>
                    <w:jc w:val="center"/>
                    <w:rPr>
                      <w:b/>
                      <w:bCs/>
                    </w:rPr>
                  </w:pPr>
                  <w:r>
                    <w:rPr>
                      <w:b/>
                      <w:bCs/>
                    </w:rPr>
                    <w:t>实际量</w:t>
                  </w:r>
                </w:p>
              </w:tc>
              <w:tc>
                <w:tcPr>
                  <w:tcW w:w="805" w:type="pct"/>
                  <w:vAlign w:val="center"/>
                </w:tcPr>
                <w:p>
                  <w:pPr>
                    <w:adjustRightInd w:val="0"/>
                    <w:snapToGrid w:val="0"/>
                    <w:jc w:val="center"/>
                    <w:rPr>
                      <w:b/>
                      <w:bCs/>
                    </w:rPr>
                  </w:pPr>
                  <w:r>
                    <w:rPr>
                      <w:b/>
                      <w:bCs/>
                    </w:rPr>
                    <w:t>变化量</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35" w:type="pct"/>
                  <w:vMerge w:val="restart"/>
                  <w:vAlign w:val="center"/>
                </w:tcPr>
                <w:p>
                  <w:pPr>
                    <w:jc w:val="center"/>
                  </w:pPr>
                  <w:r>
                    <w:t>自查报告</w:t>
                  </w:r>
                </w:p>
              </w:tc>
              <w:tc>
                <w:tcPr>
                  <w:tcW w:w="1229" w:type="pct"/>
                  <w:vAlign w:val="center"/>
                </w:tcPr>
                <w:p>
                  <w:pPr>
                    <w:widowControl/>
                    <w:jc w:val="center"/>
                    <w:textAlignment w:val="center"/>
                    <w:rPr>
                      <w:kern w:val="0"/>
                    </w:rPr>
                  </w:pPr>
                  <w:r>
                    <w:rPr>
                      <w:kern w:val="0"/>
                    </w:rPr>
                    <w:t>拌胶机</w:t>
                  </w:r>
                </w:p>
              </w:tc>
              <w:tc>
                <w:tcPr>
                  <w:tcW w:w="1038" w:type="pct"/>
                  <w:vAlign w:val="center"/>
                </w:tcPr>
                <w:p>
                  <w:pPr>
                    <w:jc w:val="center"/>
                    <w:rPr>
                      <w:sz w:val="24"/>
                    </w:rPr>
                  </w:pPr>
                  <w:r>
                    <w:rPr>
                      <w:sz w:val="24"/>
                    </w:rPr>
                    <w:t>6</w:t>
                  </w:r>
                </w:p>
              </w:tc>
              <w:tc>
                <w:tcPr>
                  <w:tcW w:w="1192" w:type="pct"/>
                  <w:vAlign w:val="center"/>
                </w:tcPr>
                <w:p>
                  <w:pPr>
                    <w:jc w:val="center"/>
                    <w:rPr>
                      <w:sz w:val="24"/>
                    </w:rPr>
                  </w:pPr>
                  <w:r>
                    <w:rPr>
                      <w:sz w:val="24"/>
                    </w:rPr>
                    <w:t>3</w:t>
                  </w:r>
                </w:p>
              </w:tc>
              <w:tc>
                <w:tcPr>
                  <w:tcW w:w="805" w:type="pct"/>
                  <w:vAlign w:val="center"/>
                </w:tcPr>
                <w:p>
                  <w:pPr>
                    <w:widowControl/>
                    <w:jc w:val="center"/>
                    <w:textAlignment w:val="center"/>
                    <w:rPr>
                      <w:kern w:val="0"/>
                    </w:rPr>
                  </w:pPr>
                  <w:r>
                    <w:rPr>
                      <w:kern w:val="0"/>
                    </w:rPr>
                    <w:t>-3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35" w:type="pct"/>
                  <w:vMerge w:val="continue"/>
                  <w:vAlign w:val="center"/>
                </w:tcPr>
                <w:p>
                  <w:pPr>
                    <w:adjustRightInd w:val="0"/>
                    <w:snapToGrid w:val="0"/>
                    <w:jc w:val="center"/>
                  </w:pPr>
                </w:p>
              </w:tc>
              <w:tc>
                <w:tcPr>
                  <w:tcW w:w="1229" w:type="pct"/>
                  <w:vAlign w:val="center"/>
                </w:tcPr>
                <w:p>
                  <w:pPr>
                    <w:widowControl/>
                    <w:jc w:val="center"/>
                    <w:textAlignment w:val="center"/>
                    <w:rPr>
                      <w:kern w:val="0"/>
                    </w:rPr>
                  </w:pPr>
                  <w:r>
                    <w:rPr>
                      <w:kern w:val="0"/>
                    </w:rPr>
                    <w:t>印纸机</w:t>
                  </w:r>
                </w:p>
              </w:tc>
              <w:tc>
                <w:tcPr>
                  <w:tcW w:w="1038" w:type="pct"/>
                  <w:vAlign w:val="center"/>
                </w:tcPr>
                <w:p>
                  <w:pPr>
                    <w:jc w:val="center"/>
                  </w:pPr>
                  <w:r>
                    <w:rPr>
                      <w:sz w:val="24"/>
                    </w:rPr>
                    <w:t>1</w:t>
                  </w:r>
                </w:p>
              </w:tc>
              <w:tc>
                <w:tcPr>
                  <w:tcW w:w="1192" w:type="pct"/>
                  <w:vAlign w:val="center"/>
                </w:tcPr>
                <w:p>
                  <w:pPr>
                    <w:jc w:val="center"/>
                  </w:pPr>
                  <w:r>
                    <w:rPr>
                      <w:sz w:val="24"/>
                    </w:rPr>
                    <w:t>1</w:t>
                  </w:r>
                </w:p>
              </w:tc>
              <w:tc>
                <w:tcPr>
                  <w:tcW w:w="805" w:type="pct"/>
                  <w:vAlign w:val="center"/>
                </w:tcPr>
                <w:p>
                  <w:pPr>
                    <w:widowControl/>
                    <w:jc w:val="center"/>
                    <w:textAlignment w:val="center"/>
                    <w:rPr>
                      <w:kern w:val="0"/>
                    </w:rPr>
                  </w:pPr>
                  <w:r>
                    <w:rPr>
                      <w:kern w:val="0"/>
                    </w:rPr>
                    <w:t>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35" w:type="pct"/>
                  <w:vMerge w:val="continue"/>
                  <w:vAlign w:val="center"/>
                </w:tcPr>
                <w:p>
                  <w:pPr>
                    <w:adjustRightInd w:val="0"/>
                    <w:snapToGrid w:val="0"/>
                    <w:jc w:val="center"/>
                  </w:pPr>
                </w:p>
              </w:tc>
              <w:tc>
                <w:tcPr>
                  <w:tcW w:w="1229" w:type="pct"/>
                  <w:vAlign w:val="center"/>
                </w:tcPr>
                <w:p>
                  <w:pPr>
                    <w:widowControl/>
                    <w:jc w:val="center"/>
                    <w:textAlignment w:val="center"/>
                    <w:rPr>
                      <w:kern w:val="0"/>
                    </w:rPr>
                  </w:pPr>
                  <w:r>
                    <w:rPr>
                      <w:kern w:val="0"/>
                    </w:rPr>
                    <w:t>转移印花机</w:t>
                  </w:r>
                </w:p>
              </w:tc>
              <w:tc>
                <w:tcPr>
                  <w:tcW w:w="1038" w:type="pct"/>
                  <w:vAlign w:val="center"/>
                </w:tcPr>
                <w:p>
                  <w:pPr>
                    <w:jc w:val="center"/>
                  </w:pPr>
                  <w:r>
                    <w:rPr>
                      <w:sz w:val="24"/>
                    </w:rPr>
                    <w:t>1</w:t>
                  </w:r>
                </w:p>
              </w:tc>
              <w:tc>
                <w:tcPr>
                  <w:tcW w:w="1192" w:type="pct"/>
                  <w:vAlign w:val="center"/>
                </w:tcPr>
                <w:p>
                  <w:pPr>
                    <w:jc w:val="center"/>
                  </w:pPr>
                  <w:r>
                    <w:rPr>
                      <w:sz w:val="24"/>
                    </w:rPr>
                    <w:t>1</w:t>
                  </w:r>
                </w:p>
              </w:tc>
              <w:tc>
                <w:tcPr>
                  <w:tcW w:w="805" w:type="pct"/>
                  <w:vAlign w:val="center"/>
                </w:tcPr>
                <w:p>
                  <w:pPr>
                    <w:widowControl/>
                    <w:jc w:val="center"/>
                    <w:textAlignment w:val="center"/>
                    <w:rPr>
                      <w:kern w:val="0"/>
                    </w:rPr>
                  </w:pPr>
                  <w:r>
                    <w:rPr>
                      <w:kern w:val="0"/>
                    </w:rPr>
                    <w:t>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35" w:type="pct"/>
                  <w:vMerge w:val="continue"/>
                  <w:vAlign w:val="center"/>
                </w:tcPr>
                <w:p>
                  <w:pPr>
                    <w:adjustRightInd w:val="0"/>
                    <w:snapToGrid w:val="0"/>
                    <w:jc w:val="center"/>
                  </w:pPr>
                </w:p>
              </w:tc>
              <w:tc>
                <w:tcPr>
                  <w:tcW w:w="1229" w:type="pct"/>
                  <w:vAlign w:val="center"/>
                </w:tcPr>
                <w:p>
                  <w:pPr>
                    <w:widowControl/>
                    <w:jc w:val="center"/>
                    <w:textAlignment w:val="center"/>
                    <w:rPr>
                      <w:kern w:val="0"/>
                    </w:rPr>
                  </w:pPr>
                  <w:r>
                    <w:rPr>
                      <w:kern w:val="0"/>
                    </w:rPr>
                    <w:t>收卷机</w:t>
                  </w:r>
                </w:p>
              </w:tc>
              <w:tc>
                <w:tcPr>
                  <w:tcW w:w="1038" w:type="pct"/>
                  <w:vAlign w:val="center"/>
                </w:tcPr>
                <w:p>
                  <w:pPr>
                    <w:jc w:val="center"/>
                  </w:pPr>
                  <w:r>
                    <w:rPr>
                      <w:sz w:val="24"/>
                    </w:rPr>
                    <w:t>1</w:t>
                  </w:r>
                </w:p>
              </w:tc>
              <w:tc>
                <w:tcPr>
                  <w:tcW w:w="1192" w:type="pct"/>
                  <w:vAlign w:val="center"/>
                </w:tcPr>
                <w:p>
                  <w:pPr>
                    <w:jc w:val="center"/>
                  </w:pPr>
                  <w:r>
                    <w:rPr>
                      <w:sz w:val="24"/>
                    </w:rPr>
                    <w:t>1</w:t>
                  </w:r>
                </w:p>
              </w:tc>
              <w:tc>
                <w:tcPr>
                  <w:tcW w:w="805" w:type="pct"/>
                  <w:vAlign w:val="center"/>
                </w:tcPr>
                <w:p>
                  <w:pPr>
                    <w:widowControl/>
                    <w:jc w:val="center"/>
                    <w:textAlignment w:val="center"/>
                    <w:rPr>
                      <w:kern w:val="0"/>
                    </w:rPr>
                  </w:pPr>
                  <w:r>
                    <w:rPr>
                      <w:kern w:val="0"/>
                    </w:rPr>
                    <w:t>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35" w:type="pct"/>
                  <w:vMerge w:val="continue"/>
                  <w:vAlign w:val="center"/>
                </w:tcPr>
                <w:p>
                  <w:pPr>
                    <w:adjustRightInd w:val="0"/>
                    <w:snapToGrid w:val="0"/>
                    <w:jc w:val="center"/>
                  </w:pPr>
                </w:p>
              </w:tc>
              <w:tc>
                <w:tcPr>
                  <w:tcW w:w="1229" w:type="pct"/>
                  <w:vAlign w:val="center"/>
                </w:tcPr>
                <w:p>
                  <w:pPr>
                    <w:widowControl/>
                    <w:jc w:val="center"/>
                    <w:textAlignment w:val="center"/>
                    <w:rPr>
                      <w:kern w:val="0"/>
                    </w:rPr>
                  </w:pPr>
                  <w:r>
                    <w:rPr>
                      <w:kern w:val="0"/>
                    </w:rPr>
                    <w:t>转移印花机</w:t>
                  </w:r>
                </w:p>
              </w:tc>
              <w:tc>
                <w:tcPr>
                  <w:tcW w:w="1038" w:type="pct"/>
                  <w:vAlign w:val="center"/>
                </w:tcPr>
                <w:p>
                  <w:pPr>
                    <w:jc w:val="center"/>
                    <w:rPr>
                      <w:sz w:val="24"/>
                    </w:rPr>
                  </w:pPr>
                  <w:r>
                    <w:rPr>
                      <w:sz w:val="24"/>
                    </w:rPr>
                    <w:t>2</w:t>
                  </w:r>
                </w:p>
              </w:tc>
              <w:tc>
                <w:tcPr>
                  <w:tcW w:w="1192" w:type="pct"/>
                  <w:vAlign w:val="center"/>
                </w:tcPr>
                <w:p>
                  <w:pPr>
                    <w:jc w:val="center"/>
                    <w:rPr>
                      <w:sz w:val="24"/>
                    </w:rPr>
                  </w:pPr>
                  <w:r>
                    <w:rPr>
                      <w:sz w:val="24"/>
                    </w:rPr>
                    <w:t>2</w:t>
                  </w:r>
                </w:p>
              </w:tc>
              <w:tc>
                <w:tcPr>
                  <w:tcW w:w="805" w:type="pct"/>
                  <w:vAlign w:val="center"/>
                </w:tcPr>
                <w:p>
                  <w:pPr>
                    <w:widowControl/>
                    <w:jc w:val="center"/>
                    <w:textAlignment w:val="center"/>
                    <w:rPr>
                      <w:kern w:val="0"/>
                    </w:rPr>
                  </w:pPr>
                  <w:r>
                    <w:rPr>
                      <w:kern w:val="0"/>
                    </w:rPr>
                    <w:t>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35" w:type="pct"/>
                  <w:vMerge w:val="continue"/>
                  <w:vAlign w:val="center"/>
                </w:tcPr>
                <w:p>
                  <w:pPr>
                    <w:adjustRightInd w:val="0"/>
                    <w:snapToGrid w:val="0"/>
                    <w:jc w:val="center"/>
                  </w:pPr>
                </w:p>
              </w:tc>
              <w:tc>
                <w:tcPr>
                  <w:tcW w:w="1229" w:type="pct"/>
                  <w:vAlign w:val="center"/>
                </w:tcPr>
                <w:p>
                  <w:pPr>
                    <w:widowControl/>
                    <w:jc w:val="center"/>
                    <w:textAlignment w:val="center"/>
                    <w:rPr>
                      <w:kern w:val="0"/>
                    </w:rPr>
                  </w:pPr>
                  <w:r>
                    <w:rPr>
                      <w:kern w:val="0"/>
                    </w:rPr>
                    <w:t>印刷机</w:t>
                  </w:r>
                </w:p>
              </w:tc>
              <w:tc>
                <w:tcPr>
                  <w:tcW w:w="1038" w:type="pct"/>
                  <w:vAlign w:val="center"/>
                </w:tcPr>
                <w:p>
                  <w:pPr>
                    <w:jc w:val="center"/>
                    <w:rPr>
                      <w:sz w:val="24"/>
                    </w:rPr>
                  </w:pPr>
                  <w:r>
                    <w:rPr>
                      <w:sz w:val="24"/>
                    </w:rPr>
                    <w:t>1</w:t>
                  </w:r>
                </w:p>
              </w:tc>
              <w:tc>
                <w:tcPr>
                  <w:tcW w:w="1192" w:type="pct"/>
                  <w:vAlign w:val="center"/>
                </w:tcPr>
                <w:p>
                  <w:pPr>
                    <w:jc w:val="center"/>
                    <w:rPr>
                      <w:sz w:val="24"/>
                    </w:rPr>
                  </w:pPr>
                  <w:r>
                    <w:rPr>
                      <w:sz w:val="24"/>
                    </w:rPr>
                    <w:t>1</w:t>
                  </w:r>
                </w:p>
              </w:tc>
              <w:tc>
                <w:tcPr>
                  <w:tcW w:w="805" w:type="pct"/>
                  <w:vAlign w:val="center"/>
                </w:tcPr>
                <w:p>
                  <w:pPr>
                    <w:widowControl/>
                    <w:jc w:val="center"/>
                    <w:textAlignment w:val="center"/>
                    <w:rPr>
                      <w:kern w:val="0"/>
                    </w:rPr>
                  </w:pPr>
                  <w:r>
                    <w:rPr>
                      <w:kern w:val="0"/>
                    </w:rPr>
                    <w:t>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35" w:type="pct"/>
                  <w:vMerge w:val="continue"/>
                  <w:vAlign w:val="center"/>
                </w:tcPr>
                <w:p>
                  <w:pPr>
                    <w:adjustRightInd w:val="0"/>
                    <w:snapToGrid w:val="0"/>
                    <w:jc w:val="center"/>
                  </w:pPr>
                </w:p>
              </w:tc>
              <w:tc>
                <w:tcPr>
                  <w:tcW w:w="1229" w:type="pct"/>
                  <w:vAlign w:val="center"/>
                </w:tcPr>
                <w:p>
                  <w:pPr>
                    <w:widowControl/>
                    <w:jc w:val="center"/>
                    <w:textAlignment w:val="center"/>
                    <w:rPr>
                      <w:kern w:val="0"/>
                    </w:rPr>
                  </w:pPr>
                  <w:r>
                    <w:rPr>
                      <w:kern w:val="0"/>
                    </w:rPr>
                    <w:t>打卷机</w:t>
                  </w:r>
                </w:p>
              </w:tc>
              <w:tc>
                <w:tcPr>
                  <w:tcW w:w="1038" w:type="pct"/>
                  <w:vAlign w:val="center"/>
                </w:tcPr>
                <w:p>
                  <w:pPr>
                    <w:jc w:val="center"/>
                    <w:rPr>
                      <w:sz w:val="24"/>
                    </w:rPr>
                  </w:pPr>
                  <w:r>
                    <w:rPr>
                      <w:sz w:val="24"/>
                    </w:rPr>
                    <w:t>9</w:t>
                  </w:r>
                </w:p>
              </w:tc>
              <w:tc>
                <w:tcPr>
                  <w:tcW w:w="1192" w:type="pct"/>
                  <w:vAlign w:val="center"/>
                </w:tcPr>
                <w:p>
                  <w:pPr>
                    <w:jc w:val="center"/>
                    <w:rPr>
                      <w:sz w:val="24"/>
                    </w:rPr>
                  </w:pPr>
                  <w:r>
                    <w:rPr>
                      <w:sz w:val="24"/>
                    </w:rPr>
                    <w:t>7</w:t>
                  </w:r>
                </w:p>
              </w:tc>
              <w:tc>
                <w:tcPr>
                  <w:tcW w:w="805" w:type="pct"/>
                  <w:vAlign w:val="center"/>
                </w:tcPr>
                <w:p>
                  <w:pPr>
                    <w:widowControl/>
                    <w:jc w:val="center"/>
                    <w:textAlignment w:val="center"/>
                    <w:rPr>
                      <w:kern w:val="0"/>
                    </w:rPr>
                  </w:pPr>
                  <w:r>
                    <w:rPr>
                      <w:kern w:val="0"/>
                    </w:rPr>
                    <w:t>-2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35" w:type="pct"/>
                  <w:vMerge w:val="continue"/>
                  <w:vAlign w:val="center"/>
                </w:tcPr>
                <w:p>
                  <w:pPr>
                    <w:adjustRightInd w:val="0"/>
                    <w:snapToGrid w:val="0"/>
                    <w:jc w:val="center"/>
                  </w:pPr>
                </w:p>
              </w:tc>
              <w:tc>
                <w:tcPr>
                  <w:tcW w:w="1229" w:type="pct"/>
                  <w:vAlign w:val="center"/>
                </w:tcPr>
                <w:p>
                  <w:pPr>
                    <w:widowControl/>
                    <w:jc w:val="center"/>
                    <w:textAlignment w:val="center"/>
                    <w:rPr>
                      <w:kern w:val="0"/>
                    </w:rPr>
                  </w:pPr>
                  <w:r>
                    <w:rPr>
                      <w:kern w:val="0"/>
                    </w:rPr>
                    <w:t>PU涂层生产线</w:t>
                  </w:r>
                </w:p>
              </w:tc>
              <w:tc>
                <w:tcPr>
                  <w:tcW w:w="1038" w:type="pct"/>
                  <w:vAlign w:val="center"/>
                </w:tcPr>
                <w:p>
                  <w:pPr>
                    <w:jc w:val="center"/>
                    <w:rPr>
                      <w:sz w:val="24"/>
                    </w:rPr>
                  </w:pPr>
                  <w:r>
                    <w:rPr>
                      <w:sz w:val="24"/>
                    </w:rPr>
                    <w:t>1</w:t>
                  </w:r>
                </w:p>
              </w:tc>
              <w:tc>
                <w:tcPr>
                  <w:tcW w:w="1192" w:type="pct"/>
                  <w:vAlign w:val="center"/>
                </w:tcPr>
                <w:p>
                  <w:pPr>
                    <w:jc w:val="center"/>
                    <w:rPr>
                      <w:sz w:val="24"/>
                    </w:rPr>
                  </w:pPr>
                  <w:r>
                    <w:rPr>
                      <w:sz w:val="24"/>
                    </w:rPr>
                    <w:t>0</w:t>
                  </w:r>
                </w:p>
              </w:tc>
              <w:tc>
                <w:tcPr>
                  <w:tcW w:w="805" w:type="pct"/>
                  <w:vAlign w:val="center"/>
                </w:tcPr>
                <w:p>
                  <w:pPr>
                    <w:widowControl/>
                    <w:jc w:val="center"/>
                    <w:textAlignment w:val="center"/>
                    <w:rPr>
                      <w:kern w:val="0"/>
                    </w:rPr>
                  </w:pPr>
                  <w:r>
                    <w:rPr>
                      <w:kern w:val="0"/>
                    </w:rPr>
                    <w:t>-1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35" w:type="pct"/>
                  <w:vMerge w:val="continue"/>
                  <w:vAlign w:val="center"/>
                </w:tcPr>
                <w:p>
                  <w:pPr>
                    <w:adjustRightInd w:val="0"/>
                    <w:snapToGrid w:val="0"/>
                    <w:jc w:val="center"/>
                  </w:pPr>
                </w:p>
              </w:tc>
              <w:tc>
                <w:tcPr>
                  <w:tcW w:w="1229" w:type="pct"/>
                  <w:vAlign w:val="center"/>
                </w:tcPr>
                <w:p>
                  <w:pPr>
                    <w:widowControl/>
                    <w:jc w:val="center"/>
                    <w:textAlignment w:val="center"/>
                    <w:rPr>
                      <w:kern w:val="0"/>
                    </w:rPr>
                  </w:pPr>
                  <w:r>
                    <w:rPr>
                      <w:kern w:val="0"/>
                    </w:rPr>
                    <w:t>轧光机</w:t>
                  </w:r>
                </w:p>
              </w:tc>
              <w:tc>
                <w:tcPr>
                  <w:tcW w:w="1038" w:type="pct"/>
                  <w:vAlign w:val="center"/>
                </w:tcPr>
                <w:p>
                  <w:pPr>
                    <w:jc w:val="center"/>
                    <w:rPr>
                      <w:sz w:val="24"/>
                    </w:rPr>
                  </w:pPr>
                  <w:r>
                    <w:rPr>
                      <w:sz w:val="24"/>
                    </w:rPr>
                    <w:t>1</w:t>
                  </w:r>
                </w:p>
              </w:tc>
              <w:tc>
                <w:tcPr>
                  <w:tcW w:w="1192" w:type="pct"/>
                  <w:vAlign w:val="center"/>
                </w:tcPr>
                <w:p>
                  <w:pPr>
                    <w:jc w:val="center"/>
                    <w:rPr>
                      <w:sz w:val="24"/>
                    </w:rPr>
                  </w:pPr>
                  <w:r>
                    <w:rPr>
                      <w:sz w:val="24"/>
                    </w:rPr>
                    <w:t>0</w:t>
                  </w:r>
                </w:p>
              </w:tc>
              <w:tc>
                <w:tcPr>
                  <w:tcW w:w="805" w:type="pct"/>
                  <w:vAlign w:val="center"/>
                </w:tcPr>
                <w:p>
                  <w:pPr>
                    <w:widowControl/>
                    <w:jc w:val="center"/>
                    <w:textAlignment w:val="center"/>
                    <w:rPr>
                      <w:kern w:val="0"/>
                    </w:rPr>
                  </w:pPr>
                  <w:r>
                    <w:rPr>
                      <w:kern w:val="0"/>
                    </w:rPr>
                    <w:t>-1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35" w:type="pct"/>
                  <w:vMerge w:val="continue"/>
                  <w:vAlign w:val="center"/>
                </w:tcPr>
                <w:p>
                  <w:pPr>
                    <w:adjustRightInd w:val="0"/>
                    <w:snapToGrid w:val="0"/>
                    <w:jc w:val="center"/>
                  </w:pPr>
                </w:p>
              </w:tc>
              <w:tc>
                <w:tcPr>
                  <w:tcW w:w="1229" w:type="pct"/>
                  <w:vAlign w:val="center"/>
                </w:tcPr>
                <w:p>
                  <w:pPr>
                    <w:widowControl/>
                    <w:jc w:val="center"/>
                    <w:textAlignment w:val="center"/>
                    <w:rPr>
                      <w:kern w:val="0"/>
                    </w:rPr>
                  </w:pPr>
                  <w:r>
                    <w:rPr>
                      <w:kern w:val="0"/>
                    </w:rPr>
                    <w:t>验卷机</w:t>
                  </w:r>
                </w:p>
              </w:tc>
              <w:tc>
                <w:tcPr>
                  <w:tcW w:w="1038" w:type="pct"/>
                  <w:vAlign w:val="center"/>
                </w:tcPr>
                <w:p>
                  <w:pPr>
                    <w:jc w:val="center"/>
                    <w:rPr>
                      <w:sz w:val="24"/>
                    </w:rPr>
                  </w:pPr>
                  <w:r>
                    <w:rPr>
                      <w:sz w:val="24"/>
                    </w:rPr>
                    <w:t>4</w:t>
                  </w:r>
                </w:p>
              </w:tc>
              <w:tc>
                <w:tcPr>
                  <w:tcW w:w="1192" w:type="pct"/>
                  <w:vAlign w:val="center"/>
                </w:tcPr>
                <w:p>
                  <w:pPr>
                    <w:jc w:val="center"/>
                    <w:rPr>
                      <w:sz w:val="24"/>
                    </w:rPr>
                  </w:pPr>
                  <w:r>
                    <w:rPr>
                      <w:sz w:val="24"/>
                    </w:rPr>
                    <w:t>2</w:t>
                  </w:r>
                </w:p>
              </w:tc>
              <w:tc>
                <w:tcPr>
                  <w:tcW w:w="805" w:type="pct"/>
                  <w:vAlign w:val="center"/>
                </w:tcPr>
                <w:p>
                  <w:pPr>
                    <w:widowControl/>
                    <w:jc w:val="center"/>
                    <w:textAlignment w:val="center"/>
                    <w:rPr>
                      <w:kern w:val="0"/>
                    </w:rPr>
                  </w:pPr>
                  <w:r>
                    <w:rPr>
                      <w:kern w:val="0"/>
                    </w:rPr>
                    <w:t>-2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35" w:type="pct"/>
                  <w:vMerge w:val="continue"/>
                  <w:vAlign w:val="center"/>
                </w:tcPr>
                <w:p>
                  <w:pPr>
                    <w:adjustRightInd w:val="0"/>
                    <w:snapToGrid w:val="0"/>
                    <w:jc w:val="center"/>
                  </w:pPr>
                </w:p>
              </w:tc>
              <w:tc>
                <w:tcPr>
                  <w:tcW w:w="1229" w:type="pct"/>
                  <w:vAlign w:val="center"/>
                </w:tcPr>
                <w:p>
                  <w:pPr>
                    <w:widowControl/>
                    <w:jc w:val="center"/>
                    <w:textAlignment w:val="center"/>
                    <w:rPr>
                      <w:kern w:val="0"/>
                    </w:rPr>
                  </w:pPr>
                  <w:r>
                    <w:rPr>
                      <w:kern w:val="0"/>
                    </w:rPr>
                    <w:t>涂层机生产线</w:t>
                  </w:r>
                </w:p>
              </w:tc>
              <w:tc>
                <w:tcPr>
                  <w:tcW w:w="1038" w:type="pct"/>
                  <w:vAlign w:val="center"/>
                </w:tcPr>
                <w:p>
                  <w:pPr>
                    <w:jc w:val="center"/>
                    <w:rPr>
                      <w:sz w:val="24"/>
                    </w:rPr>
                  </w:pPr>
                  <w:r>
                    <w:rPr>
                      <w:sz w:val="24"/>
                    </w:rPr>
                    <w:t>5</w:t>
                  </w:r>
                </w:p>
              </w:tc>
              <w:tc>
                <w:tcPr>
                  <w:tcW w:w="1192" w:type="pct"/>
                  <w:vAlign w:val="center"/>
                </w:tcPr>
                <w:p>
                  <w:pPr>
                    <w:jc w:val="center"/>
                    <w:rPr>
                      <w:sz w:val="24"/>
                    </w:rPr>
                  </w:pPr>
                  <w:r>
                    <w:rPr>
                      <w:sz w:val="24"/>
                    </w:rPr>
                    <w:t>5</w:t>
                  </w:r>
                </w:p>
              </w:tc>
              <w:tc>
                <w:tcPr>
                  <w:tcW w:w="805" w:type="pct"/>
                  <w:vAlign w:val="center"/>
                </w:tcPr>
                <w:p>
                  <w:pPr>
                    <w:widowControl/>
                    <w:jc w:val="center"/>
                    <w:textAlignment w:val="center"/>
                    <w:rPr>
                      <w:kern w:val="0"/>
                    </w:rPr>
                  </w:pPr>
                  <w:r>
                    <w:rPr>
                      <w:kern w:val="0"/>
                    </w:rPr>
                    <w:t>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35" w:type="pct"/>
                  <w:vMerge w:val="continue"/>
                  <w:vAlign w:val="center"/>
                </w:tcPr>
                <w:p>
                  <w:pPr>
                    <w:adjustRightInd w:val="0"/>
                    <w:snapToGrid w:val="0"/>
                    <w:jc w:val="center"/>
                  </w:pPr>
                </w:p>
              </w:tc>
              <w:tc>
                <w:tcPr>
                  <w:tcW w:w="1229" w:type="pct"/>
                  <w:vAlign w:val="center"/>
                </w:tcPr>
                <w:p>
                  <w:pPr>
                    <w:widowControl/>
                    <w:jc w:val="center"/>
                    <w:textAlignment w:val="center"/>
                    <w:rPr>
                      <w:kern w:val="0"/>
                    </w:rPr>
                  </w:pPr>
                  <w:r>
                    <w:rPr>
                      <w:kern w:val="0"/>
                    </w:rPr>
                    <w:t>验卷机</w:t>
                  </w:r>
                </w:p>
              </w:tc>
              <w:tc>
                <w:tcPr>
                  <w:tcW w:w="1038" w:type="pct"/>
                  <w:vAlign w:val="center"/>
                </w:tcPr>
                <w:p>
                  <w:pPr>
                    <w:jc w:val="center"/>
                  </w:pPr>
                  <w:r>
                    <w:rPr>
                      <w:sz w:val="24"/>
                    </w:rPr>
                    <w:t>2</w:t>
                  </w:r>
                </w:p>
              </w:tc>
              <w:tc>
                <w:tcPr>
                  <w:tcW w:w="1192" w:type="pct"/>
                  <w:vAlign w:val="center"/>
                </w:tcPr>
                <w:p>
                  <w:pPr>
                    <w:jc w:val="center"/>
                  </w:pPr>
                  <w:r>
                    <w:rPr>
                      <w:sz w:val="24"/>
                    </w:rPr>
                    <w:t>2</w:t>
                  </w:r>
                </w:p>
              </w:tc>
              <w:tc>
                <w:tcPr>
                  <w:tcW w:w="805" w:type="pct"/>
                  <w:vAlign w:val="center"/>
                </w:tcPr>
                <w:p>
                  <w:pPr>
                    <w:widowControl/>
                    <w:jc w:val="center"/>
                    <w:textAlignment w:val="center"/>
                    <w:rPr>
                      <w:kern w:val="0"/>
                    </w:rPr>
                  </w:pPr>
                  <w:r>
                    <w:rPr>
                      <w:kern w:val="0"/>
                    </w:rPr>
                    <w:t>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35" w:type="pct"/>
                  <w:vMerge w:val="continue"/>
                  <w:vAlign w:val="center"/>
                </w:tcPr>
                <w:p>
                  <w:pPr>
                    <w:adjustRightInd w:val="0"/>
                    <w:snapToGrid w:val="0"/>
                    <w:jc w:val="center"/>
                  </w:pPr>
                </w:p>
              </w:tc>
              <w:tc>
                <w:tcPr>
                  <w:tcW w:w="1229" w:type="pct"/>
                  <w:vAlign w:val="center"/>
                </w:tcPr>
                <w:p>
                  <w:pPr>
                    <w:widowControl/>
                    <w:jc w:val="center"/>
                    <w:textAlignment w:val="center"/>
                    <w:rPr>
                      <w:kern w:val="0"/>
                    </w:rPr>
                  </w:pPr>
                  <w:r>
                    <w:rPr>
                      <w:kern w:val="0"/>
                    </w:rPr>
                    <w:t>压延机生产线</w:t>
                  </w:r>
                </w:p>
              </w:tc>
              <w:tc>
                <w:tcPr>
                  <w:tcW w:w="1038" w:type="pct"/>
                  <w:vAlign w:val="center"/>
                </w:tcPr>
                <w:p>
                  <w:pPr>
                    <w:jc w:val="center"/>
                  </w:pPr>
                  <w:r>
                    <w:rPr>
                      <w:sz w:val="24"/>
                    </w:rPr>
                    <w:t>2</w:t>
                  </w:r>
                </w:p>
              </w:tc>
              <w:tc>
                <w:tcPr>
                  <w:tcW w:w="1192" w:type="pct"/>
                  <w:vAlign w:val="center"/>
                </w:tcPr>
                <w:p>
                  <w:pPr>
                    <w:jc w:val="center"/>
                  </w:pPr>
                  <w:r>
                    <w:rPr>
                      <w:sz w:val="24"/>
                    </w:rPr>
                    <w:t>2</w:t>
                  </w:r>
                </w:p>
              </w:tc>
              <w:tc>
                <w:tcPr>
                  <w:tcW w:w="805" w:type="pct"/>
                  <w:vAlign w:val="center"/>
                </w:tcPr>
                <w:p>
                  <w:pPr>
                    <w:widowControl/>
                    <w:jc w:val="center"/>
                    <w:textAlignment w:val="center"/>
                    <w:rPr>
                      <w:kern w:val="0"/>
                    </w:rPr>
                  </w:pPr>
                  <w:r>
                    <w:rPr>
                      <w:kern w:val="0"/>
                    </w:rPr>
                    <w:t>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35" w:type="pct"/>
                  <w:vMerge w:val="continue"/>
                  <w:vAlign w:val="center"/>
                </w:tcPr>
                <w:p>
                  <w:pPr>
                    <w:adjustRightInd w:val="0"/>
                    <w:snapToGrid w:val="0"/>
                    <w:jc w:val="center"/>
                  </w:pPr>
                </w:p>
              </w:tc>
              <w:tc>
                <w:tcPr>
                  <w:tcW w:w="1229" w:type="pct"/>
                  <w:vAlign w:val="center"/>
                </w:tcPr>
                <w:p>
                  <w:pPr>
                    <w:widowControl/>
                    <w:jc w:val="center"/>
                    <w:textAlignment w:val="center"/>
                    <w:rPr>
                      <w:kern w:val="0"/>
                    </w:rPr>
                  </w:pPr>
                  <w:r>
                    <w:rPr>
                      <w:kern w:val="0"/>
                    </w:rPr>
                    <w:t>自动计量系统</w:t>
                  </w:r>
                </w:p>
              </w:tc>
              <w:tc>
                <w:tcPr>
                  <w:tcW w:w="1038" w:type="pct"/>
                  <w:vAlign w:val="center"/>
                </w:tcPr>
                <w:p>
                  <w:pPr>
                    <w:jc w:val="center"/>
                  </w:pPr>
                  <w:r>
                    <w:rPr>
                      <w:sz w:val="24"/>
                    </w:rPr>
                    <w:t>2</w:t>
                  </w:r>
                </w:p>
              </w:tc>
              <w:tc>
                <w:tcPr>
                  <w:tcW w:w="1192" w:type="pct"/>
                  <w:vAlign w:val="center"/>
                </w:tcPr>
                <w:p>
                  <w:pPr>
                    <w:jc w:val="center"/>
                  </w:pPr>
                  <w:r>
                    <w:rPr>
                      <w:sz w:val="24"/>
                    </w:rPr>
                    <w:t>2</w:t>
                  </w:r>
                </w:p>
              </w:tc>
              <w:tc>
                <w:tcPr>
                  <w:tcW w:w="805" w:type="pct"/>
                  <w:vAlign w:val="center"/>
                </w:tcPr>
                <w:p>
                  <w:pPr>
                    <w:widowControl/>
                    <w:jc w:val="center"/>
                    <w:textAlignment w:val="center"/>
                    <w:rPr>
                      <w:kern w:val="0"/>
                    </w:rPr>
                  </w:pPr>
                  <w:r>
                    <w:rPr>
                      <w:kern w:val="0"/>
                    </w:rPr>
                    <w:t>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35" w:type="pct"/>
                  <w:vMerge w:val="continue"/>
                  <w:vAlign w:val="center"/>
                </w:tcPr>
                <w:p>
                  <w:pPr>
                    <w:adjustRightInd w:val="0"/>
                    <w:snapToGrid w:val="0"/>
                    <w:jc w:val="center"/>
                  </w:pPr>
                </w:p>
              </w:tc>
              <w:tc>
                <w:tcPr>
                  <w:tcW w:w="1229" w:type="pct"/>
                  <w:vAlign w:val="center"/>
                </w:tcPr>
                <w:p>
                  <w:pPr>
                    <w:widowControl/>
                    <w:jc w:val="center"/>
                    <w:textAlignment w:val="center"/>
                    <w:rPr>
                      <w:kern w:val="0"/>
                    </w:rPr>
                  </w:pPr>
                  <w:r>
                    <w:rPr>
                      <w:kern w:val="0"/>
                    </w:rPr>
                    <w:t>高速混合机</w:t>
                  </w:r>
                </w:p>
              </w:tc>
              <w:tc>
                <w:tcPr>
                  <w:tcW w:w="1038" w:type="pct"/>
                  <w:vAlign w:val="center"/>
                </w:tcPr>
                <w:p>
                  <w:pPr>
                    <w:jc w:val="center"/>
                  </w:pPr>
                  <w:r>
                    <w:rPr>
                      <w:sz w:val="24"/>
                    </w:rPr>
                    <w:t>2</w:t>
                  </w:r>
                </w:p>
              </w:tc>
              <w:tc>
                <w:tcPr>
                  <w:tcW w:w="1192" w:type="pct"/>
                  <w:vAlign w:val="center"/>
                </w:tcPr>
                <w:p>
                  <w:pPr>
                    <w:jc w:val="center"/>
                  </w:pPr>
                  <w:r>
                    <w:rPr>
                      <w:sz w:val="24"/>
                    </w:rPr>
                    <w:t>2</w:t>
                  </w:r>
                </w:p>
              </w:tc>
              <w:tc>
                <w:tcPr>
                  <w:tcW w:w="805" w:type="pct"/>
                  <w:vAlign w:val="center"/>
                </w:tcPr>
                <w:p>
                  <w:pPr>
                    <w:widowControl/>
                    <w:jc w:val="center"/>
                    <w:textAlignment w:val="center"/>
                    <w:rPr>
                      <w:kern w:val="0"/>
                    </w:rPr>
                  </w:pPr>
                  <w:r>
                    <w:rPr>
                      <w:kern w:val="0"/>
                    </w:rPr>
                    <w:t>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35" w:type="pct"/>
                  <w:vMerge w:val="continue"/>
                  <w:vAlign w:val="center"/>
                </w:tcPr>
                <w:p>
                  <w:pPr>
                    <w:adjustRightInd w:val="0"/>
                    <w:snapToGrid w:val="0"/>
                    <w:jc w:val="center"/>
                  </w:pPr>
                </w:p>
              </w:tc>
              <w:tc>
                <w:tcPr>
                  <w:tcW w:w="1229" w:type="pct"/>
                  <w:vAlign w:val="center"/>
                </w:tcPr>
                <w:p>
                  <w:pPr>
                    <w:widowControl/>
                    <w:jc w:val="center"/>
                    <w:textAlignment w:val="center"/>
                    <w:rPr>
                      <w:kern w:val="0"/>
                    </w:rPr>
                  </w:pPr>
                  <w:r>
                    <w:rPr>
                      <w:kern w:val="0"/>
                    </w:rPr>
                    <w:t>密炼机</w:t>
                  </w:r>
                </w:p>
              </w:tc>
              <w:tc>
                <w:tcPr>
                  <w:tcW w:w="1038" w:type="pct"/>
                  <w:vAlign w:val="center"/>
                </w:tcPr>
                <w:p>
                  <w:pPr>
                    <w:jc w:val="center"/>
                    <w:rPr>
                      <w:sz w:val="24"/>
                    </w:rPr>
                  </w:pPr>
                  <w:r>
                    <w:rPr>
                      <w:sz w:val="24"/>
                    </w:rPr>
                    <w:t>4</w:t>
                  </w:r>
                </w:p>
              </w:tc>
              <w:tc>
                <w:tcPr>
                  <w:tcW w:w="1192" w:type="pct"/>
                  <w:vAlign w:val="center"/>
                </w:tcPr>
                <w:p>
                  <w:pPr>
                    <w:jc w:val="center"/>
                    <w:rPr>
                      <w:sz w:val="24"/>
                    </w:rPr>
                  </w:pPr>
                  <w:r>
                    <w:rPr>
                      <w:sz w:val="24"/>
                    </w:rPr>
                    <w:t>4</w:t>
                  </w:r>
                </w:p>
              </w:tc>
              <w:tc>
                <w:tcPr>
                  <w:tcW w:w="805" w:type="pct"/>
                  <w:vAlign w:val="center"/>
                </w:tcPr>
                <w:p>
                  <w:pPr>
                    <w:widowControl/>
                    <w:jc w:val="center"/>
                    <w:textAlignment w:val="center"/>
                    <w:rPr>
                      <w:kern w:val="0"/>
                    </w:rPr>
                  </w:pPr>
                  <w:r>
                    <w:rPr>
                      <w:kern w:val="0"/>
                    </w:rPr>
                    <w:t>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35" w:type="pct"/>
                  <w:vMerge w:val="continue"/>
                  <w:vAlign w:val="center"/>
                </w:tcPr>
                <w:p>
                  <w:pPr>
                    <w:adjustRightInd w:val="0"/>
                    <w:snapToGrid w:val="0"/>
                    <w:jc w:val="center"/>
                  </w:pPr>
                </w:p>
              </w:tc>
              <w:tc>
                <w:tcPr>
                  <w:tcW w:w="1229" w:type="pct"/>
                  <w:vAlign w:val="center"/>
                </w:tcPr>
                <w:p>
                  <w:pPr>
                    <w:widowControl/>
                    <w:jc w:val="center"/>
                    <w:textAlignment w:val="center"/>
                    <w:rPr>
                      <w:kern w:val="0"/>
                    </w:rPr>
                  </w:pPr>
                  <w:r>
                    <w:rPr>
                      <w:kern w:val="0"/>
                    </w:rPr>
                    <w:t>开炼机</w:t>
                  </w:r>
                </w:p>
              </w:tc>
              <w:tc>
                <w:tcPr>
                  <w:tcW w:w="1038" w:type="pct"/>
                  <w:vAlign w:val="center"/>
                </w:tcPr>
                <w:p>
                  <w:pPr>
                    <w:jc w:val="center"/>
                    <w:rPr>
                      <w:sz w:val="24"/>
                    </w:rPr>
                  </w:pPr>
                  <w:r>
                    <w:rPr>
                      <w:sz w:val="24"/>
                    </w:rPr>
                    <w:t>2</w:t>
                  </w:r>
                </w:p>
              </w:tc>
              <w:tc>
                <w:tcPr>
                  <w:tcW w:w="1192" w:type="pct"/>
                  <w:vAlign w:val="center"/>
                </w:tcPr>
                <w:p>
                  <w:pPr>
                    <w:jc w:val="center"/>
                    <w:rPr>
                      <w:sz w:val="24"/>
                    </w:rPr>
                  </w:pPr>
                  <w:r>
                    <w:rPr>
                      <w:sz w:val="24"/>
                    </w:rPr>
                    <w:t>2</w:t>
                  </w:r>
                </w:p>
              </w:tc>
              <w:tc>
                <w:tcPr>
                  <w:tcW w:w="805" w:type="pct"/>
                  <w:vAlign w:val="center"/>
                </w:tcPr>
                <w:p>
                  <w:pPr>
                    <w:widowControl/>
                    <w:jc w:val="center"/>
                    <w:textAlignment w:val="center"/>
                    <w:rPr>
                      <w:kern w:val="0"/>
                    </w:rPr>
                  </w:pPr>
                  <w:r>
                    <w:rPr>
                      <w:kern w:val="0"/>
                    </w:rPr>
                    <w:t>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35" w:type="pct"/>
                  <w:vMerge w:val="continue"/>
                  <w:vAlign w:val="center"/>
                </w:tcPr>
                <w:p>
                  <w:pPr>
                    <w:adjustRightInd w:val="0"/>
                    <w:snapToGrid w:val="0"/>
                    <w:jc w:val="center"/>
                  </w:pPr>
                </w:p>
              </w:tc>
              <w:tc>
                <w:tcPr>
                  <w:tcW w:w="1229" w:type="pct"/>
                  <w:vAlign w:val="center"/>
                </w:tcPr>
                <w:p>
                  <w:pPr>
                    <w:widowControl/>
                    <w:jc w:val="center"/>
                    <w:textAlignment w:val="center"/>
                    <w:rPr>
                      <w:kern w:val="0"/>
                    </w:rPr>
                  </w:pPr>
                  <w:r>
                    <w:rPr>
                      <w:kern w:val="0"/>
                    </w:rPr>
                    <w:t>过滤机</w:t>
                  </w:r>
                </w:p>
              </w:tc>
              <w:tc>
                <w:tcPr>
                  <w:tcW w:w="1038" w:type="pct"/>
                  <w:vAlign w:val="center"/>
                </w:tcPr>
                <w:p>
                  <w:pPr>
                    <w:jc w:val="center"/>
                    <w:rPr>
                      <w:sz w:val="24"/>
                    </w:rPr>
                  </w:pPr>
                  <w:r>
                    <w:rPr>
                      <w:sz w:val="24"/>
                    </w:rPr>
                    <w:t>2</w:t>
                  </w:r>
                </w:p>
              </w:tc>
              <w:tc>
                <w:tcPr>
                  <w:tcW w:w="1192" w:type="pct"/>
                  <w:vAlign w:val="center"/>
                </w:tcPr>
                <w:p>
                  <w:pPr>
                    <w:jc w:val="center"/>
                    <w:rPr>
                      <w:sz w:val="24"/>
                    </w:rPr>
                  </w:pPr>
                  <w:r>
                    <w:rPr>
                      <w:sz w:val="24"/>
                    </w:rPr>
                    <w:t>2</w:t>
                  </w:r>
                </w:p>
              </w:tc>
              <w:tc>
                <w:tcPr>
                  <w:tcW w:w="805" w:type="pct"/>
                  <w:vAlign w:val="center"/>
                </w:tcPr>
                <w:p>
                  <w:pPr>
                    <w:widowControl/>
                    <w:jc w:val="center"/>
                    <w:textAlignment w:val="center"/>
                    <w:rPr>
                      <w:kern w:val="0"/>
                    </w:rPr>
                  </w:pPr>
                  <w:r>
                    <w:rPr>
                      <w:kern w:val="0"/>
                    </w:rPr>
                    <w:t>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35" w:type="pct"/>
                  <w:vMerge w:val="continue"/>
                  <w:vAlign w:val="center"/>
                </w:tcPr>
                <w:p>
                  <w:pPr>
                    <w:adjustRightInd w:val="0"/>
                    <w:snapToGrid w:val="0"/>
                    <w:jc w:val="center"/>
                  </w:pPr>
                </w:p>
              </w:tc>
              <w:tc>
                <w:tcPr>
                  <w:tcW w:w="1229" w:type="pct"/>
                  <w:vAlign w:val="center"/>
                </w:tcPr>
                <w:p>
                  <w:pPr>
                    <w:widowControl/>
                    <w:jc w:val="center"/>
                    <w:textAlignment w:val="center"/>
                    <w:rPr>
                      <w:kern w:val="0"/>
                    </w:rPr>
                  </w:pPr>
                  <w:r>
                    <w:rPr>
                      <w:kern w:val="0"/>
                    </w:rPr>
                    <w:t>压延机</w:t>
                  </w:r>
                </w:p>
              </w:tc>
              <w:tc>
                <w:tcPr>
                  <w:tcW w:w="1038" w:type="pct"/>
                  <w:vAlign w:val="center"/>
                </w:tcPr>
                <w:p>
                  <w:pPr>
                    <w:jc w:val="center"/>
                    <w:rPr>
                      <w:sz w:val="24"/>
                    </w:rPr>
                  </w:pPr>
                  <w:r>
                    <w:rPr>
                      <w:sz w:val="24"/>
                    </w:rPr>
                    <w:t>2</w:t>
                  </w:r>
                </w:p>
              </w:tc>
              <w:tc>
                <w:tcPr>
                  <w:tcW w:w="1192" w:type="pct"/>
                  <w:vAlign w:val="center"/>
                </w:tcPr>
                <w:p>
                  <w:pPr>
                    <w:jc w:val="center"/>
                    <w:rPr>
                      <w:sz w:val="24"/>
                    </w:rPr>
                  </w:pPr>
                  <w:r>
                    <w:rPr>
                      <w:sz w:val="24"/>
                    </w:rPr>
                    <w:t>2</w:t>
                  </w:r>
                </w:p>
              </w:tc>
              <w:tc>
                <w:tcPr>
                  <w:tcW w:w="805" w:type="pct"/>
                  <w:vAlign w:val="center"/>
                </w:tcPr>
                <w:p>
                  <w:pPr>
                    <w:widowControl/>
                    <w:jc w:val="center"/>
                    <w:textAlignment w:val="center"/>
                    <w:rPr>
                      <w:kern w:val="0"/>
                    </w:rPr>
                  </w:pPr>
                  <w:r>
                    <w:rPr>
                      <w:kern w:val="0"/>
                    </w:rPr>
                    <w:t>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35" w:type="pct"/>
                  <w:vMerge w:val="continue"/>
                  <w:vAlign w:val="center"/>
                </w:tcPr>
                <w:p>
                  <w:pPr>
                    <w:adjustRightInd w:val="0"/>
                    <w:snapToGrid w:val="0"/>
                    <w:jc w:val="center"/>
                  </w:pPr>
                </w:p>
              </w:tc>
              <w:tc>
                <w:tcPr>
                  <w:tcW w:w="1229" w:type="pct"/>
                  <w:vAlign w:val="center"/>
                </w:tcPr>
                <w:p>
                  <w:pPr>
                    <w:widowControl/>
                    <w:jc w:val="center"/>
                    <w:textAlignment w:val="center"/>
                    <w:rPr>
                      <w:kern w:val="0"/>
                    </w:rPr>
                  </w:pPr>
                  <w:r>
                    <w:rPr>
                      <w:kern w:val="0"/>
                    </w:rPr>
                    <w:t>收卷机</w:t>
                  </w:r>
                </w:p>
              </w:tc>
              <w:tc>
                <w:tcPr>
                  <w:tcW w:w="1038" w:type="pct"/>
                  <w:vAlign w:val="center"/>
                </w:tcPr>
                <w:p>
                  <w:pPr>
                    <w:jc w:val="center"/>
                    <w:rPr>
                      <w:sz w:val="24"/>
                    </w:rPr>
                  </w:pPr>
                  <w:r>
                    <w:rPr>
                      <w:sz w:val="24"/>
                    </w:rPr>
                    <w:t>2</w:t>
                  </w:r>
                </w:p>
              </w:tc>
              <w:tc>
                <w:tcPr>
                  <w:tcW w:w="1192" w:type="pct"/>
                  <w:vAlign w:val="center"/>
                </w:tcPr>
                <w:p>
                  <w:pPr>
                    <w:jc w:val="center"/>
                    <w:rPr>
                      <w:sz w:val="24"/>
                    </w:rPr>
                  </w:pPr>
                  <w:r>
                    <w:rPr>
                      <w:sz w:val="24"/>
                    </w:rPr>
                    <w:t>2</w:t>
                  </w:r>
                </w:p>
              </w:tc>
              <w:tc>
                <w:tcPr>
                  <w:tcW w:w="805" w:type="pct"/>
                  <w:vAlign w:val="center"/>
                </w:tcPr>
                <w:p>
                  <w:pPr>
                    <w:widowControl/>
                    <w:jc w:val="center"/>
                    <w:textAlignment w:val="center"/>
                    <w:rPr>
                      <w:kern w:val="0"/>
                    </w:rPr>
                  </w:pPr>
                  <w:r>
                    <w:rPr>
                      <w:kern w:val="0"/>
                    </w:rPr>
                    <w:t>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35" w:type="pct"/>
                  <w:vMerge w:val="continue"/>
                  <w:vAlign w:val="center"/>
                </w:tcPr>
                <w:p>
                  <w:pPr>
                    <w:adjustRightInd w:val="0"/>
                    <w:snapToGrid w:val="0"/>
                    <w:jc w:val="center"/>
                  </w:pPr>
                </w:p>
              </w:tc>
              <w:tc>
                <w:tcPr>
                  <w:tcW w:w="1229" w:type="pct"/>
                  <w:vAlign w:val="center"/>
                </w:tcPr>
                <w:p>
                  <w:pPr>
                    <w:widowControl/>
                    <w:jc w:val="center"/>
                    <w:textAlignment w:val="center"/>
                    <w:rPr>
                      <w:kern w:val="0"/>
                    </w:rPr>
                  </w:pPr>
                  <w:r>
                    <w:rPr>
                      <w:kern w:val="0"/>
                    </w:rPr>
                    <w:t>冷却水机组</w:t>
                  </w:r>
                </w:p>
              </w:tc>
              <w:tc>
                <w:tcPr>
                  <w:tcW w:w="1038" w:type="pct"/>
                  <w:vAlign w:val="center"/>
                </w:tcPr>
                <w:p>
                  <w:pPr>
                    <w:jc w:val="center"/>
                    <w:rPr>
                      <w:sz w:val="24"/>
                    </w:rPr>
                  </w:pPr>
                  <w:r>
                    <w:rPr>
                      <w:sz w:val="24"/>
                    </w:rPr>
                    <w:t>2</w:t>
                  </w:r>
                </w:p>
              </w:tc>
              <w:tc>
                <w:tcPr>
                  <w:tcW w:w="1192" w:type="pct"/>
                  <w:vAlign w:val="center"/>
                </w:tcPr>
                <w:p>
                  <w:pPr>
                    <w:jc w:val="center"/>
                    <w:rPr>
                      <w:sz w:val="24"/>
                    </w:rPr>
                  </w:pPr>
                  <w:r>
                    <w:rPr>
                      <w:sz w:val="24"/>
                    </w:rPr>
                    <w:t>2</w:t>
                  </w:r>
                </w:p>
              </w:tc>
              <w:tc>
                <w:tcPr>
                  <w:tcW w:w="805" w:type="pct"/>
                  <w:vAlign w:val="center"/>
                </w:tcPr>
                <w:p>
                  <w:pPr>
                    <w:widowControl/>
                    <w:jc w:val="center"/>
                    <w:textAlignment w:val="center"/>
                    <w:rPr>
                      <w:kern w:val="0"/>
                    </w:rPr>
                  </w:pPr>
                  <w:r>
                    <w:rPr>
                      <w:kern w:val="0"/>
                    </w:rPr>
                    <w:t>0</w:t>
                  </w:r>
                </w:p>
              </w:tc>
            </w:tr>
          </w:tbl>
          <w:p>
            <w:pPr>
              <w:pStyle w:val="2"/>
              <w:rPr>
                <w:b/>
                <w:color w:val="0000FF"/>
              </w:rPr>
            </w:pPr>
          </w:p>
        </w:tc>
      </w:tr>
    </w:tbl>
    <w:p>
      <w:pPr>
        <w:widowControl/>
        <w:jc w:val="left"/>
        <w:rPr>
          <w:color w:val="0000FF"/>
          <w:szCs w:val="20"/>
        </w:rPr>
        <w:sectPr>
          <w:pgSz w:w="11906" w:h="16838"/>
          <w:pgMar w:top="1701" w:right="1531" w:bottom="1701" w:left="1531" w:header="851" w:footer="851" w:gutter="0"/>
          <w:cols w:space="720" w:num="1"/>
          <w:docGrid w:linePitch="312" w:charSpace="0"/>
        </w:sect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1" w:hRule="atLeast"/>
          <w:jc w:val="center"/>
        </w:trPr>
        <w:tc>
          <w:tcPr>
            <w:tcW w:w="391" w:type="dxa"/>
            <w:vAlign w:val="center"/>
          </w:tcPr>
          <w:p>
            <w:pPr>
              <w:pStyle w:val="18"/>
              <w:adjustRightInd w:val="0"/>
              <w:snapToGrid w:val="0"/>
              <w:spacing w:before="0" w:beforeAutospacing="0" w:after="0" w:afterAutospacing="0"/>
              <w:rPr>
                <w:rFonts w:ascii="Times New Roman" w:hAnsi="Times New Roman"/>
                <w:color w:val="0000FF"/>
                <w:sz w:val="21"/>
                <w:szCs w:val="21"/>
              </w:rPr>
            </w:pPr>
            <w:r>
              <w:rPr>
                <w:rFonts w:ascii="Times New Roman" w:hAnsi="Times New Roman"/>
                <w:sz w:val="21"/>
                <w:szCs w:val="21"/>
              </w:rPr>
              <w:t>原有项目工艺流程</w:t>
            </w:r>
          </w:p>
        </w:tc>
        <w:tc>
          <w:tcPr>
            <w:tcW w:w="8669" w:type="dxa"/>
          </w:tcPr>
          <w:p>
            <w:pPr>
              <w:spacing w:line="360" w:lineRule="auto"/>
              <w:rPr>
                <w:b/>
                <w:sz w:val="24"/>
              </w:rPr>
            </w:pPr>
            <w:r>
              <w:rPr>
                <w:b/>
                <w:sz w:val="24"/>
              </w:rPr>
              <w:t>二、原有项目生产工艺</w:t>
            </w:r>
          </w:p>
          <w:p>
            <w:pPr>
              <w:adjustRightInd w:val="0"/>
              <w:snapToGrid w:val="0"/>
              <w:spacing w:line="360" w:lineRule="auto"/>
              <w:ind w:firstLine="480" w:firstLineChars="200"/>
              <w:rPr>
                <w:bCs/>
                <w:sz w:val="24"/>
              </w:rPr>
            </w:pPr>
            <w:r>
              <w:rPr>
                <w:rFonts w:hint="eastAsia"/>
                <w:bCs/>
                <w:color w:val="auto"/>
                <w:sz w:val="24"/>
              </w:rPr>
              <w:t>原有项目主要生产</w:t>
            </w:r>
            <w:r>
              <w:rPr>
                <w:bCs/>
                <w:color w:val="auto"/>
                <w:sz w:val="24"/>
              </w:rPr>
              <w:t>雨衣膜、贴膜箱包布，实际生产工艺流程与自查报告一致，详细工艺流程件下</w:t>
            </w:r>
            <w:r>
              <w:rPr>
                <w:bCs/>
                <w:sz w:val="24"/>
              </w:rPr>
              <w:t>图：</w:t>
            </w:r>
          </w:p>
          <w:p>
            <w:pPr>
              <w:adjustRightInd w:val="0"/>
              <w:snapToGrid w:val="0"/>
              <w:spacing w:line="360" w:lineRule="auto"/>
              <w:ind w:firstLine="480" w:firstLineChars="200"/>
              <w:rPr>
                <w:bCs/>
                <w:sz w:val="24"/>
              </w:rPr>
            </w:pPr>
            <w:r>
              <w:rPr>
                <w:bCs/>
                <w:sz w:val="24"/>
              </w:rPr>
              <w:t>（</w:t>
            </w:r>
            <w:r>
              <w:rPr>
                <w:rFonts w:hint="eastAsia"/>
                <w:bCs/>
                <w:sz w:val="24"/>
                <w:lang w:val="en-US" w:eastAsia="zh-CN"/>
              </w:rPr>
              <w:t>1</w:t>
            </w:r>
            <w:r>
              <w:rPr>
                <w:bCs/>
                <w:sz w:val="24"/>
              </w:rPr>
              <w:t>）雨衣膜生产工艺</w:t>
            </w:r>
          </w:p>
          <w:p>
            <w:pPr>
              <w:adjustRightInd w:val="0"/>
              <w:snapToGrid w:val="0"/>
              <w:spacing w:line="360" w:lineRule="auto"/>
              <w:ind w:firstLine="480" w:firstLineChars="200"/>
              <w:jc w:val="center"/>
              <w:rPr>
                <w:bCs/>
                <w:sz w:val="24"/>
              </w:rPr>
            </w:pPr>
            <w:r>
              <w:rPr>
                <w:bCs/>
                <w:sz w:val="24"/>
              </w:rPr>
              <w:object>
                <v:shape id="_x0000_i1026" o:spt="75" type="#_x0000_t75" style="height:123.35pt;width:193.2pt;" o:ole="t" filled="f" o:preferrelative="t" stroked="f" coordsize="21600,21600">
                  <v:path/>
                  <v:fill on="f" focussize="0,0"/>
                  <v:stroke on="f" joinstyle="miter"/>
                  <v:imagedata r:id="rId13" o:title=""/>
                  <o:lock v:ext="edit" aspectratio="t"/>
                  <w10:wrap type="none"/>
                  <w10:anchorlock/>
                </v:shape>
                <o:OLEObject Type="Embed" ProgID="Visio.Drawing.11" ShapeID="_x0000_i1026" DrawAspect="Content" ObjectID="_1468075726" r:id="rId12">
                  <o:LockedField>false</o:LockedField>
                </o:OLEObject>
              </w:object>
            </w:r>
          </w:p>
          <w:p>
            <w:pPr>
              <w:adjustRightInd w:val="0"/>
              <w:snapToGrid w:val="0"/>
              <w:spacing w:line="360" w:lineRule="auto"/>
              <w:ind w:firstLine="482" w:firstLineChars="200"/>
              <w:jc w:val="center"/>
              <w:rPr>
                <w:b/>
                <w:bCs/>
                <w:sz w:val="24"/>
              </w:rPr>
            </w:pPr>
            <w:r>
              <w:rPr>
                <w:b/>
                <w:bCs/>
                <w:sz w:val="24"/>
              </w:rPr>
              <w:t>图3.4-2雨衣膜生产工艺流程图</w:t>
            </w:r>
          </w:p>
          <w:p>
            <w:pPr>
              <w:adjustRightInd w:val="0"/>
              <w:snapToGrid w:val="0"/>
              <w:spacing w:line="360" w:lineRule="auto"/>
              <w:ind w:firstLine="482" w:firstLineChars="200"/>
              <w:rPr>
                <w:sz w:val="24"/>
              </w:rPr>
            </w:pPr>
            <w:r>
              <w:rPr>
                <w:b/>
                <w:bCs/>
                <w:sz w:val="24"/>
              </w:rPr>
              <w:t>工艺流程简述：</w:t>
            </w:r>
          </w:p>
          <w:p>
            <w:pPr>
              <w:spacing w:line="360" w:lineRule="auto"/>
              <w:ind w:firstLine="482" w:firstLineChars="200"/>
              <w:jc w:val="left"/>
              <w:rPr>
                <w:sz w:val="24"/>
              </w:rPr>
            </w:pPr>
            <w:r>
              <w:rPr>
                <w:b/>
                <w:bCs/>
                <w:sz w:val="24"/>
              </w:rPr>
              <w:t>印刷：</w:t>
            </w:r>
            <w:r>
              <w:rPr>
                <w:sz w:val="24"/>
              </w:rPr>
              <w:t>凹版印刷是一种直接的印刷方法，它将凹版凹坑中所含的油墨直接压印到承印物上，所印画面的浓淡层次是由凹坑的大小及深浅决定的，如果凹坑较深，则含的油墨较多，压印后承印物上留下的墨层就较厚；相反如果凹坑较浅，则含的油墨量就较少，压印后承印物上留下的墨层就较薄。凹版印刷的印版是由一个个与原稿图文相对应的凹坑与印版的表面所组成的。印刷时，油墨被充填到凹坑内，印版表面的油墨用刮墨刀刮掉，印版与承印物之间有一定的压力接触，将凹坑内的油墨转移到承印物上，完成印刷，印刷机所需的版辊储存于印花车间2中，需要时取出使用，使用完后用抹布蘸取丁酮、丁醇擦洗版辊储存，此工序产生印刷废气G4、废抹布S2。</w:t>
            </w:r>
          </w:p>
          <w:p>
            <w:pPr>
              <w:adjustRightInd w:val="0"/>
              <w:snapToGrid w:val="0"/>
              <w:spacing w:line="360" w:lineRule="auto"/>
              <w:ind w:firstLine="482" w:firstLineChars="200"/>
              <w:rPr>
                <w:sz w:val="24"/>
              </w:rPr>
            </w:pPr>
            <w:r>
              <w:rPr>
                <w:b/>
                <w:bCs/>
                <w:sz w:val="24"/>
              </w:rPr>
              <w:t>收卷：</w:t>
            </w:r>
            <w:r>
              <w:rPr>
                <w:sz w:val="24"/>
              </w:rPr>
              <w:t>将印好的PVC膜送至印花车间内的收卷机收卷成品。</w:t>
            </w:r>
          </w:p>
          <w:p>
            <w:pPr>
              <w:adjustRightInd w:val="0"/>
              <w:snapToGrid w:val="0"/>
              <w:spacing w:line="360" w:lineRule="auto"/>
              <w:ind w:firstLine="480" w:firstLineChars="200"/>
              <w:rPr>
                <w:bCs/>
                <w:sz w:val="24"/>
              </w:rPr>
            </w:pPr>
            <w:r>
              <w:rPr>
                <w:bCs/>
                <w:sz w:val="24"/>
              </w:rPr>
              <w:t>（</w:t>
            </w:r>
            <w:r>
              <w:rPr>
                <w:rFonts w:hint="eastAsia"/>
                <w:bCs/>
                <w:sz w:val="24"/>
                <w:lang w:val="en-US" w:eastAsia="zh-CN"/>
              </w:rPr>
              <w:t>2</w:t>
            </w:r>
            <w:r>
              <w:rPr>
                <w:bCs/>
                <w:sz w:val="24"/>
              </w:rPr>
              <w:t>）贴膜箱包布生产工艺</w:t>
            </w:r>
          </w:p>
          <w:p>
            <w:pPr>
              <w:adjustRightInd w:val="0"/>
              <w:snapToGrid w:val="0"/>
              <w:spacing w:line="360" w:lineRule="auto"/>
              <w:ind w:firstLine="480" w:firstLineChars="200"/>
              <w:jc w:val="center"/>
              <w:rPr>
                <w:bCs/>
                <w:color w:val="6600FF"/>
                <w:sz w:val="24"/>
              </w:rPr>
            </w:pPr>
            <w:r>
              <w:rPr>
                <w:bCs/>
                <w:color w:val="6600FF"/>
                <w:sz w:val="24"/>
              </w:rPr>
              <w:object>
                <v:shape id="_x0000_i1027" o:spt="75" type="#_x0000_t75" style="height:246.65pt;width:258.05pt;" o:ole="t" filled="f" o:preferrelative="t" stroked="f" coordsize="21600,21600">
                  <v:path/>
                  <v:fill on="f" focussize="0,0"/>
                  <v:stroke on="f" joinstyle="miter"/>
                  <v:imagedata r:id="rId15" o:title=""/>
                  <o:lock v:ext="edit" aspectratio="f"/>
                  <w10:wrap type="none"/>
                  <w10:anchorlock/>
                </v:shape>
                <o:OLEObject Type="Embed" ProgID="Visio.Drawing.11" ShapeID="_x0000_i1027" DrawAspect="Content" ObjectID="_1468075727" r:id="rId14">
                  <o:LockedField>false</o:LockedField>
                </o:OLEObject>
              </w:object>
            </w:r>
          </w:p>
          <w:p>
            <w:pPr>
              <w:adjustRightInd w:val="0"/>
              <w:snapToGrid w:val="0"/>
              <w:spacing w:line="360" w:lineRule="auto"/>
              <w:ind w:firstLine="482" w:firstLineChars="200"/>
              <w:jc w:val="center"/>
              <w:rPr>
                <w:b/>
                <w:bCs/>
                <w:sz w:val="24"/>
              </w:rPr>
            </w:pPr>
            <w:r>
              <w:rPr>
                <w:b/>
                <w:bCs/>
                <w:sz w:val="24"/>
              </w:rPr>
              <w:t>图3.4-3贴膜箱包布生产工艺流程图</w:t>
            </w:r>
          </w:p>
          <w:p>
            <w:pPr>
              <w:adjustRightInd w:val="0"/>
              <w:snapToGrid w:val="0"/>
              <w:spacing w:line="360" w:lineRule="auto"/>
              <w:ind w:firstLine="482" w:firstLineChars="200"/>
              <w:rPr>
                <w:sz w:val="24"/>
              </w:rPr>
            </w:pPr>
            <w:r>
              <w:rPr>
                <w:b/>
                <w:bCs/>
                <w:sz w:val="24"/>
              </w:rPr>
              <w:t>工艺流程简述：</w:t>
            </w:r>
          </w:p>
          <w:p>
            <w:pPr>
              <w:spacing w:line="360" w:lineRule="auto"/>
              <w:ind w:firstLine="482" w:firstLineChars="200"/>
              <w:jc w:val="left"/>
              <w:rPr>
                <w:sz w:val="24"/>
              </w:rPr>
            </w:pPr>
            <w:r>
              <w:rPr>
                <w:b/>
                <w:bCs/>
                <w:sz w:val="24"/>
              </w:rPr>
              <w:t>拌胶：</w:t>
            </w:r>
            <w:r>
              <w:rPr>
                <w:sz w:val="24"/>
              </w:rPr>
              <w:t>将水性胶水、水按照比例配比投入拌胶机进行搅拌，搅拌均匀后用于涂层，由于我公司使用的是水性胶水，不含有机溶剂，只有少量水蒸气挥发。</w:t>
            </w:r>
          </w:p>
          <w:p>
            <w:pPr>
              <w:spacing w:line="360" w:lineRule="auto"/>
              <w:ind w:firstLine="482" w:firstLineChars="200"/>
              <w:jc w:val="left"/>
              <w:rPr>
                <w:sz w:val="24"/>
              </w:rPr>
            </w:pPr>
            <w:r>
              <w:rPr>
                <w:b/>
                <w:bCs/>
                <w:sz w:val="24"/>
              </w:rPr>
              <w:t>打卷：</w:t>
            </w:r>
            <w:r>
              <w:rPr>
                <w:sz w:val="24"/>
              </w:rPr>
              <w:t>需要进行涂层的坯布进行打卷，用于涂层。</w:t>
            </w:r>
          </w:p>
          <w:p>
            <w:pPr>
              <w:spacing w:line="360" w:lineRule="auto"/>
              <w:ind w:firstLine="482" w:firstLineChars="200"/>
              <w:jc w:val="left"/>
              <w:rPr>
                <w:sz w:val="24"/>
              </w:rPr>
            </w:pPr>
            <w:r>
              <w:rPr>
                <w:b/>
                <w:bCs/>
                <w:sz w:val="24"/>
              </w:rPr>
              <w:t>涂层：</w:t>
            </w:r>
            <w:r>
              <w:rPr>
                <w:sz w:val="24"/>
              </w:rPr>
              <w:t>涂层生产线上分涂覆、流平、烘干、冷却步骤，坯布在传动轴带动下不停走布的同时，利用涂层机的刮刀将气泵抽出的胶水涂覆在基布表面，使其具有通气透湿、阻燃防污等特殊功能，涂覆过程中会有少量水蒸气挥发，涂覆后坯布水平走布1min左右，使坯布表面涂覆的胶水摊平均匀，保证了涂层的平整度，流平过程中产生少量水蒸气挥发，流平坯布进入密闭烘道烘干，烘干利用蒸汽夹套加热，烘干2min，在烘干内水分基本全部挥发，从而使胶水中的固分可以牢牢的粘附在基布上，烘道内自带废气收集管，用于收集此工序产生的涂层废气G5。</w:t>
            </w:r>
          </w:p>
          <w:p>
            <w:pPr>
              <w:spacing w:line="360" w:lineRule="auto"/>
              <w:ind w:firstLine="482" w:firstLineChars="200"/>
              <w:jc w:val="left"/>
              <w:rPr>
                <w:sz w:val="24"/>
              </w:rPr>
            </w:pPr>
            <w:r>
              <w:rPr>
                <w:b/>
                <w:bCs/>
                <w:sz w:val="24"/>
              </w:rPr>
              <w:t>验卷：</w:t>
            </w:r>
            <w:r>
              <w:rPr>
                <w:sz w:val="24"/>
              </w:rPr>
              <w:t>利用验卷机收卷并检查布料是否合格，不合格返工。</w:t>
            </w:r>
          </w:p>
          <w:p>
            <w:pPr>
              <w:spacing w:line="360" w:lineRule="auto"/>
              <w:ind w:firstLine="482" w:firstLineChars="200"/>
              <w:jc w:val="left"/>
              <w:rPr>
                <w:sz w:val="24"/>
              </w:rPr>
            </w:pPr>
            <w:r>
              <w:rPr>
                <w:b/>
                <w:bCs/>
                <w:sz w:val="24"/>
              </w:rPr>
              <w:t>上料：</w:t>
            </w:r>
            <w:r>
              <w:rPr>
                <w:sz w:val="24"/>
              </w:rPr>
              <w:t>我公司配料过程由自动计量系统自动计量原料配比重量，抽料方式采用真空抽料，全程密闭，不产生粉尘。</w:t>
            </w:r>
          </w:p>
          <w:p>
            <w:pPr>
              <w:spacing w:line="360" w:lineRule="auto"/>
              <w:ind w:firstLine="482" w:firstLineChars="200"/>
              <w:jc w:val="left"/>
              <w:rPr>
                <w:sz w:val="24"/>
              </w:rPr>
            </w:pPr>
            <w:r>
              <w:rPr>
                <w:b/>
                <w:bCs/>
                <w:sz w:val="24"/>
              </w:rPr>
              <w:t>混合搅拌：</w:t>
            </w:r>
            <w:r>
              <w:rPr>
                <w:sz w:val="24"/>
              </w:rPr>
              <w:t>使用高速混合机对原辅料进行充分搅拌，搅拌均匀后成为混合料，此工序产生搅拌粉尘G6。</w:t>
            </w:r>
          </w:p>
          <w:p>
            <w:pPr>
              <w:spacing w:line="360" w:lineRule="auto"/>
              <w:ind w:firstLine="482" w:firstLineChars="200"/>
              <w:jc w:val="left"/>
              <w:rPr>
                <w:sz w:val="24"/>
              </w:rPr>
            </w:pPr>
            <w:r>
              <w:rPr>
                <w:b/>
                <w:bCs/>
                <w:sz w:val="24"/>
              </w:rPr>
              <w:t>密炼：</w:t>
            </w:r>
            <w:r>
              <w:rPr>
                <w:sz w:val="24"/>
              </w:rPr>
              <w:t>混合料进入密炼机进行混炼，密炼机设有一对特定形状并相对回转的转子，在可调温度和压力的密闭状态下间隙性地对混合料进行混炼，完成后由下方出料口挤出，此工序产生密炼废气G7。</w:t>
            </w:r>
          </w:p>
          <w:p>
            <w:pPr>
              <w:spacing w:line="360" w:lineRule="auto"/>
              <w:ind w:firstLine="482" w:firstLineChars="200"/>
              <w:jc w:val="left"/>
              <w:rPr>
                <w:sz w:val="24"/>
              </w:rPr>
            </w:pPr>
            <w:r>
              <w:rPr>
                <w:b/>
                <w:bCs/>
                <w:sz w:val="24"/>
              </w:rPr>
              <w:t>一次开炼：</w:t>
            </w:r>
            <w:r>
              <w:rPr>
                <w:sz w:val="24"/>
              </w:rPr>
              <w:t>挤出的混料进入开炼机，把混合均匀的原料进行混炼、塑化，为压延机压延成型塑料制品提供混合炼塑较均匀的熔融料，此工序产生开炼废气G8。</w:t>
            </w:r>
          </w:p>
          <w:p>
            <w:pPr>
              <w:spacing w:line="360" w:lineRule="auto"/>
              <w:ind w:firstLine="482" w:firstLineChars="200"/>
              <w:jc w:val="left"/>
              <w:rPr>
                <w:sz w:val="24"/>
              </w:rPr>
            </w:pPr>
            <w:r>
              <w:rPr>
                <w:b/>
                <w:bCs/>
                <w:sz w:val="24"/>
              </w:rPr>
              <w:t>过滤：</w:t>
            </w:r>
            <w:r>
              <w:rPr>
                <w:sz w:val="24"/>
              </w:rPr>
              <w:t>为了去除熔体中可能存在的杂质，在熔体管线上安装一台过滤器，此工序产生废过滤残渣S3。</w:t>
            </w:r>
          </w:p>
          <w:p>
            <w:pPr>
              <w:spacing w:line="360" w:lineRule="auto"/>
              <w:ind w:firstLine="482" w:firstLineChars="200"/>
              <w:jc w:val="left"/>
              <w:rPr>
                <w:sz w:val="24"/>
              </w:rPr>
            </w:pPr>
            <w:r>
              <w:rPr>
                <w:b/>
                <w:bCs/>
                <w:sz w:val="24"/>
              </w:rPr>
              <w:t>二次开炼：</w:t>
            </w:r>
            <w:r>
              <w:rPr>
                <w:sz w:val="24"/>
              </w:rPr>
              <w:t>过滤后的混料再次进入开炼机进行混炼、塑料，进一步混合，此工序产生开炼废气G9。</w:t>
            </w:r>
          </w:p>
          <w:p>
            <w:pPr>
              <w:spacing w:line="360" w:lineRule="auto"/>
              <w:ind w:firstLine="482" w:firstLineChars="200"/>
              <w:jc w:val="left"/>
              <w:rPr>
                <w:sz w:val="24"/>
              </w:rPr>
            </w:pPr>
            <w:r>
              <w:rPr>
                <w:b/>
                <w:bCs/>
                <w:sz w:val="24"/>
              </w:rPr>
              <w:t>压延：</w:t>
            </w:r>
            <w:r>
              <w:rPr>
                <w:sz w:val="24"/>
              </w:rPr>
              <w:t>混料进入压延机，辊筒在一定的形式排列、控制温度、调整辊隙而改变其厚度、宽度，压延后成型，将涂层好的坯布运至压延机，与压延成型的薄膜贴合，此工序产生压延废气G10。</w:t>
            </w:r>
          </w:p>
          <w:p>
            <w:pPr>
              <w:spacing w:line="360" w:lineRule="auto"/>
              <w:ind w:firstLine="482" w:firstLineChars="200"/>
              <w:jc w:val="left"/>
              <w:rPr>
                <w:sz w:val="24"/>
              </w:rPr>
            </w:pPr>
            <w:r>
              <w:rPr>
                <w:b/>
                <w:bCs/>
                <w:sz w:val="24"/>
              </w:rPr>
              <w:t>冷却：</w:t>
            </w:r>
            <w:r>
              <w:rPr>
                <w:sz w:val="24"/>
              </w:rPr>
              <w:t>压延后薄膜进入冷却机组进行冷却，冷却水循环使用，不外排，定期添加。</w:t>
            </w:r>
          </w:p>
          <w:p>
            <w:pPr>
              <w:spacing w:line="360" w:lineRule="auto"/>
              <w:ind w:firstLine="482" w:firstLineChars="200"/>
              <w:rPr>
                <w:color w:val="0000FF"/>
                <w:sz w:val="24"/>
              </w:rPr>
            </w:pPr>
            <w:r>
              <w:rPr>
                <w:b/>
                <w:bCs/>
                <w:sz w:val="24"/>
              </w:rPr>
              <w:t>收卷：</w:t>
            </w:r>
            <w:r>
              <w:rPr>
                <w:sz w:val="24"/>
              </w:rPr>
              <w:t>通过收卷装置进行收卷。</w:t>
            </w:r>
          </w:p>
          <w:p>
            <w:pPr>
              <w:pStyle w:val="4"/>
              <w:tabs>
                <w:tab w:val="left" w:pos="885"/>
              </w:tabs>
              <w:adjustRightInd w:val="0"/>
              <w:snapToGrid w:val="0"/>
              <w:spacing w:before="0" w:after="0" w:line="360" w:lineRule="auto"/>
              <w:rPr>
                <w:rFonts w:ascii="Times New Roman" w:hAnsi="Times New Roman" w:eastAsia="宋体" w:cs="Times New Roman"/>
                <w:color w:val="auto"/>
                <w:sz w:val="24"/>
                <w:szCs w:val="24"/>
              </w:rPr>
            </w:pPr>
            <w:r>
              <w:rPr>
                <w:rFonts w:ascii="Times New Roman" w:hAnsi="Times New Roman" w:eastAsia="宋体" w:cs="Times New Roman"/>
                <w:sz w:val="24"/>
                <w:szCs w:val="24"/>
              </w:rPr>
              <w:t>三、</w:t>
            </w:r>
            <w:r>
              <w:rPr>
                <w:rFonts w:ascii="Times New Roman" w:hAnsi="Times New Roman" w:eastAsia="宋体" w:cs="Times New Roman"/>
                <w:color w:val="auto"/>
                <w:sz w:val="24"/>
                <w:szCs w:val="24"/>
              </w:rPr>
              <w:t>原有项目污染物排放情况</w:t>
            </w:r>
          </w:p>
          <w:p>
            <w:pPr>
              <w:spacing w:line="360" w:lineRule="auto"/>
              <w:ind w:firstLine="480" w:firstLineChars="200"/>
              <w:rPr>
                <w:rFonts w:hint="eastAsia"/>
                <w:color w:val="auto"/>
                <w:sz w:val="24"/>
              </w:rPr>
            </w:pPr>
            <w:r>
              <w:rPr>
                <w:rFonts w:hint="eastAsia"/>
                <w:color w:val="auto"/>
                <w:sz w:val="24"/>
              </w:rPr>
              <w:t>原有项目污染物排放情况根据自查报告及实际生产情况进行论述。</w:t>
            </w:r>
          </w:p>
          <w:p>
            <w:pPr>
              <w:spacing w:line="360" w:lineRule="auto"/>
              <w:ind w:firstLine="480" w:firstLineChars="200"/>
              <w:rPr>
                <w:color w:val="auto"/>
                <w:sz w:val="24"/>
              </w:rPr>
            </w:pPr>
            <w:r>
              <w:rPr>
                <w:color w:val="auto"/>
                <w:sz w:val="24"/>
              </w:rPr>
              <w:t>1、废水</w:t>
            </w:r>
          </w:p>
          <w:p>
            <w:pPr>
              <w:spacing w:line="360" w:lineRule="auto"/>
              <w:ind w:firstLine="480" w:firstLineChars="200"/>
              <w:rPr>
                <w:color w:val="auto"/>
                <w:sz w:val="24"/>
              </w:rPr>
            </w:pPr>
            <w:r>
              <w:rPr>
                <w:color w:val="auto"/>
                <w:sz w:val="24"/>
              </w:rPr>
              <w:t>生活污水：企业现有职工350人，年均工作日300天，全厂生活污水排放量为8400t/a</w:t>
            </w:r>
            <w:r>
              <w:rPr>
                <w:bCs/>
                <w:color w:val="auto"/>
                <w:sz w:val="24"/>
              </w:rPr>
              <w:t>，</w:t>
            </w:r>
            <w:r>
              <w:rPr>
                <w:snapToGrid w:val="0"/>
                <w:color w:val="auto"/>
                <w:kern w:val="0"/>
                <w:sz w:val="24"/>
              </w:rPr>
              <w:t>进入市政污水管网，排入武南污水处理厂</w:t>
            </w:r>
            <w:r>
              <w:rPr>
                <w:bCs/>
                <w:color w:val="auto"/>
                <w:sz w:val="24"/>
              </w:rPr>
              <w:t>。</w:t>
            </w:r>
          </w:p>
          <w:p>
            <w:pPr>
              <w:adjustRightInd w:val="0"/>
              <w:snapToGrid w:val="0"/>
              <w:spacing w:line="360" w:lineRule="auto"/>
              <w:ind w:firstLine="480" w:firstLineChars="200"/>
              <w:rPr>
                <w:sz w:val="24"/>
              </w:rPr>
            </w:pPr>
            <w:r>
              <w:rPr>
                <w:color w:val="auto"/>
                <w:sz w:val="24"/>
              </w:rPr>
              <w:t>根据企业提</w:t>
            </w:r>
            <w:r>
              <w:rPr>
                <w:sz w:val="24"/>
              </w:rPr>
              <w:t>供的(2021)国泰监测江（委）字第（03057）号检测报告，废水监测结果见下表：</w:t>
            </w:r>
          </w:p>
          <w:p>
            <w:pPr>
              <w:adjustRightInd w:val="0"/>
              <w:snapToGrid w:val="0"/>
              <w:jc w:val="center"/>
              <w:rPr>
                <w:sz w:val="24"/>
              </w:rPr>
            </w:pPr>
            <w:r>
              <w:rPr>
                <w:b/>
                <w:sz w:val="24"/>
              </w:rPr>
              <w:t>表2-11  废水监测结果</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76"/>
              <w:gridCol w:w="1520"/>
              <w:gridCol w:w="1540"/>
              <w:gridCol w:w="1541"/>
              <w:gridCol w:w="15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2" w:type="pct"/>
                  <w:vMerge w:val="restart"/>
                  <w:tcBorders>
                    <w:top w:val="single" w:color="auto" w:sz="12" w:space="0"/>
                    <w:left w:val="nil"/>
                    <w:bottom w:val="single" w:color="auto" w:sz="4" w:space="0"/>
                    <w:right w:val="single" w:color="auto" w:sz="4" w:space="0"/>
                  </w:tcBorders>
                  <w:vAlign w:val="center"/>
                </w:tcPr>
                <w:p>
                  <w:pPr>
                    <w:spacing w:line="320" w:lineRule="exact"/>
                    <w:jc w:val="center"/>
                    <w:rPr>
                      <w:b/>
                      <w:szCs w:val="21"/>
                    </w:rPr>
                  </w:pPr>
                  <w:r>
                    <w:rPr>
                      <w:b/>
                    </w:rPr>
                    <w:t>采样时间</w:t>
                  </w:r>
                </w:p>
              </w:tc>
              <w:tc>
                <w:tcPr>
                  <w:tcW w:w="903" w:type="pct"/>
                  <w:vMerge w:val="restart"/>
                  <w:tcBorders>
                    <w:top w:val="single" w:color="auto" w:sz="12" w:space="0"/>
                    <w:left w:val="single" w:color="auto" w:sz="4" w:space="0"/>
                    <w:bottom w:val="single" w:color="auto" w:sz="4" w:space="0"/>
                    <w:right w:val="single" w:color="auto" w:sz="4" w:space="0"/>
                  </w:tcBorders>
                  <w:vAlign w:val="center"/>
                </w:tcPr>
                <w:p>
                  <w:pPr>
                    <w:spacing w:line="320" w:lineRule="exact"/>
                    <w:jc w:val="center"/>
                    <w:rPr>
                      <w:b/>
                      <w:szCs w:val="21"/>
                    </w:rPr>
                  </w:pPr>
                  <w:r>
                    <w:rPr>
                      <w:b/>
                    </w:rPr>
                    <w:t>采样地点</w:t>
                  </w:r>
                </w:p>
              </w:tc>
              <w:tc>
                <w:tcPr>
                  <w:tcW w:w="2746" w:type="pct"/>
                  <w:gridSpan w:val="3"/>
                  <w:tcBorders>
                    <w:top w:val="single" w:color="auto" w:sz="12" w:space="0"/>
                    <w:left w:val="single" w:color="auto" w:sz="4" w:space="0"/>
                    <w:bottom w:val="single" w:color="auto" w:sz="4" w:space="0"/>
                    <w:right w:val="nil"/>
                  </w:tcBorders>
                  <w:vAlign w:val="center"/>
                </w:tcPr>
                <w:p>
                  <w:pPr>
                    <w:spacing w:line="320" w:lineRule="exact"/>
                    <w:jc w:val="center"/>
                    <w:rPr>
                      <w:b/>
                      <w:szCs w:val="21"/>
                    </w:rPr>
                  </w:pPr>
                  <w:r>
                    <w:rPr>
                      <w:b/>
                    </w:rPr>
                    <w:t>监测项目（单位：mg/L）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2" w:type="pct"/>
                  <w:vMerge w:val="continue"/>
                  <w:tcBorders>
                    <w:top w:val="single" w:color="auto" w:sz="12" w:space="0"/>
                    <w:left w:val="nil"/>
                    <w:bottom w:val="single" w:color="auto" w:sz="4" w:space="0"/>
                    <w:right w:val="single" w:color="auto" w:sz="4" w:space="0"/>
                  </w:tcBorders>
                  <w:vAlign w:val="center"/>
                </w:tcPr>
                <w:p>
                  <w:pPr>
                    <w:widowControl/>
                    <w:jc w:val="left"/>
                    <w:rPr>
                      <w:szCs w:val="21"/>
                    </w:rPr>
                  </w:pPr>
                </w:p>
              </w:tc>
              <w:tc>
                <w:tcPr>
                  <w:tcW w:w="903" w:type="pct"/>
                  <w:vMerge w:val="continue"/>
                  <w:tcBorders>
                    <w:top w:val="single" w:color="auto" w:sz="12" w:space="0"/>
                    <w:left w:val="single" w:color="auto" w:sz="4" w:space="0"/>
                    <w:bottom w:val="single" w:color="auto" w:sz="4" w:space="0"/>
                    <w:right w:val="single" w:color="auto" w:sz="4" w:space="0"/>
                  </w:tcBorders>
                  <w:vAlign w:val="center"/>
                </w:tcPr>
                <w:p>
                  <w:pPr>
                    <w:widowControl/>
                    <w:jc w:val="left"/>
                    <w:rPr>
                      <w:szCs w:val="21"/>
                    </w:rPr>
                  </w:pPr>
                </w:p>
              </w:tc>
              <w:tc>
                <w:tcPr>
                  <w:tcW w:w="915"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b/>
                      <w:szCs w:val="21"/>
                    </w:rPr>
                  </w:pPr>
                  <w:r>
                    <w:rPr>
                      <w:b/>
                    </w:rPr>
                    <w:t>pH（无量纲）</w:t>
                  </w:r>
                </w:p>
              </w:tc>
              <w:tc>
                <w:tcPr>
                  <w:tcW w:w="915"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b/>
                      <w:szCs w:val="21"/>
                    </w:rPr>
                  </w:pPr>
                  <w:r>
                    <w:rPr>
                      <w:b/>
                    </w:rPr>
                    <w:t>SS</w:t>
                  </w:r>
                </w:p>
              </w:tc>
              <w:tc>
                <w:tcPr>
                  <w:tcW w:w="916" w:type="pct"/>
                  <w:tcBorders>
                    <w:top w:val="single" w:color="auto" w:sz="4" w:space="0"/>
                    <w:left w:val="single" w:color="auto" w:sz="4" w:space="0"/>
                    <w:bottom w:val="single" w:color="auto" w:sz="4" w:space="0"/>
                    <w:right w:val="nil"/>
                  </w:tcBorders>
                  <w:vAlign w:val="center"/>
                </w:tcPr>
                <w:p>
                  <w:pPr>
                    <w:spacing w:line="320" w:lineRule="exact"/>
                    <w:jc w:val="center"/>
                    <w:rPr>
                      <w:b/>
                      <w:szCs w:val="21"/>
                    </w:rPr>
                  </w:pPr>
                  <w:r>
                    <w:rPr>
                      <w:b/>
                    </w:rPr>
                    <w:t>COD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2" w:type="pct"/>
                  <w:tcBorders>
                    <w:top w:val="single" w:color="auto" w:sz="4" w:space="0"/>
                    <w:left w:val="nil"/>
                    <w:bottom w:val="single" w:color="auto" w:sz="4" w:space="0"/>
                    <w:right w:val="single" w:color="auto" w:sz="4" w:space="0"/>
                  </w:tcBorders>
                  <w:vAlign w:val="center"/>
                </w:tcPr>
                <w:p>
                  <w:pPr>
                    <w:spacing w:line="320" w:lineRule="exact"/>
                    <w:jc w:val="center"/>
                    <w:rPr>
                      <w:szCs w:val="21"/>
                    </w:rPr>
                  </w:pPr>
                  <w:r>
                    <w:t>2021年3月6日</w:t>
                  </w:r>
                </w:p>
              </w:tc>
              <w:tc>
                <w:tcPr>
                  <w:tcW w:w="903" w:type="pct"/>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t>接管口</w:t>
                  </w:r>
                </w:p>
              </w:tc>
              <w:tc>
                <w:tcPr>
                  <w:tcW w:w="915"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t>6.89~7.01</w:t>
                  </w:r>
                </w:p>
              </w:tc>
              <w:tc>
                <w:tcPr>
                  <w:tcW w:w="915"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29</w:t>
                  </w:r>
                </w:p>
              </w:tc>
              <w:tc>
                <w:tcPr>
                  <w:tcW w:w="916" w:type="pct"/>
                  <w:tcBorders>
                    <w:top w:val="single" w:color="auto" w:sz="4" w:space="0"/>
                    <w:left w:val="single" w:color="auto" w:sz="4" w:space="0"/>
                    <w:bottom w:val="single" w:color="auto" w:sz="4" w:space="0"/>
                    <w:right w:val="nil"/>
                  </w:tcBorders>
                  <w:vAlign w:val="center"/>
                </w:tcPr>
                <w:p>
                  <w:pPr>
                    <w:spacing w:line="320" w:lineRule="exact"/>
                    <w:jc w:val="center"/>
                    <w:rPr>
                      <w:szCs w:val="21"/>
                    </w:rPr>
                  </w:pPr>
                  <w:r>
                    <w:rPr>
                      <w:szCs w:val="21"/>
                    </w:rPr>
                    <w:t>120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2" w:type="pct"/>
                  <w:tcBorders>
                    <w:top w:val="single" w:color="auto" w:sz="4" w:space="0"/>
                    <w:left w:val="nil"/>
                    <w:bottom w:val="single" w:color="auto" w:sz="4" w:space="0"/>
                    <w:right w:val="single" w:color="auto" w:sz="4" w:space="0"/>
                  </w:tcBorders>
                  <w:vAlign w:val="center"/>
                </w:tcPr>
                <w:p>
                  <w:pPr>
                    <w:spacing w:line="320" w:lineRule="exact"/>
                    <w:jc w:val="center"/>
                    <w:rPr>
                      <w:szCs w:val="21"/>
                    </w:rPr>
                  </w:pPr>
                  <w:r>
                    <w:t>2021年3月7日</w:t>
                  </w:r>
                </w:p>
              </w:tc>
              <w:tc>
                <w:tcPr>
                  <w:tcW w:w="9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915"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t>6.93~7.08</w:t>
                  </w:r>
                </w:p>
              </w:tc>
              <w:tc>
                <w:tcPr>
                  <w:tcW w:w="915"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33</w:t>
                  </w:r>
                </w:p>
              </w:tc>
              <w:tc>
                <w:tcPr>
                  <w:tcW w:w="916" w:type="pct"/>
                  <w:tcBorders>
                    <w:top w:val="single" w:color="auto" w:sz="4" w:space="0"/>
                    <w:left w:val="single" w:color="auto" w:sz="4" w:space="0"/>
                    <w:bottom w:val="single" w:color="auto" w:sz="4" w:space="0"/>
                    <w:right w:val="nil"/>
                  </w:tcBorders>
                  <w:vAlign w:val="center"/>
                </w:tcPr>
                <w:p>
                  <w:pPr>
                    <w:spacing w:line="320" w:lineRule="exact"/>
                    <w:jc w:val="center"/>
                    <w:rPr>
                      <w:szCs w:val="21"/>
                    </w:rPr>
                  </w:pPr>
                  <w:r>
                    <w:rPr>
                      <w:szCs w:val="21"/>
                    </w:rPr>
                    <w:t>135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2" w:type="pct"/>
                  <w:tcBorders>
                    <w:top w:val="single" w:color="auto" w:sz="4" w:space="0"/>
                    <w:left w:val="nil"/>
                    <w:bottom w:val="single" w:color="auto" w:sz="12" w:space="0"/>
                    <w:right w:val="single" w:color="auto" w:sz="4" w:space="0"/>
                  </w:tcBorders>
                  <w:vAlign w:val="center"/>
                </w:tcPr>
                <w:p>
                  <w:pPr>
                    <w:spacing w:line="320" w:lineRule="exact"/>
                    <w:jc w:val="center"/>
                    <w:rPr>
                      <w:szCs w:val="21"/>
                    </w:rPr>
                  </w:pPr>
                  <w:r>
                    <w:t>/</w:t>
                  </w:r>
                </w:p>
              </w:tc>
              <w:tc>
                <w:tcPr>
                  <w:tcW w:w="903" w:type="pct"/>
                  <w:tcBorders>
                    <w:top w:val="single" w:color="auto" w:sz="4" w:space="0"/>
                    <w:left w:val="single" w:color="auto" w:sz="4" w:space="0"/>
                    <w:bottom w:val="single" w:color="auto" w:sz="12" w:space="0"/>
                    <w:right w:val="single" w:color="auto" w:sz="4" w:space="0"/>
                  </w:tcBorders>
                  <w:vAlign w:val="center"/>
                </w:tcPr>
                <w:p>
                  <w:pPr>
                    <w:spacing w:line="320" w:lineRule="exact"/>
                    <w:jc w:val="center"/>
                    <w:rPr>
                      <w:szCs w:val="21"/>
                    </w:rPr>
                  </w:pPr>
                  <w:r>
                    <w:t>排放标准</w:t>
                  </w:r>
                </w:p>
              </w:tc>
              <w:tc>
                <w:tcPr>
                  <w:tcW w:w="915" w:type="pct"/>
                  <w:tcBorders>
                    <w:top w:val="single" w:color="auto" w:sz="4" w:space="0"/>
                    <w:left w:val="single" w:color="auto" w:sz="4" w:space="0"/>
                    <w:bottom w:val="single" w:color="auto" w:sz="12" w:space="0"/>
                    <w:right w:val="single" w:color="auto" w:sz="4" w:space="0"/>
                  </w:tcBorders>
                  <w:vAlign w:val="center"/>
                </w:tcPr>
                <w:p>
                  <w:pPr>
                    <w:spacing w:line="320" w:lineRule="exact"/>
                    <w:jc w:val="center"/>
                    <w:rPr>
                      <w:szCs w:val="21"/>
                    </w:rPr>
                  </w:pPr>
                  <w:r>
                    <w:t>6.5～9.5</w:t>
                  </w:r>
                </w:p>
              </w:tc>
              <w:tc>
                <w:tcPr>
                  <w:tcW w:w="915" w:type="pct"/>
                  <w:tcBorders>
                    <w:top w:val="single" w:color="auto" w:sz="4" w:space="0"/>
                    <w:left w:val="single" w:color="auto" w:sz="4" w:space="0"/>
                    <w:bottom w:val="single" w:color="auto" w:sz="12" w:space="0"/>
                    <w:right w:val="single" w:color="auto" w:sz="4" w:space="0"/>
                  </w:tcBorders>
                  <w:vAlign w:val="center"/>
                </w:tcPr>
                <w:p>
                  <w:pPr>
                    <w:spacing w:line="320" w:lineRule="exact"/>
                    <w:jc w:val="center"/>
                    <w:rPr>
                      <w:szCs w:val="21"/>
                    </w:rPr>
                  </w:pPr>
                  <w:r>
                    <w:t>400</w:t>
                  </w:r>
                </w:p>
              </w:tc>
              <w:tc>
                <w:tcPr>
                  <w:tcW w:w="916" w:type="pct"/>
                  <w:tcBorders>
                    <w:top w:val="single" w:color="auto" w:sz="4" w:space="0"/>
                    <w:left w:val="single" w:color="auto" w:sz="4" w:space="0"/>
                    <w:bottom w:val="single" w:color="auto" w:sz="12" w:space="0"/>
                    <w:right w:val="nil"/>
                  </w:tcBorders>
                  <w:vAlign w:val="center"/>
                </w:tcPr>
                <w:p>
                  <w:pPr>
                    <w:spacing w:line="320" w:lineRule="exact"/>
                    <w:jc w:val="center"/>
                    <w:rPr>
                      <w:szCs w:val="21"/>
                    </w:rPr>
                  </w:pPr>
                  <w:r>
                    <w:t>500</w:t>
                  </w:r>
                </w:p>
              </w:tc>
            </w:tr>
          </w:tbl>
          <w:p>
            <w:pPr>
              <w:adjustRightInd w:val="0"/>
              <w:snapToGrid w:val="0"/>
              <w:spacing w:line="360" w:lineRule="auto"/>
              <w:ind w:firstLine="480" w:firstLineChars="200"/>
              <w:rPr>
                <w:sz w:val="24"/>
              </w:rPr>
            </w:pPr>
            <w:r>
              <w:rPr>
                <w:sz w:val="24"/>
              </w:rPr>
              <w:t>由上表监测数据可知，项目废水水质均能达到《污水排入城镇下水道水质标准》（GB/T31962-2015）表1中B级标准。</w:t>
            </w:r>
          </w:p>
          <w:p>
            <w:pPr>
              <w:pStyle w:val="5"/>
              <w:spacing w:line="360" w:lineRule="auto"/>
              <w:ind w:firstLine="480"/>
              <w:rPr>
                <w:rFonts w:hint="eastAsia" w:ascii="Times New Roman" w:hAnsi="Times New Roman" w:eastAsia="宋体"/>
                <w:color w:val="auto"/>
                <w:sz w:val="24"/>
                <w:highlight w:val="none"/>
                <w:lang w:eastAsia="zh-CN"/>
              </w:rPr>
            </w:pPr>
            <w:r>
              <w:rPr>
                <w:rFonts w:ascii="Times New Roman" w:hAnsi="Times New Roman"/>
                <w:color w:val="auto"/>
                <w:sz w:val="24"/>
                <w:highlight w:val="none"/>
              </w:rPr>
              <w:t>企业原有项目废水实际排放量见下表</w:t>
            </w:r>
            <w:r>
              <w:rPr>
                <w:rFonts w:hint="eastAsia" w:ascii="Times New Roman" w:hAnsi="Times New Roman"/>
                <w:color w:val="auto"/>
                <w:sz w:val="24"/>
                <w:highlight w:val="none"/>
                <w:lang w:eastAsia="zh-CN"/>
              </w:rPr>
              <w:t>：</w:t>
            </w:r>
          </w:p>
          <w:p>
            <w:pPr>
              <w:pStyle w:val="5"/>
              <w:jc w:val="center"/>
              <w:rPr>
                <w:rFonts w:ascii="Times New Roman" w:hAnsi="Times New Roman"/>
                <w:b/>
                <w:color w:val="auto"/>
                <w:sz w:val="24"/>
                <w:szCs w:val="24"/>
                <w:highlight w:val="none"/>
              </w:rPr>
            </w:pPr>
            <w:r>
              <w:rPr>
                <w:rFonts w:ascii="Times New Roman" w:hAnsi="Times New Roman"/>
                <w:b/>
                <w:color w:val="auto"/>
                <w:sz w:val="24"/>
                <w:szCs w:val="24"/>
                <w:highlight w:val="none"/>
              </w:rPr>
              <w:t>表2-12  原有项目生活污水排放情况汇总表   单位：t/a</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13"/>
              <w:gridCol w:w="1256"/>
              <w:gridCol w:w="1193"/>
              <w:gridCol w:w="937"/>
              <w:gridCol w:w="937"/>
              <w:gridCol w:w="937"/>
              <w:gridCol w:w="94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4" w:type="pct"/>
                  <w:vAlign w:val="center"/>
                </w:tcPr>
                <w:p>
                  <w:pPr>
                    <w:adjustRightInd w:val="0"/>
                    <w:snapToGrid w:val="0"/>
                    <w:jc w:val="center"/>
                    <w:rPr>
                      <w:b/>
                      <w:color w:val="auto"/>
                      <w:szCs w:val="21"/>
                      <w:highlight w:val="none"/>
                    </w:rPr>
                  </w:pPr>
                  <w:r>
                    <w:rPr>
                      <w:b/>
                      <w:color w:val="auto"/>
                      <w:szCs w:val="21"/>
                      <w:highlight w:val="none"/>
                    </w:rPr>
                    <w:t>污染物种类</w:t>
                  </w:r>
                </w:p>
              </w:tc>
              <w:tc>
                <w:tcPr>
                  <w:tcW w:w="746" w:type="pct"/>
                  <w:vAlign w:val="center"/>
                </w:tcPr>
                <w:p>
                  <w:pPr>
                    <w:adjustRightInd w:val="0"/>
                    <w:snapToGrid w:val="0"/>
                    <w:jc w:val="center"/>
                    <w:rPr>
                      <w:b/>
                      <w:color w:val="auto"/>
                      <w:szCs w:val="21"/>
                      <w:highlight w:val="none"/>
                    </w:rPr>
                  </w:pPr>
                  <w:r>
                    <w:rPr>
                      <w:b/>
                      <w:color w:val="auto"/>
                      <w:szCs w:val="21"/>
                      <w:highlight w:val="none"/>
                    </w:rPr>
                    <w:t>生活污水</w:t>
                  </w:r>
                </w:p>
              </w:tc>
              <w:tc>
                <w:tcPr>
                  <w:tcW w:w="708" w:type="pct"/>
                  <w:vAlign w:val="center"/>
                </w:tcPr>
                <w:p>
                  <w:pPr>
                    <w:adjustRightInd w:val="0"/>
                    <w:snapToGrid w:val="0"/>
                    <w:jc w:val="center"/>
                    <w:rPr>
                      <w:b/>
                      <w:color w:val="auto"/>
                      <w:szCs w:val="21"/>
                      <w:highlight w:val="none"/>
                    </w:rPr>
                  </w:pPr>
                  <w:r>
                    <w:rPr>
                      <w:b/>
                      <w:color w:val="auto"/>
                      <w:szCs w:val="21"/>
                      <w:highlight w:val="none"/>
                    </w:rPr>
                    <w:t>COD</w:t>
                  </w:r>
                </w:p>
              </w:tc>
              <w:tc>
                <w:tcPr>
                  <w:tcW w:w="556" w:type="pct"/>
                  <w:vAlign w:val="center"/>
                </w:tcPr>
                <w:p>
                  <w:pPr>
                    <w:adjustRightInd w:val="0"/>
                    <w:snapToGrid w:val="0"/>
                    <w:jc w:val="center"/>
                    <w:rPr>
                      <w:b/>
                      <w:color w:val="auto"/>
                      <w:szCs w:val="21"/>
                      <w:highlight w:val="none"/>
                    </w:rPr>
                  </w:pPr>
                  <w:r>
                    <w:rPr>
                      <w:b/>
                      <w:color w:val="auto"/>
                      <w:szCs w:val="21"/>
                      <w:highlight w:val="none"/>
                    </w:rPr>
                    <w:t>SS</w:t>
                  </w:r>
                </w:p>
              </w:tc>
              <w:tc>
                <w:tcPr>
                  <w:tcW w:w="556" w:type="pct"/>
                  <w:vAlign w:val="center"/>
                </w:tcPr>
                <w:p>
                  <w:pPr>
                    <w:adjustRightInd w:val="0"/>
                    <w:snapToGrid w:val="0"/>
                    <w:jc w:val="center"/>
                    <w:rPr>
                      <w:rFonts w:hint="eastAsia" w:eastAsia="宋体"/>
                      <w:b/>
                      <w:color w:val="auto"/>
                      <w:szCs w:val="21"/>
                      <w:highlight w:val="none"/>
                      <w:lang w:val="en-US" w:eastAsia="zh-CN"/>
                    </w:rPr>
                  </w:pPr>
                  <w:r>
                    <w:rPr>
                      <w:rFonts w:hint="eastAsia"/>
                      <w:b/>
                      <w:color w:val="auto"/>
                      <w:szCs w:val="21"/>
                      <w:highlight w:val="none"/>
                      <w:lang w:val="en-US" w:eastAsia="zh-CN"/>
                    </w:rPr>
                    <w:t>氨氮</w:t>
                  </w:r>
                </w:p>
              </w:tc>
              <w:tc>
                <w:tcPr>
                  <w:tcW w:w="556" w:type="pct"/>
                  <w:vAlign w:val="center"/>
                </w:tcPr>
                <w:p>
                  <w:pPr>
                    <w:adjustRightInd w:val="0"/>
                    <w:snapToGrid w:val="0"/>
                    <w:jc w:val="center"/>
                    <w:rPr>
                      <w:rFonts w:hint="default" w:eastAsia="宋体"/>
                      <w:b/>
                      <w:color w:val="auto"/>
                      <w:szCs w:val="21"/>
                      <w:highlight w:val="none"/>
                      <w:lang w:val="en-US" w:eastAsia="zh-CN"/>
                    </w:rPr>
                  </w:pPr>
                  <w:r>
                    <w:rPr>
                      <w:rFonts w:hint="eastAsia"/>
                      <w:b/>
                      <w:color w:val="auto"/>
                      <w:szCs w:val="21"/>
                      <w:highlight w:val="none"/>
                      <w:lang w:val="en-US" w:eastAsia="zh-CN"/>
                    </w:rPr>
                    <w:t>TP</w:t>
                  </w:r>
                </w:p>
              </w:tc>
              <w:tc>
                <w:tcPr>
                  <w:tcW w:w="559" w:type="pct"/>
                  <w:vAlign w:val="center"/>
                </w:tcPr>
                <w:p>
                  <w:pPr>
                    <w:adjustRightInd w:val="0"/>
                    <w:snapToGrid w:val="0"/>
                    <w:jc w:val="center"/>
                    <w:rPr>
                      <w:rFonts w:hint="default" w:eastAsia="宋体"/>
                      <w:b/>
                      <w:color w:val="auto"/>
                      <w:szCs w:val="21"/>
                      <w:highlight w:val="none"/>
                      <w:lang w:val="en-US" w:eastAsia="zh-CN"/>
                    </w:rPr>
                  </w:pPr>
                  <w:r>
                    <w:rPr>
                      <w:rFonts w:hint="eastAsia"/>
                      <w:b/>
                      <w:color w:val="auto"/>
                      <w:szCs w:val="21"/>
                      <w:highlight w:val="none"/>
                      <w:lang w:val="en-US" w:eastAsia="zh-CN"/>
                    </w:rPr>
                    <w:t>TN</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4" w:type="pct"/>
                  <w:vAlign w:val="center"/>
                </w:tcPr>
                <w:p>
                  <w:pPr>
                    <w:adjustRightInd w:val="0"/>
                    <w:snapToGrid w:val="0"/>
                    <w:jc w:val="center"/>
                    <w:rPr>
                      <w:color w:val="auto"/>
                      <w:szCs w:val="21"/>
                      <w:highlight w:val="none"/>
                    </w:rPr>
                  </w:pPr>
                  <w:r>
                    <w:rPr>
                      <w:color w:val="auto"/>
                      <w:szCs w:val="21"/>
                      <w:highlight w:val="none"/>
                    </w:rPr>
                    <w:t>实际排放量t/a</w:t>
                  </w:r>
                </w:p>
              </w:tc>
              <w:tc>
                <w:tcPr>
                  <w:tcW w:w="746" w:type="pct"/>
                  <w:vAlign w:val="center"/>
                </w:tcPr>
                <w:p>
                  <w:pPr>
                    <w:adjustRightInd w:val="0"/>
                    <w:snapToGrid w:val="0"/>
                    <w:jc w:val="center"/>
                    <w:rPr>
                      <w:color w:val="auto"/>
                      <w:szCs w:val="21"/>
                      <w:highlight w:val="none"/>
                    </w:rPr>
                  </w:pPr>
                  <w:r>
                    <w:rPr>
                      <w:color w:val="auto"/>
                      <w:szCs w:val="21"/>
                      <w:highlight w:val="none"/>
                    </w:rPr>
                    <w:t>8400</w:t>
                  </w:r>
                </w:p>
              </w:tc>
              <w:tc>
                <w:tcPr>
                  <w:tcW w:w="708" w:type="pct"/>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4.2</w:t>
                  </w:r>
                </w:p>
              </w:tc>
              <w:tc>
                <w:tcPr>
                  <w:tcW w:w="556" w:type="pct"/>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3.36</w:t>
                  </w:r>
                </w:p>
              </w:tc>
              <w:tc>
                <w:tcPr>
                  <w:tcW w:w="556" w:type="pct"/>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0.378</w:t>
                  </w:r>
                </w:p>
              </w:tc>
              <w:tc>
                <w:tcPr>
                  <w:tcW w:w="556" w:type="pct"/>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0.0672</w:t>
                  </w:r>
                </w:p>
              </w:tc>
              <w:tc>
                <w:tcPr>
                  <w:tcW w:w="559" w:type="pct"/>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0.588</w:t>
                  </w:r>
                </w:p>
              </w:tc>
            </w:tr>
          </w:tbl>
          <w:p>
            <w:pPr>
              <w:spacing w:line="360" w:lineRule="auto"/>
              <w:ind w:firstLine="480" w:firstLineChars="200"/>
              <w:rPr>
                <w:sz w:val="24"/>
              </w:rPr>
            </w:pPr>
            <w:r>
              <w:rPr>
                <w:sz w:val="24"/>
              </w:rPr>
              <w:t>2、废气</w:t>
            </w:r>
          </w:p>
          <w:p>
            <w:pPr>
              <w:spacing w:line="360" w:lineRule="auto"/>
              <w:ind w:firstLine="480" w:firstLineChars="200"/>
              <w:rPr>
                <w:sz w:val="24"/>
              </w:rPr>
            </w:pPr>
            <w:r>
              <w:rPr>
                <w:sz w:val="24"/>
              </w:rPr>
              <w:t>定型车间</w:t>
            </w:r>
            <w:r>
              <w:rPr>
                <w:rFonts w:hint="eastAsia"/>
                <w:sz w:val="24"/>
                <w:lang w:val="en-US" w:eastAsia="zh-CN"/>
              </w:rPr>
              <w:t>印刷</w:t>
            </w:r>
            <w:r>
              <w:rPr>
                <w:sz w:val="24"/>
              </w:rPr>
              <w:t>等工段会产生非甲烷总烃，经静电除油+活性炭吸附装置处理后通过15m高排气筒（FQ-1）排放；</w:t>
            </w:r>
          </w:p>
          <w:p>
            <w:pPr>
              <w:spacing w:line="360" w:lineRule="auto"/>
              <w:ind w:firstLine="480" w:firstLineChars="200"/>
              <w:rPr>
                <w:sz w:val="24"/>
              </w:rPr>
            </w:pPr>
            <w:r>
              <w:rPr>
                <w:sz w:val="24"/>
              </w:rPr>
              <w:t>1号涂布车间涂层</w:t>
            </w:r>
            <w:r>
              <w:rPr>
                <w:rFonts w:hint="eastAsia"/>
                <w:sz w:val="24"/>
                <w:lang w:eastAsia="zh-CN"/>
              </w:rPr>
              <w:t>、</w:t>
            </w:r>
            <w:r>
              <w:rPr>
                <w:sz w:val="24"/>
              </w:rPr>
              <w:t>密炼、开炼、压延等工段会产生非甲烷总烃，经静电除油+活性炭吸附装置处理后通过15m高排气筒（FQ-2）排放；</w:t>
            </w:r>
          </w:p>
          <w:p>
            <w:pPr>
              <w:spacing w:line="360" w:lineRule="auto"/>
              <w:ind w:firstLine="480" w:firstLineChars="200"/>
              <w:rPr>
                <w:sz w:val="24"/>
              </w:rPr>
            </w:pPr>
            <w:r>
              <w:rPr>
                <w:sz w:val="24"/>
              </w:rPr>
              <w:t>2号涂布车间涂层</w:t>
            </w:r>
            <w:r>
              <w:rPr>
                <w:rFonts w:hint="eastAsia"/>
                <w:sz w:val="24"/>
                <w:lang w:eastAsia="zh-CN"/>
              </w:rPr>
              <w:t>、</w:t>
            </w:r>
            <w:r>
              <w:rPr>
                <w:sz w:val="24"/>
              </w:rPr>
              <w:t>密炼、开炼、压延等工段会产生非甲烷总烃，经静电除油+活性炭吸附装置处理后通过15m高排气筒（FQ-3）排放；</w:t>
            </w:r>
          </w:p>
          <w:p>
            <w:pPr>
              <w:spacing w:line="360" w:lineRule="auto"/>
              <w:ind w:firstLine="480" w:firstLineChars="200"/>
              <w:rPr>
                <w:sz w:val="24"/>
              </w:rPr>
            </w:pPr>
            <w:r>
              <w:rPr>
                <w:sz w:val="24"/>
              </w:rPr>
              <w:t>涂布车间搅拌PVC树脂碎料工段会产生颗粒物，经布袋除尘装置处理后通过15m高排气筒（FQ-4）排放。</w:t>
            </w:r>
          </w:p>
          <w:p>
            <w:pPr>
              <w:spacing w:line="360" w:lineRule="auto"/>
              <w:ind w:firstLine="480" w:firstLineChars="200"/>
              <w:rPr>
                <w:sz w:val="24"/>
              </w:rPr>
            </w:pPr>
            <w:r>
              <w:rPr>
                <w:sz w:val="24"/>
              </w:rPr>
              <w:t>企业原有项目的废气排放情况见表2-13：</w:t>
            </w:r>
          </w:p>
          <w:p>
            <w:pPr>
              <w:pStyle w:val="5"/>
              <w:jc w:val="center"/>
              <w:rPr>
                <w:rFonts w:ascii="Times New Roman" w:hAnsi="Times New Roman"/>
                <w:b/>
                <w:sz w:val="24"/>
                <w:szCs w:val="24"/>
              </w:rPr>
            </w:pPr>
            <w:r>
              <w:rPr>
                <w:rFonts w:ascii="Times New Roman" w:hAnsi="Times New Roman"/>
                <w:b/>
                <w:sz w:val="24"/>
                <w:szCs w:val="24"/>
              </w:rPr>
              <w:t>表2-13  原有项目有组织排放废气监测结果统计表</w:t>
            </w:r>
          </w:p>
          <w:tbl>
            <w:tblPr>
              <w:tblStyle w:val="2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769"/>
              <w:gridCol w:w="1056"/>
              <w:gridCol w:w="2110"/>
              <w:gridCol w:w="1419"/>
              <w:gridCol w:w="1069"/>
              <w:gridCol w:w="108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7" w:type="pct"/>
                  <w:vAlign w:val="center"/>
                </w:tcPr>
                <w:p>
                  <w:pPr>
                    <w:pStyle w:val="5"/>
                    <w:ind w:firstLine="0"/>
                    <w:jc w:val="center"/>
                    <w:rPr>
                      <w:rFonts w:ascii="Times New Roman" w:hAnsi="Times New Roman"/>
                      <w:b/>
                      <w:bCs/>
                      <w:szCs w:val="21"/>
                    </w:rPr>
                  </w:pPr>
                  <w:r>
                    <w:rPr>
                      <w:rFonts w:ascii="Times New Roman" w:hAnsi="Times New Roman"/>
                      <w:b/>
                      <w:bCs/>
                      <w:szCs w:val="21"/>
                    </w:rPr>
                    <w:t>监测位置</w:t>
                  </w:r>
                </w:p>
              </w:tc>
              <w:tc>
                <w:tcPr>
                  <w:tcW w:w="457" w:type="pct"/>
                  <w:vAlign w:val="center"/>
                </w:tcPr>
                <w:p>
                  <w:pPr>
                    <w:pStyle w:val="5"/>
                    <w:ind w:firstLine="0"/>
                    <w:jc w:val="center"/>
                    <w:rPr>
                      <w:rFonts w:ascii="Times New Roman" w:hAnsi="Times New Roman"/>
                      <w:b/>
                      <w:bCs/>
                      <w:szCs w:val="21"/>
                    </w:rPr>
                  </w:pPr>
                  <w:r>
                    <w:rPr>
                      <w:rFonts w:ascii="Times New Roman" w:hAnsi="Times New Roman"/>
                      <w:b/>
                      <w:bCs/>
                      <w:szCs w:val="21"/>
                    </w:rPr>
                    <w:t>排气筒编号</w:t>
                  </w:r>
                </w:p>
              </w:tc>
              <w:tc>
                <w:tcPr>
                  <w:tcW w:w="627" w:type="pct"/>
                  <w:vAlign w:val="center"/>
                </w:tcPr>
                <w:p>
                  <w:pPr>
                    <w:pStyle w:val="5"/>
                    <w:ind w:firstLine="0"/>
                    <w:jc w:val="center"/>
                    <w:rPr>
                      <w:rFonts w:ascii="Times New Roman" w:hAnsi="Times New Roman"/>
                      <w:b/>
                      <w:bCs/>
                      <w:szCs w:val="21"/>
                    </w:rPr>
                  </w:pPr>
                  <w:r>
                    <w:rPr>
                      <w:rFonts w:ascii="Times New Roman" w:hAnsi="Times New Roman"/>
                      <w:b/>
                      <w:bCs/>
                      <w:szCs w:val="21"/>
                    </w:rPr>
                    <w:t>监测时间</w:t>
                  </w:r>
                </w:p>
              </w:tc>
              <w:tc>
                <w:tcPr>
                  <w:tcW w:w="1254" w:type="pct"/>
                  <w:vAlign w:val="center"/>
                </w:tcPr>
                <w:p>
                  <w:pPr>
                    <w:pStyle w:val="5"/>
                    <w:ind w:firstLine="0"/>
                    <w:jc w:val="center"/>
                    <w:rPr>
                      <w:rFonts w:ascii="Times New Roman" w:hAnsi="Times New Roman"/>
                      <w:b/>
                      <w:bCs/>
                      <w:szCs w:val="21"/>
                    </w:rPr>
                  </w:pPr>
                  <w:r>
                    <w:rPr>
                      <w:rFonts w:ascii="Times New Roman" w:hAnsi="Times New Roman"/>
                      <w:b/>
                      <w:bCs/>
                      <w:szCs w:val="21"/>
                    </w:rPr>
                    <w:t>污染物指标</w:t>
                  </w:r>
                </w:p>
              </w:tc>
              <w:tc>
                <w:tcPr>
                  <w:tcW w:w="843" w:type="pct"/>
                  <w:vAlign w:val="center"/>
                </w:tcPr>
                <w:p>
                  <w:pPr>
                    <w:pStyle w:val="5"/>
                    <w:ind w:firstLine="0"/>
                    <w:jc w:val="center"/>
                    <w:rPr>
                      <w:rFonts w:ascii="Times New Roman" w:hAnsi="Times New Roman"/>
                      <w:b/>
                      <w:bCs/>
                      <w:szCs w:val="21"/>
                    </w:rPr>
                  </w:pPr>
                  <w:r>
                    <w:rPr>
                      <w:rFonts w:ascii="Times New Roman" w:hAnsi="Times New Roman"/>
                      <w:b/>
                      <w:bCs/>
                      <w:szCs w:val="21"/>
                    </w:rPr>
                    <w:t>出口监测结果</w:t>
                  </w:r>
                </w:p>
              </w:tc>
              <w:tc>
                <w:tcPr>
                  <w:tcW w:w="635" w:type="pct"/>
                  <w:vAlign w:val="center"/>
                </w:tcPr>
                <w:p>
                  <w:pPr>
                    <w:pStyle w:val="5"/>
                    <w:ind w:firstLine="0"/>
                    <w:jc w:val="center"/>
                    <w:rPr>
                      <w:rFonts w:ascii="Times New Roman" w:hAnsi="Times New Roman"/>
                      <w:b/>
                      <w:bCs/>
                      <w:szCs w:val="21"/>
                    </w:rPr>
                  </w:pPr>
                  <w:r>
                    <w:rPr>
                      <w:rFonts w:ascii="Times New Roman" w:hAnsi="Times New Roman"/>
                      <w:b/>
                      <w:bCs/>
                      <w:szCs w:val="21"/>
                    </w:rPr>
                    <w:t>标准限值</w:t>
                  </w:r>
                </w:p>
              </w:tc>
              <w:tc>
                <w:tcPr>
                  <w:tcW w:w="645" w:type="pct"/>
                  <w:vAlign w:val="center"/>
                </w:tcPr>
                <w:p>
                  <w:pPr>
                    <w:pStyle w:val="5"/>
                    <w:ind w:firstLine="0"/>
                    <w:jc w:val="center"/>
                    <w:rPr>
                      <w:rFonts w:ascii="Times New Roman" w:hAnsi="Times New Roman"/>
                      <w:b/>
                      <w:bCs/>
                      <w:szCs w:val="21"/>
                    </w:rPr>
                  </w:pPr>
                  <w:r>
                    <w:rPr>
                      <w:rFonts w:ascii="Times New Roman" w:hAnsi="Times New Roman"/>
                      <w:b/>
                      <w:bCs/>
                      <w:szCs w:val="21"/>
                    </w:rPr>
                    <w:t>排放高度/m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7" w:type="pct"/>
                  <w:vMerge w:val="restart"/>
                  <w:vAlign w:val="center"/>
                </w:tcPr>
                <w:p>
                  <w:pPr>
                    <w:pStyle w:val="5"/>
                    <w:ind w:firstLine="0"/>
                    <w:jc w:val="center"/>
                    <w:rPr>
                      <w:rFonts w:ascii="Times New Roman" w:hAnsi="Times New Roman"/>
                      <w:szCs w:val="21"/>
                    </w:rPr>
                  </w:pPr>
                  <w:r>
                    <w:rPr>
                      <w:rFonts w:ascii="Times New Roman" w:hAnsi="Times New Roman"/>
                      <w:szCs w:val="21"/>
                    </w:rPr>
                    <w:t>定型车间</w:t>
                  </w:r>
                </w:p>
              </w:tc>
              <w:tc>
                <w:tcPr>
                  <w:tcW w:w="457" w:type="pct"/>
                  <w:vMerge w:val="restart"/>
                  <w:vAlign w:val="center"/>
                </w:tcPr>
                <w:p>
                  <w:pPr>
                    <w:pStyle w:val="5"/>
                    <w:ind w:firstLine="0"/>
                    <w:jc w:val="center"/>
                    <w:rPr>
                      <w:rFonts w:ascii="Times New Roman" w:hAnsi="Times New Roman"/>
                      <w:szCs w:val="21"/>
                    </w:rPr>
                  </w:pPr>
                  <w:r>
                    <w:rPr>
                      <w:rFonts w:ascii="Times New Roman" w:hAnsi="Times New Roman"/>
                      <w:szCs w:val="21"/>
                    </w:rPr>
                    <w:t>FQ-1</w:t>
                  </w:r>
                </w:p>
              </w:tc>
              <w:tc>
                <w:tcPr>
                  <w:tcW w:w="627" w:type="pct"/>
                  <w:vMerge w:val="restart"/>
                  <w:vAlign w:val="center"/>
                </w:tcPr>
                <w:p>
                  <w:pPr>
                    <w:pStyle w:val="5"/>
                    <w:ind w:firstLine="0"/>
                    <w:jc w:val="center"/>
                    <w:rPr>
                      <w:rFonts w:ascii="Times New Roman" w:hAnsi="Times New Roman"/>
                      <w:szCs w:val="21"/>
                    </w:rPr>
                  </w:pPr>
                  <w:r>
                    <w:rPr>
                      <w:rFonts w:ascii="Times New Roman" w:hAnsi="Times New Roman"/>
                      <w:szCs w:val="21"/>
                    </w:rPr>
                    <w:t>2021.12.2</w:t>
                  </w:r>
                </w:p>
              </w:tc>
              <w:tc>
                <w:tcPr>
                  <w:tcW w:w="1254" w:type="pct"/>
                  <w:vAlign w:val="center"/>
                </w:tcPr>
                <w:p>
                  <w:pPr>
                    <w:pStyle w:val="5"/>
                    <w:ind w:firstLine="0"/>
                    <w:jc w:val="center"/>
                    <w:rPr>
                      <w:rFonts w:ascii="Times New Roman" w:hAnsi="Times New Roman"/>
                      <w:szCs w:val="21"/>
                    </w:rPr>
                  </w:pPr>
                  <w:r>
                    <w:rPr>
                      <w:rFonts w:ascii="Times New Roman" w:hAnsi="Times New Roman"/>
                      <w:szCs w:val="21"/>
                    </w:rPr>
                    <w:t>非甲烷总烃排放浓度（mg/m</w:t>
                  </w:r>
                  <w:r>
                    <w:rPr>
                      <w:rFonts w:ascii="Times New Roman" w:hAnsi="Times New Roman"/>
                      <w:szCs w:val="21"/>
                      <w:vertAlign w:val="superscript"/>
                    </w:rPr>
                    <w:t>3</w:t>
                  </w:r>
                  <w:r>
                    <w:rPr>
                      <w:rFonts w:ascii="Times New Roman" w:hAnsi="Times New Roman"/>
                      <w:szCs w:val="21"/>
                    </w:rPr>
                    <w:t>）</w:t>
                  </w:r>
                </w:p>
              </w:tc>
              <w:tc>
                <w:tcPr>
                  <w:tcW w:w="843" w:type="pct"/>
                  <w:vAlign w:val="center"/>
                </w:tcPr>
                <w:p>
                  <w:pPr>
                    <w:pStyle w:val="5"/>
                    <w:ind w:firstLine="0"/>
                    <w:jc w:val="center"/>
                    <w:rPr>
                      <w:rFonts w:ascii="Times New Roman" w:hAnsi="Times New Roman"/>
                      <w:szCs w:val="21"/>
                    </w:rPr>
                  </w:pPr>
                  <w:r>
                    <w:rPr>
                      <w:rFonts w:ascii="Times New Roman" w:hAnsi="Times New Roman"/>
                      <w:szCs w:val="21"/>
                    </w:rPr>
                    <w:t>9.45</w:t>
                  </w:r>
                </w:p>
              </w:tc>
              <w:tc>
                <w:tcPr>
                  <w:tcW w:w="635" w:type="pct"/>
                  <w:vAlign w:val="center"/>
                </w:tcPr>
                <w:p>
                  <w:pPr>
                    <w:pStyle w:val="5"/>
                    <w:ind w:firstLine="0"/>
                    <w:jc w:val="center"/>
                    <w:rPr>
                      <w:rFonts w:ascii="Times New Roman" w:hAnsi="Times New Roman"/>
                      <w:szCs w:val="21"/>
                    </w:rPr>
                  </w:pPr>
                  <w:r>
                    <w:rPr>
                      <w:rFonts w:ascii="Times New Roman" w:hAnsi="Times New Roman"/>
                      <w:szCs w:val="21"/>
                    </w:rPr>
                    <w:t>60</w:t>
                  </w:r>
                </w:p>
              </w:tc>
              <w:tc>
                <w:tcPr>
                  <w:tcW w:w="645" w:type="pct"/>
                  <w:vMerge w:val="restart"/>
                  <w:vAlign w:val="center"/>
                </w:tcPr>
                <w:p>
                  <w:pPr>
                    <w:pStyle w:val="5"/>
                    <w:ind w:firstLine="0"/>
                    <w:jc w:val="center"/>
                    <w:rPr>
                      <w:rFonts w:ascii="Times New Roman" w:hAnsi="Times New Roman"/>
                      <w:szCs w:val="21"/>
                    </w:rPr>
                  </w:pPr>
                  <w:r>
                    <w:rPr>
                      <w:rFonts w:ascii="Times New Roman" w:hAnsi="Times New Roman"/>
                      <w:szCs w:val="21"/>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7" w:type="pct"/>
                  <w:vMerge w:val="continue"/>
                  <w:vAlign w:val="center"/>
                </w:tcPr>
                <w:p>
                  <w:pPr>
                    <w:pStyle w:val="5"/>
                    <w:ind w:firstLine="0"/>
                    <w:jc w:val="center"/>
                    <w:rPr>
                      <w:rFonts w:ascii="Times New Roman" w:hAnsi="Times New Roman"/>
                      <w:szCs w:val="21"/>
                    </w:rPr>
                  </w:pPr>
                </w:p>
              </w:tc>
              <w:tc>
                <w:tcPr>
                  <w:tcW w:w="457" w:type="pct"/>
                  <w:vMerge w:val="continue"/>
                  <w:vAlign w:val="center"/>
                </w:tcPr>
                <w:p>
                  <w:pPr>
                    <w:pStyle w:val="5"/>
                    <w:ind w:firstLine="0"/>
                    <w:jc w:val="center"/>
                    <w:rPr>
                      <w:rFonts w:ascii="Times New Roman" w:hAnsi="Times New Roman"/>
                      <w:szCs w:val="21"/>
                    </w:rPr>
                  </w:pPr>
                </w:p>
              </w:tc>
              <w:tc>
                <w:tcPr>
                  <w:tcW w:w="627" w:type="pct"/>
                  <w:vMerge w:val="continue"/>
                  <w:vAlign w:val="center"/>
                </w:tcPr>
                <w:p>
                  <w:pPr>
                    <w:pStyle w:val="5"/>
                    <w:ind w:firstLine="0"/>
                    <w:jc w:val="center"/>
                    <w:rPr>
                      <w:rFonts w:ascii="Times New Roman" w:hAnsi="Times New Roman"/>
                      <w:szCs w:val="21"/>
                    </w:rPr>
                  </w:pPr>
                </w:p>
              </w:tc>
              <w:tc>
                <w:tcPr>
                  <w:tcW w:w="1254" w:type="pct"/>
                  <w:vAlign w:val="center"/>
                </w:tcPr>
                <w:p>
                  <w:pPr>
                    <w:pStyle w:val="5"/>
                    <w:ind w:firstLine="0"/>
                    <w:jc w:val="center"/>
                    <w:rPr>
                      <w:rFonts w:ascii="Times New Roman" w:hAnsi="Times New Roman"/>
                      <w:szCs w:val="21"/>
                    </w:rPr>
                  </w:pPr>
                  <w:r>
                    <w:rPr>
                      <w:rFonts w:ascii="Times New Roman" w:hAnsi="Times New Roman"/>
                      <w:szCs w:val="21"/>
                    </w:rPr>
                    <w:t>非甲烷总烃排放速率（kg/h）</w:t>
                  </w:r>
                </w:p>
              </w:tc>
              <w:tc>
                <w:tcPr>
                  <w:tcW w:w="843" w:type="pct"/>
                  <w:vAlign w:val="center"/>
                </w:tcPr>
                <w:p>
                  <w:pPr>
                    <w:pStyle w:val="5"/>
                    <w:ind w:firstLine="0"/>
                    <w:jc w:val="center"/>
                    <w:rPr>
                      <w:rFonts w:ascii="Times New Roman" w:hAnsi="Times New Roman"/>
                      <w:szCs w:val="21"/>
                    </w:rPr>
                  </w:pPr>
                  <w:r>
                    <w:rPr>
                      <w:rFonts w:ascii="Times New Roman" w:hAnsi="Times New Roman"/>
                      <w:szCs w:val="21"/>
                    </w:rPr>
                    <w:t>0.153</w:t>
                  </w:r>
                </w:p>
              </w:tc>
              <w:tc>
                <w:tcPr>
                  <w:tcW w:w="635" w:type="pct"/>
                  <w:vAlign w:val="center"/>
                </w:tcPr>
                <w:p>
                  <w:pPr>
                    <w:pStyle w:val="5"/>
                    <w:ind w:firstLine="0"/>
                    <w:jc w:val="center"/>
                    <w:rPr>
                      <w:rFonts w:ascii="Times New Roman" w:hAnsi="Times New Roman"/>
                      <w:szCs w:val="21"/>
                    </w:rPr>
                  </w:pPr>
                  <w:r>
                    <w:rPr>
                      <w:rFonts w:ascii="Times New Roman" w:hAnsi="Times New Roman"/>
                      <w:szCs w:val="21"/>
                    </w:rPr>
                    <w:t>3</w:t>
                  </w:r>
                </w:p>
              </w:tc>
              <w:tc>
                <w:tcPr>
                  <w:tcW w:w="645" w:type="pct"/>
                  <w:vMerge w:val="continue"/>
                  <w:vAlign w:val="center"/>
                </w:tcPr>
                <w:p>
                  <w:pPr>
                    <w:pStyle w:val="5"/>
                    <w:ind w:firstLine="0"/>
                    <w:jc w:val="center"/>
                    <w:rPr>
                      <w:rFonts w:ascii="Times New Roman" w:hAnsi="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7" w:type="pct"/>
                  <w:vMerge w:val="restart"/>
                  <w:vAlign w:val="center"/>
                </w:tcPr>
                <w:p>
                  <w:pPr>
                    <w:pStyle w:val="5"/>
                    <w:ind w:firstLine="0"/>
                    <w:jc w:val="center"/>
                    <w:rPr>
                      <w:rFonts w:ascii="Times New Roman" w:hAnsi="Times New Roman"/>
                      <w:szCs w:val="21"/>
                    </w:rPr>
                  </w:pPr>
                  <w:r>
                    <w:rPr>
                      <w:rFonts w:ascii="Times New Roman" w:hAnsi="Times New Roman"/>
                      <w:szCs w:val="21"/>
                    </w:rPr>
                    <w:t>1号涂布车间</w:t>
                  </w:r>
                </w:p>
              </w:tc>
              <w:tc>
                <w:tcPr>
                  <w:tcW w:w="457" w:type="pct"/>
                  <w:vMerge w:val="restart"/>
                  <w:vAlign w:val="center"/>
                </w:tcPr>
                <w:p>
                  <w:pPr>
                    <w:pStyle w:val="5"/>
                    <w:ind w:firstLine="0"/>
                    <w:jc w:val="center"/>
                    <w:rPr>
                      <w:rFonts w:ascii="Times New Roman" w:hAnsi="Times New Roman"/>
                      <w:szCs w:val="21"/>
                    </w:rPr>
                  </w:pPr>
                  <w:r>
                    <w:rPr>
                      <w:rFonts w:ascii="Times New Roman" w:hAnsi="Times New Roman"/>
                      <w:szCs w:val="21"/>
                    </w:rPr>
                    <w:t>FQ-2</w:t>
                  </w:r>
                </w:p>
              </w:tc>
              <w:tc>
                <w:tcPr>
                  <w:tcW w:w="627" w:type="pct"/>
                  <w:vMerge w:val="restart"/>
                  <w:vAlign w:val="center"/>
                </w:tcPr>
                <w:p>
                  <w:pPr>
                    <w:pStyle w:val="5"/>
                    <w:ind w:firstLine="0"/>
                    <w:jc w:val="center"/>
                    <w:rPr>
                      <w:rFonts w:ascii="Times New Roman" w:hAnsi="Times New Roman"/>
                      <w:szCs w:val="21"/>
                    </w:rPr>
                  </w:pPr>
                  <w:r>
                    <w:rPr>
                      <w:rFonts w:ascii="Times New Roman" w:hAnsi="Times New Roman"/>
                      <w:szCs w:val="21"/>
                    </w:rPr>
                    <w:t>2021.12.2</w:t>
                  </w:r>
                </w:p>
              </w:tc>
              <w:tc>
                <w:tcPr>
                  <w:tcW w:w="1254" w:type="pct"/>
                  <w:vAlign w:val="center"/>
                </w:tcPr>
                <w:p>
                  <w:pPr>
                    <w:pStyle w:val="5"/>
                    <w:ind w:firstLine="0"/>
                    <w:jc w:val="center"/>
                    <w:rPr>
                      <w:rFonts w:ascii="Times New Roman" w:hAnsi="Times New Roman"/>
                      <w:szCs w:val="21"/>
                    </w:rPr>
                  </w:pPr>
                  <w:r>
                    <w:rPr>
                      <w:rFonts w:ascii="Times New Roman" w:hAnsi="Times New Roman"/>
                      <w:szCs w:val="21"/>
                    </w:rPr>
                    <w:t>非甲烷总烃排放浓度（mg/m</w:t>
                  </w:r>
                  <w:r>
                    <w:rPr>
                      <w:rFonts w:ascii="Times New Roman" w:hAnsi="Times New Roman"/>
                      <w:szCs w:val="21"/>
                      <w:vertAlign w:val="superscript"/>
                    </w:rPr>
                    <w:t>3</w:t>
                  </w:r>
                  <w:r>
                    <w:rPr>
                      <w:rFonts w:ascii="Times New Roman" w:hAnsi="Times New Roman"/>
                      <w:szCs w:val="21"/>
                    </w:rPr>
                    <w:t>）</w:t>
                  </w:r>
                </w:p>
              </w:tc>
              <w:tc>
                <w:tcPr>
                  <w:tcW w:w="843" w:type="pct"/>
                  <w:vAlign w:val="center"/>
                </w:tcPr>
                <w:p>
                  <w:pPr>
                    <w:pStyle w:val="5"/>
                    <w:ind w:firstLine="0"/>
                    <w:jc w:val="center"/>
                    <w:rPr>
                      <w:rFonts w:ascii="Times New Roman" w:hAnsi="Times New Roman"/>
                      <w:szCs w:val="21"/>
                    </w:rPr>
                  </w:pPr>
                  <w:r>
                    <w:rPr>
                      <w:rFonts w:ascii="Times New Roman" w:hAnsi="Times New Roman"/>
                      <w:szCs w:val="21"/>
                    </w:rPr>
                    <w:t>2.97</w:t>
                  </w:r>
                </w:p>
              </w:tc>
              <w:tc>
                <w:tcPr>
                  <w:tcW w:w="635" w:type="pct"/>
                  <w:vAlign w:val="center"/>
                </w:tcPr>
                <w:p>
                  <w:pPr>
                    <w:pStyle w:val="5"/>
                    <w:ind w:firstLine="0"/>
                    <w:jc w:val="center"/>
                    <w:rPr>
                      <w:rFonts w:ascii="Times New Roman" w:hAnsi="Times New Roman"/>
                      <w:szCs w:val="21"/>
                    </w:rPr>
                  </w:pPr>
                  <w:r>
                    <w:rPr>
                      <w:rFonts w:ascii="Times New Roman" w:hAnsi="Times New Roman"/>
                      <w:szCs w:val="21"/>
                    </w:rPr>
                    <w:t>60</w:t>
                  </w:r>
                </w:p>
              </w:tc>
              <w:tc>
                <w:tcPr>
                  <w:tcW w:w="645" w:type="pct"/>
                  <w:vMerge w:val="restart"/>
                  <w:vAlign w:val="center"/>
                </w:tcPr>
                <w:p>
                  <w:pPr>
                    <w:pStyle w:val="5"/>
                    <w:ind w:firstLine="0"/>
                    <w:jc w:val="center"/>
                    <w:rPr>
                      <w:rFonts w:ascii="Times New Roman" w:hAnsi="Times New Roman"/>
                      <w:szCs w:val="21"/>
                    </w:rPr>
                  </w:pPr>
                  <w:r>
                    <w:rPr>
                      <w:rFonts w:ascii="Times New Roman" w:hAnsi="Times New Roman"/>
                      <w:szCs w:val="21"/>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7" w:type="pct"/>
                  <w:vMerge w:val="continue"/>
                  <w:vAlign w:val="center"/>
                </w:tcPr>
                <w:p>
                  <w:pPr>
                    <w:pStyle w:val="5"/>
                    <w:ind w:firstLine="0"/>
                    <w:jc w:val="center"/>
                    <w:rPr>
                      <w:rFonts w:ascii="Times New Roman" w:hAnsi="Times New Roman"/>
                      <w:szCs w:val="21"/>
                    </w:rPr>
                  </w:pPr>
                </w:p>
              </w:tc>
              <w:tc>
                <w:tcPr>
                  <w:tcW w:w="457" w:type="pct"/>
                  <w:vMerge w:val="continue"/>
                  <w:vAlign w:val="center"/>
                </w:tcPr>
                <w:p>
                  <w:pPr>
                    <w:pStyle w:val="5"/>
                    <w:ind w:firstLine="0"/>
                    <w:jc w:val="center"/>
                    <w:rPr>
                      <w:rFonts w:ascii="Times New Roman" w:hAnsi="Times New Roman"/>
                      <w:szCs w:val="21"/>
                    </w:rPr>
                  </w:pPr>
                </w:p>
              </w:tc>
              <w:tc>
                <w:tcPr>
                  <w:tcW w:w="627" w:type="pct"/>
                  <w:vMerge w:val="continue"/>
                  <w:vAlign w:val="center"/>
                </w:tcPr>
                <w:p>
                  <w:pPr>
                    <w:pStyle w:val="5"/>
                    <w:ind w:firstLine="0"/>
                    <w:jc w:val="center"/>
                    <w:rPr>
                      <w:rFonts w:ascii="Times New Roman" w:hAnsi="Times New Roman"/>
                      <w:szCs w:val="21"/>
                    </w:rPr>
                  </w:pPr>
                </w:p>
              </w:tc>
              <w:tc>
                <w:tcPr>
                  <w:tcW w:w="1254" w:type="pct"/>
                  <w:vAlign w:val="center"/>
                </w:tcPr>
                <w:p>
                  <w:pPr>
                    <w:pStyle w:val="5"/>
                    <w:ind w:firstLine="0"/>
                    <w:jc w:val="center"/>
                    <w:rPr>
                      <w:rFonts w:ascii="Times New Roman" w:hAnsi="Times New Roman"/>
                      <w:szCs w:val="21"/>
                    </w:rPr>
                  </w:pPr>
                  <w:r>
                    <w:rPr>
                      <w:rFonts w:ascii="Times New Roman" w:hAnsi="Times New Roman"/>
                      <w:szCs w:val="21"/>
                    </w:rPr>
                    <w:t>非甲烷总烃排放速率（kg/h）</w:t>
                  </w:r>
                </w:p>
              </w:tc>
              <w:tc>
                <w:tcPr>
                  <w:tcW w:w="843" w:type="pct"/>
                  <w:vAlign w:val="center"/>
                </w:tcPr>
                <w:p>
                  <w:pPr>
                    <w:pStyle w:val="5"/>
                    <w:ind w:firstLine="0"/>
                    <w:jc w:val="center"/>
                    <w:rPr>
                      <w:rFonts w:ascii="Times New Roman" w:hAnsi="Times New Roman"/>
                      <w:szCs w:val="21"/>
                    </w:rPr>
                  </w:pPr>
                  <w:r>
                    <w:rPr>
                      <w:rFonts w:ascii="Times New Roman" w:hAnsi="Times New Roman"/>
                      <w:szCs w:val="21"/>
                    </w:rPr>
                    <w:t>0.119</w:t>
                  </w:r>
                </w:p>
              </w:tc>
              <w:tc>
                <w:tcPr>
                  <w:tcW w:w="635" w:type="pct"/>
                  <w:vAlign w:val="center"/>
                </w:tcPr>
                <w:p>
                  <w:pPr>
                    <w:pStyle w:val="5"/>
                    <w:ind w:firstLine="0"/>
                    <w:jc w:val="center"/>
                    <w:rPr>
                      <w:rFonts w:ascii="Times New Roman" w:hAnsi="Times New Roman"/>
                      <w:szCs w:val="21"/>
                    </w:rPr>
                  </w:pPr>
                  <w:r>
                    <w:rPr>
                      <w:rFonts w:ascii="Times New Roman" w:hAnsi="Times New Roman"/>
                      <w:szCs w:val="21"/>
                    </w:rPr>
                    <w:t>3</w:t>
                  </w:r>
                </w:p>
              </w:tc>
              <w:tc>
                <w:tcPr>
                  <w:tcW w:w="645" w:type="pct"/>
                  <w:vMerge w:val="continue"/>
                  <w:vAlign w:val="center"/>
                </w:tcPr>
                <w:p>
                  <w:pPr>
                    <w:pStyle w:val="5"/>
                    <w:ind w:firstLine="0"/>
                    <w:jc w:val="center"/>
                    <w:rPr>
                      <w:rFonts w:ascii="Times New Roman" w:hAnsi="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7" w:type="pct"/>
                  <w:vMerge w:val="restart"/>
                  <w:vAlign w:val="center"/>
                </w:tcPr>
                <w:p>
                  <w:pPr>
                    <w:pStyle w:val="5"/>
                    <w:ind w:firstLine="0"/>
                    <w:jc w:val="center"/>
                    <w:rPr>
                      <w:rFonts w:ascii="Times New Roman" w:hAnsi="Times New Roman"/>
                      <w:szCs w:val="21"/>
                    </w:rPr>
                  </w:pPr>
                  <w:r>
                    <w:rPr>
                      <w:rFonts w:ascii="Times New Roman" w:hAnsi="Times New Roman"/>
                      <w:szCs w:val="21"/>
                    </w:rPr>
                    <w:t>2号涂布车间</w:t>
                  </w:r>
                </w:p>
              </w:tc>
              <w:tc>
                <w:tcPr>
                  <w:tcW w:w="457" w:type="pct"/>
                  <w:vMerge w:val="restart"/>
                  <w:vAlign w:val="center"/>
                </w:tcPr>
                <w:p>
                  <w:pPr>
                    <w:pStyle w:val="5"/>
                    <w:ind w:firstLine="0"/>
                    <w:jc w:val="center"/>
                    <w:rPr>
                      <w:rFonts w:ascii="Times New Roman" w:hAnsi="Times New Roman"/>
                      <w:szCs w:val="21"/>
                    </w:rPr>
                  </w:pPr>
                  <w:r>
                    <w:rPr>
                      <w:rFonts w:ascii="Times New Roman" w:hAnsi="Times New Roman"/>
                      <w:szCs w:val="21"/>
                    </w:rPr>
                    <w:t>FQ-3</w:t>
                  </w:r>
                </w:p>
              </w:tc>
              <w:tc>
                <w:tcPr>
                  <w:tcW w:w="627" w:type="pct"/>
                  <w:vMerge w:val="restart"/>
                  <w:vAlign w:val="center"/>
                </w:tcPr>
                <w:p>
                  <w:pPr>
                    <w:pStyle w:val="5"/>
                    <w:ind w:firstLine="0"/>
                    <w:jc w:val="center"/>
                    <w:rPr>
                      <w:rFonts w:ascii="Times New Roman" w:hAnsi="Times New Roman"/>
                      <w:szCs w:val="21"/>
                    </w:rPr>
                  </w:pPr>
                  <w:r>
                    <w:rPr>
                      <w:rFonts w:ascii="Times New Roman" w:hAnsi="Times New Roman"/>
                      <w:szCs w:val="21"/>
                    </w:rPr>
                    <w:t>2021.7.12</w:t>
                  </w:r>
                </w:p>
              </w:tc>
              <w:tc>
                <w:tcPr>
                  <w:tcW w:w="1254" w:type="pct"/>
                  <w:vAlign w:val="center"/>
                </w:tcPr>
                <w:p>
                  <w:pPr>
                    <w:pStyle w:val="5"/>
                    <w:ind w:firstLine="0"/>
                    <w:jc w:val="center"/>
                    <w:rPr>
                      <w:rFonts w:ascii="Times New Roman" w:hAnsi="Times New Roman"/>
                      <w:szCs w:val="21"/>
                    </w:rPr>
                  </w:pPr>
                  <w:r>
                    <w:rPr>
                      <w:rFonts w:ascii="Times New Roman" w:hAnsi="Times New Roman"/>
                      <w:szCs w:val="21"/>
                    </w:rPr>
                    <w:t>非甲烷总烃排放浓度（mg/m</w:t>
                  </w:r>
                  <w:r>
                    <w:rPr>
                      <w:rFonts w:ascii="Times New Roman" w:hAnsi="Times New Roman"/>
                      <w:szCs w:val="21"/>
                      <w:vertAlign w:val="superscript"/>
                    </w:rPr>
                    <w:t>3</w:t>
                  </w:r>
                  <w:r>
                    <w:rPr>
                      <w:rFonts w:ascii="Times New Roman" w:hAnsi="Times New Roman"/>
                      <w:szCs w:val="21"/>
                    </w:rPr>
                    <w:t>）</w:t>
                  </w:r>
                </w:p>
              </w:tc>
              <w:tc>
                <w:tcPr>
                  <w:tcW w:w="843" w:type="pct"/>
                  <w:vAlign w:val="center"/>
                </w:tcPr>
                <w:p>
                  <w:pPr>
                    <w:pStyle w:val="5"/>
                    <w:ind w:firstLine="0"/>
                    <w:jc w:val="center"/>
                    <w:rPr>
                      <w:rFonts w:ascii="Times New Roman" w:hAnsi="Times New Roman"/>
                      <w:szCs w:val="21"/>
                    </w:rPr>
                  </w:pPr>
                  <w:r>
                    <w:rPr>
                      <w:rFonts w:ascii="Times New Roman" w:hAnsi="Times New Roman"/>
                      <w:szCs w:val="21"/>
                    </w:rPr>
                    <w:t>8.78</w:t>
                  </w:r>
                </w:p>
              </w:tc>
              <w:tc>
                <w:tcPr>
                  <w:tcW w:w="635" w:type="pct"/>
                  <w:vAlign w:val="center"/>
                </w:tcPr>
                <w:p>
                  <w:pPr>
                    <w:pStyle w:val="5"/>
                    <w:ind w:firstLine="0"/>
                    <w:jc w:val="center"/>
                    <w:rPr>
                      <w:rFonts w:ascii="Times New Roman" w:hAnsi="Times New Roman"/>
                      <w:szCs w:val="21"/>
                    </w:rPr>
                  </w:pPr>
                  <w:r>
                    <w:rPr>
                      <w:rFonts w:ascii="Times New Roman" w:hAnsi="Times New Roman"/>
                      <w:szCs w:val="21"/>
                    </w:rPr>
                    <w:t>60</w:t>
                  </w:r>
                </w:p>
              </w:tc>
              <w:tc>
                <w:tcPr>
                  <w:tcW w:w="645" w:type="pct"/>
                  <w:vMerge w:val="restart"/>
                  <w:vAlign w:val="center"/>
                </w:tcPr>
                <w:p>
                  <w:pPr>
                    <w:pStyle w:val="5"/>
                    <w:ind w:firstLine="0"/>
                    <w:jc w:val="center"/>
                    <w:rPr>
                      <w:rFonts w:ascii="Times New Roman" w:hAnsi="Times New Roman"/>
                      <w:szCs w:val="21"/>
                    </w:rPr>
                  </w:pPr>
                  <w:r>
                    <w:rPr>
                      <w:rFonts w:ascii="Times New Roman" w:hAnsi="Times New Roman"/>
                      <w:szCs w:val="21"/>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7" w:type="pct"/>
                  <w:vMerge w:val="continue"/>
                  <w:vAlign w:val="center"/>
                </w:tcPr>
                <w:p>
                  <w:pPr>
                    <w:pStyle w:val="5"/>
                    <w:ind w:firstLine="0"/>
                    <w:jc w:val="center"/>
                    <w:rPr>
                      <w:rFonts w:ascii="Times New Roman" w:hAnsi="Times New Roman"/>
                      <w:szCs w:val="21"/>
                    </w:rPr>
                  </w:pPr>
                </w:p>
              </w:tc>
              <w:tc>
                <w:tcPr>
                  <w:tcW w:w="457" w:type="pct"/>
                  <w:vMerge w:val="continue"/>
                  <w:vAlign w:val="center"/>
                </w:tcPr>
                <w:p>
                  <w:pPr>
                    <w:pStyle w:val="5"/>
                    <w:ind w:firstLine="0"/>
                    <w:jc w:val="center"/>
                    <w:rPr>
                      <w:rFonts w:ascii="Times New Roman" w:hAnsi="Times New Roman"/>
                      <w:szCs w:val="21"/>
                    </w:rPr>
                  </w:pPr>
                </w:p>
              </w:tc>
              <w:tc>
                <w:tcPr>
                  <w:tcW w:w="627" w:type="pct"/>
                  <w:vMerge w:val="continue"/>
                  <w:vAlign w:val="center"/>
                </w:tcPr>
                <w:p>
                  <w:pPr>
                    <w:pStyle w:val="5"/>
                    <w:ind w:firstLine="0"/>
                    <w:jc w:val="center"/>
                    <w:rPr>
                      <w:rFonts w:ascii="Times New Roman" w:hAnsi="Times New Roman"/>
                      <w:szCs w:val="21"/>
                    </w:rPr>
                  </w:pPr>
                </w:p>
              </w:tc>
              <w:tc>
                <w:tcPr>
                  <w:tcW w:w="1254" w:type="pct"/>
                  <w:vAlign w:val="center"/>
                </w:tcPr>
                <w:p>
                  <w:pPr>
                    <w:pStyle w:val="5"/>
                    <w:ind w:firstLine="0"/>
                    <w:jc w:val="center"/>
                    <w:rPr>
                      <w:rFonts w:ascii="Times New Roman" w:hAnsi="Times New Roman"/>
                      <w:szCs w:val="21"/>
                    </w:rPr>
                  </w:pPr>
                  <w:r>
                    <w:rPr>
                      <w:rFonts w:ascii="Times New Roman" w:hAnsi="Times New Roman"/>
                      <w:szCs w:val="21"/>
                    </w:rPr>
                    <w:t>非甲烷总烃排放速率（kg/h）</w:t>
                  </w:r>
                </w:p>
              </w:tc>
              <w:tc>
                <w:tcPr>
                  <w:tcW w:w="843" w:type="pct"/>
                  <w:vAlign w:val="center"/>
                </w:tcPr>
                <w:p>
                  <w:pPr>
                    <w:pStyle w:val="5"/>
                    <w:ind w:firstLine="0"/>
                    <w:jc w:val="center"/>
                    <w:rPr>
                      <w:rFonts w:ascii="Times New Roman" w:hAnsi="Times New Roman"/>
                      <w:szCs w:val="21"/>
                    </w:rPr>
                  </w:pPr>
                  <w:r>
                    <w:rPr>
                      <w:rFonts w:ascii="Times New Roman" w:hAnsi="Times New Roman"/>
                      <w:szCs w:val="21"/>
                    </w:rPr>
                    <w:t>0.499</w:t>
                  </w:r>
                </w:p>
              </w:tc>
              <w:tc>
                <w:tcPr>
                  <w:tcW w:w="635" w:type="pct"/>
                  <w:vAlign w:val="center"/>
                </w:tcPr>
                <w:p>
                  <w:pPr>
                    <w:pStyle w:val="5"/>
                    <w:ind w:firstLine="0"/>
                    <w:jc w:val="center"/>
                    <w:rPr>
                      <w:rFonts w:ascii="Times New Roman" w:hAnsi="Times New Roman"/>
                      <w:szCs w:val="21"/>
                    </w:rPr>
                  </w:pPr>
                  <w:r>
                    <w:rPr>
                      <w:rFonts w:ascii="Times New Roman" w:hAnsi="Times New Roman"/>
                      <w:szCs w:val="21"/>
                    </w:rPr>
                    <w:t>3</w:t>
                  </w:r>
                </w:p>
              </w:tc>
              <w:tc>
                <w:tcPr>
                  <w:tcW w:w="645" w:type="pct"/>
                  <w:vMerge w:val="continue"/>
                  <w:vAlign w:val="center"/>
                </w:tcPr>
                <w:p>
                  <w:pPr>
                    <w:pStyle w:val="5"/>
                    <w:ind w:firstLine="0"/>
                    <w:jc w:val="center"/>
                    <w:rPr>
                      <w:rFonts w:ascii="Times New Roman" w:hAnsi="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7" w:type="pct"/>
                  <w:vMerge w:val="restart"/>
                  <w:vAlign w:val="center"/>
                </w:tcPr>
                <w:p>
                  <w:pPr>
                    <w:pStyle w:val="5"/>
                    <w:ind w:firstLine="0"/>
                    <w:jc w:val="center"/>
                    <w:rPr>
                      <w:rFonts w:ascii="Times New Roman" w:hAnsi="Times New Roman"/>
                      <w:szCs w:val="21"/>
                    </w:rPr>
                  </w:pPr>
                  <w:r>
                    <w:rPr>
                      <w:rFonts w:ascii="Times New Roman" w:hAnsi="Times New Roman"/>
                      <w:szCs w:val="21"/>
                    </w:rPr>
                    <w:t>涂布车间</w:t>
                  </w:r>
                </w:p>
              </w:tc>
              <w:tc>
                <w:tcPr>
                  <w:tcW w:w="457" w:type="pct"/>
                  <w:vMerge w:val="restart"/>
                  <w:vAlign w:val="center"/>
                </w:tcPr>
                <w:p>
                  <w:pPr>
                    <w:pStyle w:val="5"/>
                    <w:ind w:firstLine="0"/>
                    <w:jc w:val="center"/>
                    <w:rPr>
                      <w:rFonts w:ascii="Times New Roman" w:hAnsi="Times New Roman"/>
                      <w:szCs w:val="21"/>
                    </w:rPr>
                  </w:pPr>
                  <w:r>
                    <w:rPr>
                      <w:rFonts w:ascii="Times New Roman" w:hAnsi="Times New Roman"/>
                      <w:szCs w:val="21"/>
                    </w:rPr>
                    <w:t>FQ-4</w:t>
                  </w:r>
                </w:p>
              </w:tc>
              <w:tc>
                <w:tcPr>
                  <w:tcW w:w="627" w:type="pct"/>
                  <w:vMerge w:val="restart"/>
                  <w:vAlign w:val="center"/>
                </w:tcPr>
                <w:p>
                  <w:pPr>
                    <w:pStyle w:val="5"/>
                    <w:ind w:firstLine="0"/>
                    <w:jc w:val="center"/>
                    <w:rPr>
                      <w:rFonts w:ascii="Times New Roman" w:hAnsi="Times New Roman"/>
                      <w:szCs w:val="21"/>
                    </w:rPr>
                  </w:pPr>
                  <w:r>
                    <w:rPr>
                      <w:rFonts w:ascii="Times New Roman" w:hAnsi="Times New Roman"/>
                      <w:szCs w:val="21"/>
                    </w:rPr>
                    <w:t>2021.12.2</w:t>
                  </w:r>
                </w:p>
              </w:tc>
              <w:tc>
                <w:tcPr>
                  <w:tcW w:w="1254" w:type="pct"/>
                  <w:vAlign w:val="center"/>
                </w:tcPr>
                <w:p>
                  <w:pPr>
                    <w:pStyle w:val="5"/>
                    <w:ind w:firstLine="0"/>
                    <w:jc w:val="center"/>
                    <w:rPr>
                      <w:rFonts w:ascii="Times New Roman" w:hAnsi="Times New Roman"/>
                      <w:szCs w:val="21"/>
                    </w:rPr>
                  </w:pPr>
                  <w:r>
                    <w:rPr>
                      <w:rFonts w:ascii="Times New Roman" w:hAnsi="Times New Roman"/>
                      <w:szCs w:val="21"/>
                    </w:rPr>
                    <w:t>颗粒物排放浓度（mg/m</w:t>
                  </w:r>
                  <w:r>
                    <w:rPr>
                      <w:rFonts w:ascii="Times New Roman" w:hAnsi="Times New Roman"/>
                      <w:szCs w:val="21"/>
                      <w:vertAlign w:val="superscript"/>
                    </w:rPr>
                    <w:t>3</w:t>
                  </w:r>
                  <w:r>
                    <w:rPr>
                      <w:rFonts w:ascii="Times New Roman" w:hAnsi="Times New Roman"/>
                      <w:szCs w:val="21"/>
                    </w:rPr>
                    <w:t>）</w:t>
                  </w:r>
                </w:p>
              </w:tc>
              <w:tc>
                <w:tcPr>
                  <w:tcW w:w="843" w:type="pct"/>
                  <w:vAlign w:val="center"/>
                </w:tcPr>
                <w:p>
                  <w:pPr>
                    <w:pStyle w:val="5"/>
                    <w:ind w:firstLine="0"/>
                    <w:jc w:val="center"/>
                    <w:rPr>
                      <w:rFonts w:ascii="Times New Roman" w:hAnsi="Times New Roman"/>
                      <w:szCs w:val="21"/>
                    </w:rPr>
                  </w:pPr>
                  <w:r>
                    <w:rPr>
                      <w:rFonts w:ascii="Times New Roman" w:hAnsi="Times New Roman"/>
                      <w:szCs w:val="21"/>
                    </w:rPr>
                    <w:t>2.7</w:t>
                  </w:r>
                </w:p>
              </w:tc>
              <w:tc>
                <w:tcPr>
                  <w:tcW w:w="635" w:type="pct"/>
                  <w:vAlign w:val="center"/>
                </w:tcPr>
                <w:p>
                  <w:pPr>
                    <w:pStyle w:val="5"/>
                    <w:ind w:firstLine="0"/>
                    <w:jc w:val="center"/>
                    <w:rPr>
                      <w:rFonts w:ascii="Times New Roman" w:hAnsi="Times New Roman"/>
                      <w:szCs w:val="21"/>
                    </w:rPr>
                  </w:pPr>
                  <w:r>
                    <w:rPr>
                      <w:rFonts w:ascii="Times New Roman" w:hAnsi="Times New Roman"/>
                      <w:szCs w:val="21"/>
                    </w:rPr>
                    <w:t>20</w:t>
                  </w:r>
                </w:p>
              </w:tc>
              <w:tc>
                <w:tcPr>
                  <w:tcW w:w="645" w:type="pct"/>
                  <w:vMerge w:val="restart"/>
                  <w:vAlign w:val="center"/>
                </w:tcPr>
                <w:p>
                  <w:pPr>
                    <w:pStyle w:val="5"/>
                    <w:ind w:firstLine="0"/>
                    <w:jc w:val="center"/>
                    <w:rPr>
                      <w:rFonts w:ascii="Times New Roman" w:hAnsi="Times New Roman"/>
                      <w:szCs w:val="21"/>
                    </w:rPr>
                  </w:pPr>
                  <w:r>
                    <w:rPr>
                      <w:rFonts w:ascii="Times New Roman" w:hAnsi="Times New Roman"/>
                      <w:szCs w:val="21"/>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7" w:type="pct"/>
                  <w:vMerge w:val="continue"/>
                  <w:vAlign w:val="center"/>
                </w:tcPr>
                <w:p>
                  <w:pPr>
                    <w:pStyle w:val="5"/>
                    <w:ind w:firstLine="0"/>
                    <w:jc w:val="center"/>
                    <w:rPr>
                      <w:rFonts w:ascii="Times New Roman" w:hAnsi="Times New Roman"/>
                      <w:szCs w:val="21"/>
                    </w:rPr>
                  </w:pPr>
                </w:p>
              </w:tc>
              <w:tc>
                <w:tcPr>
                  <w:tcW w:w="457" w:type="pct"/>
                  <w:vMerge w:val="continue"/>
                  <w:vAlign w:val="center"/>
                </w:tcPr>
                <w:p>
                  <w:pPr>
                    <w:pStyle w:val="5"/>
                    <w:ind w:firstLine="0"/>
                    <w:jc w:val="center"/>
                    <w:rPr>
                      <w:rFonts w:ascii="Times New Roman" w:hAnsi="Times New Roman"/>
                      <w:szCs w:val="21"/>
                    </w:rPr>
                  </w:pPr>
                </w:p>
              </w:tc>
              <w:tc>
                <w:tcPr>
                  <w:tcW w:w="627" w:type="pct"/>
                  <w:vMerge w:val="continue"/>
                  <w:vAlign w:val="center"/>
                </w:tcPr>
                <w:p>
                  <w:pPr>
                    <w:pStyle w:val="5"/>
                    <w:ind w:firstLine="0"/>
                    <w:jc w:val="center"/>
                    <w:rPr>
                      <w:rFonts w:ascii="Times New Roman" w:hAnsi="Times New Roman"/>
                      <w:szCs w:val="21"/>
                    </w:rPr>
                  </w:pPr>
                </w:p>
              </w:tc>
              <w:tc>
                <w:tcPr>
                  <w:tcW w:w="1254" w:type="pct"/>
                  <w:vAlign w:val="center"/>
                </w:tcPr>
                <w:p>
                  <w:pPr>
                    <w:pStyle w:val="5"/>
                    <w:ind w:firstLine="0"/>
                    <w:jc w:val="center"/>
                    <w:rPr>
                      <w:rFonts w:ascii="Times New Roman" w:hAnsi="Times New Roman"/>
                      <w:szCs w:val="21"/>
                    </w:rPr>
                  </w:pPr>
                  <w:r>
                    <w:rPr>
                      <w:rFonts w:ascii="Times New Roman" w:hAnsi="Times New Roman"/>
                      <w:szCs w:val="21"/>
                    </w:rPr>
                    <w:t>颗粒物排放速率（kg/h）</w:t>
                  </w:r>
                </w:p>
              </w:tc>
              <w:tc>
                <w:tcPr>
                  <w:tcW w:w="843" w:type="pct"/>
                  <w:vAlign w:val="center"/>
                </w:tcPr>
                <w:p>
                  <w:pPr>
                    <w:pStyle w:val="5"/>
                    <w:ind w:firstLine="0"/>
                    <w:jc w:val="center"/>
                    <w:rPr>
                      <w:rFonts w:ascii="Times New Roman" w:hAnsi="Times New Roman"/>
                      <w:szCs w:val="21"/>
                    </w:rPr>
                  </w:pPr>
                  <w:r>
                    <w:rPr>
                      <w:rFonts w:ascii="Times New Roman" w:hAnsi="Times New Roman"/>
                      <w:szCs w:val="21"/>
                    </w:rPr>
                    <w:t>0.0556</w:t>
                  </w:r>
                </w:p>
              </w:tc>
              <w:tc>
                <w:tcPr>
                  <w:tcW w:w="635" w:type="pct"/>
                  <w:vAlign w:val="center"/>
                </w:tcPr>
                <w:p>
                  <w:pPr>
                    <w:pStyle w:val="5"/>
                    <w:ind w:firstLine="0"/>
                    <w:jc w:val="center"/>
                    <w:rPr>
                      <w:rFonts w:ascii="Times New Roman" w:hAnsi="Times New Roman"/>
                      <w:szCs w:val="21"/>
                    </w:rPr>
                  </w:pPr>
                  <w:r>
                    <w:rPr>
                      <w:rFonts w:ascii="Times New Roman" w:hAnsi="Times New Roman"/>
                      <w:szCs w:val="21"/>
                    </w:rPr>
                    <w:t>1</w:t>
                  </w:r>
                </w:p>
              </w:tc>
              <w:tc>
                <w:tcPr>
                  <w:tcW w:w="645" w:type="pct"/>
                  <w:vMerge w:val="continue"/>
                  <w:vAlign w:val="center"/>
                </w:tcPr>
                <w:p>
                  <w:pPr>
                    <w:pStyle w:val="5"/>
                    <w:ind w:firstLine="0"/>
                    <w:jc w:val="center"/>
                    <w:rPr>
                      <w:rFonts w:ascii="Times New Roman" w:hAnsi="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7" w:type="pct"/>
                  <w:vAlign w:val="center"/>
                </w:tcPr>
                <w:p>
                  <w:pPr>
                    <w:pStyle w:val="5"/>
                    <w:ind w:firstLine="0"/>
                    <w:jc w:val="center"/>
                    <w:rPr>
                      <w:rFonts w:ascii="Times New Roman" w:hAnsi="Times New Roman"/>
                      <w:szCs w:val="21"/>
                    </w:rPr>
                  </w:pPr>
                  <w:r>
                    <w:rPr>
                      <w:rFonts w:ascii="Times New Roman" w:hAnsi="Times New Roman"/>
                      <w:szCs w:val="21"/>
                    </w:rPr>
                    <w:t>备注</w:t>
                  </w:r>
                </w:p>
              </w:tc>
              <w:tc>
                <w:tcPr>
                  <w:tcW w:w="4462" w:type="pct"/>
                  <w:gridSpan w:val="6"/>
                  <w:vAlign w:val="center"/>
                </w:tcPr>
                <w:p>
                  <w:pPr>
                    <w:pStyle w:val="5"/>
                    <w:numPr>
                      <w:ilvl w:val="0"/>
                      <w:numId w:val="1"/>
                    </w:numPr>
                    <w:ind w:firstLine="0"/>
                    <w:jc w:val="left"/>
                    <w:rPr>
                      <w:rFonts w:ascii="Times New Roman" w:hAnsi="Times New Roman"/>
                      <w:szCs w:val="21"/>
                    </w:rPr>
                  </w:pPr>
                  <w:r>
                    <w:rPr>
                      <w:rFonts w:ascii="Times New Roman" w:hAnsi="Times New Roman"/>
                      <w:szCs w:val="21"/>
                    </w:rPr>
                    <w:t>数据来源：建设单位提供的废气检测报告：（2021）国泰监测.江（委）字第（12016）；（2021）国泰监测.江（委）字第（07155）；</w:t>
                  </w:r>
                </w:p>
                <w:p>
                  <w:pPr>
                    <w:pStyle w:val="5"/>
                    <w:numPr>
                      <w:ilvl w:val="0"/>
                      <w:numId w:val="1"/>
                    </w:numPr>
                    <w:ind w:firstLine="0"/>
                    <w:jc w:val="left"/>
                    <w:rPr>
                      <w:rFonts w:ascii="Times New Roman" w:hAnsi="Times New Roman"/>
                      <w:szCs w:val="21"/>
                    </w:rPr>
                  </w:pPr>
                  <w:r>
                    <w:rPr>
                      <w:rFonts w:ascii="Times New Roman" w:hAnsi="Times New Roman"/>
                      <w:szCs w:val="21"/>
                    </w:rPr>
                    <w:t>非甲烷总烃和颗粒物有组织排放限值执行《合成树脂工业污染物排放标准》（GB31572-2015）表5标准。</w:t>
                  </w:r>
                </w:p>
              </w:tc>
            </w:tr>
          </w:tbl>
          <w:p>
            <w:pPr>
              <w:pStyle w:val="5"/>
              <w:spacing w:line="360" w:lineRule="auto"/>
              <w:ind w:firstLine="480" w:firstLineChars="200"/>
              <w:rPr>
                <w:rFonts w:ascii="Times New Roman" w:hAnsi="Times New Roman"/>
                <w:sz w:val="24"/>
                <w:szCs w:val="24"/>
              </w:rPr>
            </w:pPr>
            <w:r>
              <w:rPr>
                <w:rFonts w:ascii="Times New Roman" w:hAnsi="Times New Roman"/>
                <w:sz w:val="24"/>
              </w:rPr>
              <w:t>由上表监测数据可知，</w:t>
            </w:r>
            <w:r>
              <w:rPr>
                <w:rFonts w:ascii="Times New Roman" w:hAnsi="Times New Roman"/>
                <w:sz w:val="24"/>
                <w:szCs w:val="24"/>
              </w:rPr>
              <w:t>原有项目非甲烷总烃</w:t>
            </w:r>
            <w:r>
              <w:rPr>
                <w:rFonts w:hint="eastAsia" w:ascii="Times New Roman" w:hAnsi="Times New Roman"/>
                <w:sz w:val="24"/>
                <w:szCs w:val="24"/>
                <w:lang w:val="en-US" w:eastAsia="zh-CN"/>
              </w:rPr>
              <w:t>及</w:t>
            </w:r>
            <w:r>
              <w:rPr>
                <w:rFonts w:ascii="Times New Roman" w:hAnsi="Times New Roman"/>
                <w:sz w:val="24"/>
                <w:szCs w:val="24"/>
              </w:rPr>
              <w:t>颗粒物</w:t>
            </w:r>
            <w:r>
              <w:rPr>
                <w:rFonts w:hint="eastAsia" w:ascii="Times New Roman" w:hAnsi="Times New Roman"/>
                <w:sz w:val="24"/>
                <w:szCs w:val="24"/>
                <w:lang w:val="en-US" w:eastAsia="zh-CN"/>
              </w:rPr>
              <w:t>的均</w:t>
            </w:r>
            <w:r>
              <w:rPr>
                <w:rFonts w:ascii="Times New Roman" w:hAnsi="Times New Roman"/>
                <w:sz w:val="24"/>
                <w:szCs w:val="24"/>
              </w:rPr>
              <w:t>排放浓度符合《合成树脂工业污染物排放标准》（GB31572-2015）表5中大气污染物有组织排放限值。</w:t>
            </w:r>
          </w:p>
          <w:p>
            <w:pPr>
              <w:pStyle w:val="5"/>
              <w:spacing w:line="360" w:lineRule="auto"/>
              <w:ind w:firstLine="480"/>
              <w:rPr>
                <w:rFonts w:ascii="Times New Roman" w:hAnsi="Times New Roman"/>
                <w:sz w:val="24"/>
                <w:highlight w:val="none"/>
              </w:rPr>
            </w:pPr>
            <w:r>
              <w:rPr>
                <w:rFonts w:ascii="Times New Roman" w:hAnsi="Times New Roman"/>
                <w:sz w:val="24"/>
                <w:highlight w:val="none"/>
              </w:rPr>
              <w:t>企业原有项目废气实际排放量见下表。</w:t>
            </w:r>
          </w:p>
          <w:p>
            <w:pPr>
              <w:pStyle w:val="5"/>
              <w:jc w:val="center"/>
              <w:rPr>
                <w:rFonts w:ascii="Times New Roman" w:hAnsi="Times New Roman"/>
                <w:b/>
                <w:sz w:val="24"/>
                <w:szCs w:val="24"/>
                <w:highlight w:val="none"/>
              </w:rPr>
            </w:pPr>
            <w:r>
              <w:rPr>
                <w:rFonts w:ascii="Times New Roman" w:hAnsi="Times New Roman"/>
                <w:b/>
                <w:sz w:val="24"/>
                <w:szCs w:val="24"/>
                <w:highlight w:val="none"/>
              </w:rPr>
              <w:t>表2-14  原有项目有组织废气排放情况汇总表   单位：t/a</w:t>
            </w:r>
          </w:p>
          <w:tbl>
            <w:tblPr>
              <w:tblStyle w:val="21"/>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855"/>
              <w:gridCol w:w="456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90" w:type="pct"/>
                  <w:shd w:val="clear" w:color="auto" w:fill="auto"/>
                  <w:noWrap/>
                  <w:vAlign w:val="center"/>
                </w:tcPr>
                <w:p>
                  <w:pPr>
                    <w:widowControl/>
                    <w:adjustRightInd w:val="0"/>
                    <w:snapToGrid w:val="0"/>
                    <w:jc w:val="center"/>
                    <w:rPr>
                      <w:b/>
                      <w:bCs/>
                      <w:kern w:val="0"/>
                      <w:szCs w:val="21"/>
                      <w:highlight w:val="none"/>
                    </w:rPr>
                  </w:pPr>
                  <w:r>
                    <w:rPr>
                      <w:b/>
                      <w:bCs/>
                      <w:kern w:val="0"/>
                      <w:szCs w:val="21"/>
                      <w:highlight w:val="none"/>
                    </w:rPr>
                    <w:t>污染物</w:t>
                  </w:r>
                </w:p>
              </w:tc>
              <w:tc>
                <w:tcPr>
                  <w:tcW w:w="2709" w:type="pct"/>
                  <w:shd w:val="clear" w:color="auto" w:fill="auto"/>
                  <w:noWrap/>
                  <w:vAlign w:val="center"/>
                </w:tcPr>
                <w:p>
                  <w:pPr>
                    <w:widowControl/>
                    <w:adjustRightInd w:val="0"/>
                    <w:snapToGrid w:val="0"/>
                    <w:jc w:val="center"/>
                    <w:rPr>
                      <w:b/>
                      <w:bCs/>
                      <w:kern w:val="0"/>
                      <w:szCs w:val="21"/>
                      <w:highlight w:val="none"/>
                    </w:rPr>
                  </w:pPr>
                  <w:r>
                    <w:rPr>
                      <w:rFonts w:hint="eastAsia"/>
                      <w:b/>
                      <w:bCs/>
                      <w:kern w:val="0"/>
                      <w:szCs w:val="21"/>
                      <w:highlight w:val="none"/>
                      <w:lang w:val="en-US" w:eastAsia="zh-CN"/>
                    </w:rPr>
                    <w:t>原有项目</w:t>
                  </w:r>
                  <w:r>
                    <w:rPr>
                      <w:b/>
                      <w:bCs/>
                      <w:kern w:val="0"/>
                      <w:szCs w:val="21"/>
                      <w:highlight w:val="none"/>
                    </w:rPr>
                    <w:t>排放量</w:t>
                  </w:r>
                  <w:r>
                    <w:rPr>
                      <w:b/>
                      <w:bCs/>
                      <w:szCs w:val="21"/>
                      <w:highlight w:val="none"/>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90" w:type="pct"/>
                  <w:shd w:val="clear" w:color="auto" w:fill="auto"/>
                  <w:noWrap/>
                  <w:vAlign w:val="center"/>
                </w:tcPr>
                <w:p>
                  <w:pPr>
                    <w:widowControl/>
                    <w:adjustRightInd w:val="0"/>
                    <w:snapToGrid w:val="0"/>
                    <w:jc w:val="center"/>
                    <w:rPr>
                      <w:rFonts w:hint="default" w:eastAsia="宋体"/>
                      <w:kern w:val="0"/>
                      <w:szCs w:val="21"/>
                      <w:highlight w:val="none"/>
                      <w:lang w:val="en-US" w:eastAsia="zh-CN"/>
                    </w:rPr>
                  </w:pPr>
                  <w:r>
                    <w:rPr>
                      <w:rFonts w:hint="eastAsia"/>
                      <w:kern w:val="0"/>
                      <w:szCs w:val="21"/>
                      <w:highlight w:val="none"/>
                      <w:lang w:val="en-US" w:eastAsia="zh-CN"/>
                    </w:rPr>
                    <w:t>VOCs</w:t>
                  </w:r>
                </w:p>
              </w:tc>
              <w:tc>
                <w:tcPr>
                  <w:tcW w:w="2709" w:type="pct"/>
                  <w:shd w:val="clear" w:color="auto" w:fill="auto"/>
                  <w:noWrap/>
                  <w:vAlign w:val="center"/>
                </w:tcPr>
                <w:p>
                  <w:pPr>
                    <w:widowControl/>
                    <w:adjustRightInd w:val="0"/>
                    <w:snapToGrid w:val="0"/>
                    <w:jc w:val="center"/>
                    <w:rPr>
                      <w:szCs w:val="21"/>
                      <w:highlight w:val="none"/>
                    </w:rPr>
                  </w:pPr>
                  <w:r>
                    <w:rPr>
                      <w:szCs w:val="21"/>
                      <w:highlight w:val="none"/>
                    </w:rPr>
                    <w:t>1.8504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90" w:type="pct"/>
                  <w:shd w:val="clear" w:color="auto" w:fill="auto"/>
                  <w:noWrap/>
                  <w:vAlign w:val="center"/>
                </w:tcPr>
                <w:p>
                  <w:pPr>
                    <w:widowControl/>
                    <w:adjustRightInd w:val="0"/>
                    <w:snapToGrid w:val="0"/>
                    <w:jc w:val="center"/>
                    <w:rPr>
                      <w:kern w:val="0"/>
                      <w:szCs w:val="21"/>
                      <w:highlight w:val="none"/>
                    </w:rPr>
                  </w:pPr>
                  <w:r>
                    <w:rPr>
                      <w:kern w:val="0"/>
                      <w:szCs w:val="21"/>
                      <w:highlight w:val="none"/>
                    </w:rPr>
                    <w:t>颗粒物</w:t>
                  </w:r>
                </w:p>
              </w:tc>
              <w:tc>
                <w:tcPr>
                  <w:tcW w:w="2709" w:type="pct"/>
                  <w:shd w:val="clear" w:color="auto" w:fill="auto"/>
                  <w:noWrap/>
                  <w:vAlign w:val="center"/>
                </w:tcPr>
                <w:p>
                  <w:pPr>
                    <w:widowControl/>
                    <w:adjustRightInd w:val="0"/>
                    <w:snapToGrid w:val="0"/>
                    <w:jc w:val="center"/>
                    <w:rPr>
                      <w:rFonts w:hint="eastAsia" w:eastAsia="宋体"/>
                      <w:szCs w:val="21"/>
                      <w:highlight w:val="none"/>
                      <w:lang w:eastAsia="zh-CN"/>
                    </w:rPr>
                  </w:pPr>
                  <w:r>
                    <w:rPr>
                      <w:rFonts w:hint="eastAsia"/>
                      <w:szCs w:val="21"/>
                      <w:highlight w:val="none"/>
                      <w:lang w:eastAsia="zh-CN"/>
                    </w:rPr>
                    <w:t>0.13344</w:t>
                  </w:r>
                </w:p>
              </w:tc>
            </w:tr>
          </w:tbl>
          <w:p>
            <w:pPr>
              <w:spacing w:line="360" w:lineRule="auto"/>
              <w:ind w:firstLine="480" w:firstLineChars="200"/>
              <w:rPr>
                <w:sz w:val="24"/>
              </w:rPr>
            </w:pPr>
            <w:r>
              <w:rPr>
                <w:sz w:val="24"/>
              </w:rPr>
              <w:t>3、噪声</w:t>
            </w:r>
          </w:p>
          <w:p>
            <w:pPr>
              <w:adjustRightInd w:val="0"/>
              <w:snapToGrid w:val="0"/>
              <w:spacing w:line="360" w:lineRule="auto"/>
              <w:ind w:firstLine="480" w:firstLineChars="200"/>
              <w:rPr>
                <w:sz w:val="24"/>
              </w:rPr>
            </w:pPr>
            <w:r>
              <w:rPr>
                <w:sz w:val="24"/>
              </w:rPr>
              <w:t>根据企业提供的(2021)国泰监测江（委）字第（03057）号检测报告，噪声监测结果见下表：</w:t>
            </w:r>
          </w:p>
          <w:p>
            <w:pPr>
              <w:adjustRightInd w:val="0"/>
              <w:snapToGrid w:val="0"/>
              <w:ind w:firstLine="482" w:firstLineChars="200"/>
              <w:jc w:val="center"/>
              <w:rPr>
                <w:b/>
                <w:sz w:val="24"/>
              </w:rPr>
            </w:pPr>
            <w:r>
              <w:rPr>
                <w:b/>
                <w:sz w:val="24"/>
              </w:rPr>
              <w:t>表2-15  噪声监测结果</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49"/>
              <w:gridCol w:w="3148"/>
              <w:gridCol w:w="1547"/>
              <w:gridCol w:w="157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7" w:type="pct"/>
                  <w:vAlign w:val="center"/>
                </w:tcPr>
                <w:p>
                  <w:pPr>
                    <w:jc w:val="center"/>
                    <w:rPr>
                      <w:b/>
                      <w:bCs/>
                      <w:szCs w:val="21"/>
                    </w:rPr>
                  </w:pPr>
                  <w:r>
                    <w:rPr>
                      <w:b/>
                      <w:bCs/>
                      <w:szCs w:val="21"/>
                    </w:rPr>
                    <w:t>日期</w:t>
                  </w:r>
                </w:p>
              </w:tc>
              <w:tc>
                <w:tcPr>
                  <w:tcW w:w="1870" w:type="pct"/>
                  <w:vAlign w:val="center"/>
                </w:tcPr>
                <w:p>
                  <w:pPr>
                    <w:jc w:val="center"/>
                    <w:rPr>
                      <w:b/>
                      <w:bCs/>
                      <w:szCs w:val="21"/>
                    </w:rPr>
                  </w:pPr>
                  <w:r>
                    <w:rPr>
                      <w:b/>
                      <w:bCs/>
                      <w:szCs w:val="21"/>
                    </w:rPr>
                    <w:t>监测点位</w:t>
                  </w:r>
                </w:p>
              </w:tc>
              <w:tc>
                <w:tcPr>
                  <w:tcW w:w="919" w:type="pct"/>
                  <w:vAlign w:val="center"/>
                </w:tcPr>
                <w:p>
                  <w:pPr>
                    <w:jc w:val="center"/>
                    <w:rPr>
                      <w:b/>
                      <w:bCs/>
                      <w:szCs w:val="21"/>
                    </w:rPr>
                  </w:pPr>
                  <w:r>
                    <w:rPr>
                      <w:b/>
                      <w:bCs/>
                      <w:szCs w:val="21"/>
                    </w:rPr>
                    <w:t>昼间dB(A)</w:t>
                  </w:r>
                </w:p>
              </w:tc>
              <w:tc>
                <w:tcPr>
                  <w:tcW w:w="933" w:type="pct"/>
                  <w:vAlign w:val="center"/>
                </w:tcPr>
                <w:p>
                  <w:pPr>
                    <w:jc w:val="center"/>
                    <w:rPr>
                      <w:b/>
                      <w:bCs/>
                      <w:szCs w:val="21"/>
                    </w:rPr>
                  </w:pPr>
                  <w:r>
                    <w:rPr>
                      <w:b/>
                      <w:bCs/>
                      <w:szCs w:val="21"/>
                    </w:rPr>
                    <w:t>夜间dB(A)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7" w:type="pct"/>
                  <w:vMerge w:val="restart"/>
                  <w:vAlign w:val="center"/>
                </w:tcPr>
                <w:p>
                  <w:pPr>
                    <w:jc w:val="center"/>
                    <w:rPr>
                      <w:szCs w:val="21"/>
                    </w:rPr>
                  </w:pPr>
                  <w:r>
                    <w:rPr>
                      <w:szCs w:val="21"/>
                    </w:rPr>
                    <w:t>2021.3.6</w:t>
                  </w:r>
                </w:p>
              </w:tc>
              <w:tc>
                <w:tcPr>
                  <w:tcW w:w="3383" w:type="dxa"/>
                  <w:vAlign w:val="center"/>
                </w:tcPr>
                <w:p>
                  <w:pPr>
                    <w:jc w:val="center"/>
                    <w:rPr>
                      <w:szCs w:val="21"/>
                    </w:rPr>
                  </w:pPr>
                  <w:r>
                    <w:rPr>
                      <w:szCs w:val="21"/>
                    </w:rPr>
                    <w:t>厂界外东1米处</w:t>
                  </w:r>
                </w:p>
              </w:tc>
              <w:tc>
                <w:tcPr>
                  <w:tcW w:w="1663" w:type="dxa"/>
                  <w:vAlign w:val="center"/>
                </w:tcPr>
                <w:p>
                  <w:pPr>
                    <w:jc w:val="center"/>
                  </w:pPr>
                  <w:r>
                    <w:t>52.4</w:t>
                  </w:r>
                </w:p>
              </w:tc>
              <w:tc>
                <w:tcPr>
                  <w:tcW w:w="1688" w:type="dxa"/>
                  <w:vAlign w:val="center"/>
                </w:tcPr>
                <w:p>
                  <w:pPr>
                    <w:jc w:val="center"/>
                  </w:pPr>
                  <w:r>
                    <w:t>46.8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7" w:type="pct"/>
                  <w:vMerge w:val="continue"/>
                  <w:vAlign w:val="center"/>
                </w:tcPr>
                <w:p>
                  <w:pPr>
                    <w:jc w:val="center"/>
                    <w:rPr>
                      <w:szCs w:val="21"/>
                    </w:rPr>
                  </w:pPr>
                </w:p>
              </w:tc>
              <w:tc>
                <w:tcPr>
                  <w:tcW w:w="3383" w:type="dxa"/>
                  <w:vAlign w:val="center"/>
                </w:tcPr>
                <w:p>
                  <w:pPr>
                    <w:jc w:val="center"/>
                    <w:rPr>
                      <w:szCs w:val="21"/>
                    </w:rPr>
                  </w:pPr>
                  <w:r>
                    <w:rPr>
                      <w:szCs w:val="21"/>
                    </w:rPr>
                    <w:t>厂界外南1米处</w:t>
                  </w:r>
                </w:p>
              </w:tc>
              <w:tc>
                <w:tcPr>
                  <w:tcW w:w="1663" w:type="dxa"/>
                  <w:vAlign w:val="center"/>
                </w:tcPr>
                <w:p>
                  <w:pPr>
                    <w:jc w:val="center"/>
                  </w:pPr>
                  <w:r>
                    <w:t>52.4</w:t>
                  </w:r>
                </w:p>
              </w:tc>
              <w:tc>
                <w:tcPr>
                  <w:tcW w:w="1688" w:type="dxa"/>
                  <w:vAlign w:val="center"/>
                </w:tcPr>
                <w:p>
                  <w:pPr>
                    <w:jc w:val="center"/>
                  </w:pPr>
                  <w:r>
                    <w:t>47.3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7" w:type="pct"/>
                  <w:vMerge w:val="continue"/>
                  <w:vAlign w:val="center"/>
                </w:tcPr>
                <w:p>
                  <w:pPr>
                    <w:jc w:val="center"/>
                    <w:rPr>
                      <w:szCs w:val="21"/>
                    </w:rPr>
                  </w:pPr>
                </w:p>
              </w:tc>
              <w:tc>
                <w:tcPr>
                  <w:tcW w:w="3383" w:type="dxa"/>
                  <w:vAlign w:val="center"/>
                </w:tcPr>
                <w:p>
                  <w:pPr>
                    <w:jc w:val="center"/>
                    <w:rPr>
                      <w:szCs w:val="21"/>
                    </w:rPr>
                  </w:pPr>
                  <w:r>
                    <w:rPr>
                      <w:szCs w:val="21"/>
                    </w:rPr>
                    <w:t>厂界外西1米处</w:t>
                  </w:r>
                </w:p>
              </w:tc>
              <w:tc>
                <w:tcPr>
                  <w:tcW w:w="1663" w:type="dxa"/>
                  <w:vAlign w:val="center"/>
                </w:tcPr>
                <w:p>
                  <w:pPr>
                    <w:jc w:val="center"/>
                  </w:pPr>
                  <w:r>
                    <w:t>51.9</w:t>
                  </w:r>
                </w:p>
              </w:tc>
              <w:tc>
                <w:tcPr>
                  <w:tcW w:w="1688" w:type="dxa"/>
                  <w:vAlign w:val="center"/>
                </w:tcPr>
                <w:p>
                  <w:pPr>
                    <w:jc w:val="center"/>
                  </w:pPr>
                  <w:r>
                    <w:t>46.5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7" w:type="pct"/>
                  <w:vMerge w:val="continue"/>
                  <w:vAlign w:val="center"/>
                </w:tcPr>
                <w:p>
                  <w:pPr>
                    <w:jc w:val="center"/>
                    <w:rPr>
                      <w:szCs w:val="21"/>
                    </w:rPr>
                  </w:pPr>
                </w:p>
              </w:tc>
              <w:tc>
                <w:tcPr>
                  <w:tcW w:w="3383" w:type="dxa"/>
                  <w:vAlign w:val="center"/>
                </w:tcPr>
                <w:p>
                  <w:pPr>
                    <w:jc w:val="center"/>
                    <w:rPr>
                      <w:szCs w:val="21"/>
                    </w:rPr>
                  </w:pPr>
                  <w:r>
                    <w:rPr>
                      <w:szCs w:val="21"/>
                    </w:rPr>
                    <w:t>厂界外北1米处</w:t>
                  </w:r>
                </w:p>
              </w:tc>
              <w:tc>
                <w:tcPr>
                  <w:tcW w:w="1663" w:type="dxa"/>
                  <w:vAlign w:val="center"/>
                </w:tcPr>
                <w:p>
                  <w:pPr>
                    <w:jc w:val="center"/>
                  </w:pPr>
                  <w:r>
                    <w:t>52.3</w:t>
                  </w:r>
                </w:p>
              </w:tc>
              <w:tc>
                <w:tcPr>
                  <w:tcW w:w="1688" w:type="dxa"/>
                  <w:vAlign w:val="center"/>
                </w:tcPr>
                <w:p>
                  <w:pPr>
                    <w:jc w:val="center"/>
                  </w:pPr>
                  <w:r>
                    <w:t>47.6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7" w:type="pct"/>
                  <w:vMerge w:val="restart"/>
                  <w:vAlign w:val="center"/>
                </w:tcPr>
                <w:p>
                  <w:pPr>
                    <w:jc w:val="center"/>
                    <w:rPr>
                      <w:szCs w:val="21"/>
                    </w:rPr>
                  </w:pPr>
                  <w:r>
                    <w:rPr>
                      <w:szCs w:val="21"/>
                    </w:rPr>
                    <w:t>2021.3.7</w:t>
                  </w:r>
                </w:p>
              </w:tc>
              <w:tc>
                <w:tcPr>
                  <w:tcW w:w="3383" w:type="dxa"/>
                  <w:tcBorders>
                    <w:top w:val="single" w:color="auto" w:sz="4" w:space="0"/>
                    <w:left w:val="single" w:color="auto" w:sz="4" w:space="0"/>
                    <w:bottom w:val="single" w:color="auto" w:sz="4" w:space="0"/>
                    <w:right w:val="single" w:color="auto" w:sz="4" w:space="0"/>
                  </w:tcBorders>
                  <w:vAlign w:val="center"/>
                </w:tcPr>
                <w:p>
                  <w:pPr>
                    <w:jc w:val="center"/>
                    <w:rPr>
                      <w:b/>
                      <w:bCs/>
                      <w:szCs w:val="21"/>
                    </w:rPr>
                  </w:pPr>
                  <w:r>
                    <w:rPr>
                      <w:szCs w:val="21"/>
                    </w:rPr>
                    <w:t>厂界外东1米处</w:t>
                  </w:r>
                </w:p>
              </w:tc>
              <w:tc>
                <w:tcPr>
                  <w:tcW w:w="1663" w:type="dxa"/>
                  <w:tcBorders>
                    <w:top w:val="single" w:color="auto" w:sz="4" w:space="0"/>
                    <w:left w:val="single" w:color="auto" w:sz="4" w:space="0"/>
                    <w:bottom w:val="single" w:color="auto" w:sz="4" w:space="0"/>
                    <w:right w:val="single" w:color="auto" w:sz="4" w:space="0"/>
                  </w:tcBorders>
                  <w:vAlign w:val="center"/>
                </w:tcPr>
                <w:p>
                  <w:pPr>
                    <w:jc w:val="center"/>
                  </w:pPr>
                  <w:r>
                    <w:t>53.6</w:t>
                  </w:r>
                </w:p>
              </w:tc>
              <w:tc>
                <w:tcPr>
                  <w:tcW w:w="1688" w:type="dxa"/>
                  <w:tcBorders>
                    <w:top w:val="single" w:color="auto" w:sz="4" w:space="0"/>
                    <w:left w:val="single" w:color="auto" w:sz="4" w:space="0"/>
                    <w:bottom w:val="single" w:color="auto" w:sz="4" w:space="0"/>
                  </w:tcBorders>
                  <w:vAlign w:val="center"/>
                </w:tcPr>
                <w:p>
                  <w:pPr>
                    <w:jc w:val="center"/>
                  </w:pPr>
                  <w:r>
                    <w:t>47.4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7" w:type="pct"/>
                  <w:vMerge w:val="continue"/>
                  <w:vAlign w:val="center"/>
                </w:tcPr>
                <w:p>
                  <w:pPr>
                    <w:jc w:val="center"/>
                    <w:rPr>
                      <w:szCs w:val="21"/>
                    </w:rPr>
                  </w:pPr>
                </w:p>
              </w:tc>
              <w:tc>
                <w:tcPr>
                  <w:tcW w:w="3383" w:type="dxa"/>
                  <w:tcBorders>
                    <w:top w:val="single" w:color="auto" w:sz="4" w:space="0"/>
                    <w:left w:val="single" w:color="auto" w:sz="4" w:space="0"/>
                    <w:bottom w:val="single" w:color="auto" w:sz="4" w:space="0"/>
                    <w:right w:val="single" w:color="auto" w:sz="4" w:space="0"/>
                  </w:tcBorders>
                  <w:vAlign w:val="center"/>
                </w:tcPr>
                <w:p>
                  <w:pPr>
                    <w:jc w:val="center"/>
                    <w:rPr>
                      <w:b/>
                      <w:bCs/>
                      <w:szCs w:val="21"/>
                    </w:rPr>
                  </w:pPr>
                  <w:r>
                    <w:rPr>
                      <w:szCs w:val="21"/>
                    </w:rPr>
                    <w:t>厂界外南1米处</w:t>
                  </w:r>
                </w:p>
              </w:tc>
              <w:tc>
                <w:tcPr>
                  <w:tcW w:w="1663" w:type="dxa"/>
                  <w:tcBorders>
                    <w:top w:val="single" w:color="auto" w:sz="4" w:space="0"/>
                    <w:left w:val="single" w:color="auto" w:sz="4" w:space="0"/>
                    <w:bottom w:val="single" w:color="auto" w:sz="4" w:space="0"/>
                    <w:right w:val="single" w:color="auto" w:sz="4" w:space="0"/>
                  </w:tcBorders>
                  <w:vAlign w:val="center"/>
                </w:tcPr>
                <w:p>
                  <w:pPr>
                    <w:jc w:val="center"/>
                  </w:pPr>
                  <w:r>
                    <w:t>53.7</w:t>
                  </w:r>
                </w:p>
              </w:tc>
              <w:tc>
                <w:tcPr>
                  <w:tcW w:w="1688" w:type="dxa"/>
                  <w:tcBorders>
                    <w:top w:val="single" w:color="auto" w:sz="4" w:space="0"/>
                    <w:left w:val="single" w:color="auto" w:sz="4" w:space="0"/>
                    <w:bottom w:val="single" w:color="auto" w:sz="4" w:space="0"/>
                  </w:tcBorders>
                  <w:vAlign w:val="center"/>
                </w:tcPr>
                <w:p>
                  <w:pPr>
                    <w:jc w:val="center"/>
                  </w:pPr>
                  <w:r>
                    <w:t>47.4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7" w:type="pct"/>
                  <w:vMerge w:val="continue"/>
                  <w:vAlign w:val="center"/>
                </w:tcPr>
                <w:p>
                  <w:pPr>
                    <w:jc w:val="center"/>
                    <w:rPr>
                      <w:szCs w:val="21"/>
                    </w:rPr>
                  </w:pPr>
                </w:p>
              </w:tc>
              <w:tc>
                <w:tcPr>
                  <w:tcW w:w="3383" w:type="dxa"/>
                  <w:tcBorders>
                    <w:top w:val="single" w:color="auto" w:sz="4" w:space="0"/>
                    <w:left w:val="single" w:color="auto" w:sz="4" w:space="0"/>
                    <w:bottom w:val="single" w:color="auto" w:sz="4" w:space="0"/>
                    <w:right w:val="single" w:color="auto" w:sz="4" w:space="0"/>
                  </w:tcBorders>
                  <w:vAlign w:val="center"/>
                </w:tcPr>
                <w:p>
                  <w:pPr>
                    <w:jc w:val="center"/>
                    <w:rPr>
                      <w:b/>
                      <w:bCs/>
                      <w:szCs w:val="21"/>
                    </w:rPr>
                  </w:pPr>
                  <w:r>
                    <w:rPr>
                      <w:szCs w:val="21"/>
                    </w:rPr>
                    <w:t>厂界外西1米处</w:t>
                  </w:r>
                </w:p>
              </w:tc>
              <w:tc>
                <w:tcPr>
                  <w:tcW w:w="1663" w:type="dxa"/>
                  <w:tcBorders>
                    <w:top w:val="single" w:color="auto" w:sz="4" w:space="0"/>
                    <w:left w:val="single" w:color="auto" w:sz="4" w:space="0"/>
                    <w:bottom w:val="single" w:color="auto" w:sz="4" w:space="0"/>
                    <w:right w:val="single" w:color="auto" w:sz="4" w:space="0"/>
                  </w:tcBorders>
                  <w:vAlign w:val="center"/>
                </w:tcPr>
                <w:p>
                  <w:pPr>
                    <w:jc w:val="center"/>
                  </w:pPr>
                  <w:r>
                    <w:t>53.9</w:t>
                  </w:r>
                </w:p>
              </w:tc>
              <w:tc>
                <w:tcPr>
                  <w:tcW w:w="1688" w:type="dxa"/>
                  <w:tcBorders>
                    <w:top w:val="single" w:color="auto" w:sz="4" w:space="0"/>
                    <w:left w:val="single" w:color="auto" w:sz="4" w:space="0"/>
                    <w:bottom w:val="single" w:color="auto" w:sz="4" w:space="0"/>
                  </w:tcBorders>
                  <w:vAlign w:val="center"/>
                </w:tcPr>
                <w:p>
                  <w:pPr>
                    <w:jc w:val="center"/>
                  </w:pPr>
                  <w:r>
                    <w:t>46.3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7" w:type="pct"/>
                  <w:vMerge w:val="continue"/>
                  <w:vAlign w:val="center"/>
                </w:tcPr>
                <w:p>
                  <w:pPr>
                    <w:jc w:val="center"/>
                    <w:rPr>
                      <w:szCs w:val="21"/>
                    </w:rPr>
                  </w:pPr>
                </w:p>
              </w:tc>
              <w:tc>
                <w:tcPr>
                  <w:tcW w:w="3383" w:type="dxa"/>
                  <w:tcBorders>
                    <w:top w:val="single" w:color="auto" w:sz="4" w:space="0"/>
                    <w:left w:val="single" w:color="auto" w:sz="4" w:space="0"/>
                    <w:bottom w:val="single" w:color="auto" w:sz="4" w:space="0"/>
                    <w:right w:val="single" w:color="auto" w:sz="4" w:space="0"/>
                  </w:tcBorders>
                  <w:vAlign w:val="center"/>
                </w:tcPr>
                <w:p>
                  <w:pPr>
                    <w:jc w:val="center"/>
                    <w:rPr>
                      <w:b/>
                      <w:bCs/>
                      <w:szCs w:val="21"/>
                    </w:rPr>
                  </w:pPr>
                  <w:r>
                    <w:rPr>
                      <w:szCs w:val="21"/>
                    </w:rPr>
                    <w:t>厂界外北1米处</w:t>
                  </w:r>
                </w:p>
              </w:tc>
              <w:tc>
                <w:tcPr>
                  <w:tcW w:w="1663" w:type="dxa"/>
                  <w:tcBorders>
                    <w:top w:val="single" w:color="auto" w:sz="4" w:space="0"/>
                    <w:left w:val="single" w:color="auto" w:sz="4" w:space="0"/>
                    <w:bottom w:val="single" w:color="auto" w:sz="4" w:space="0"/>
                    <w:right w:val="single" w:color="auto" w:sz="4" w:space="0"/>
                  </w:tcBorders>
                  <w:vAlign w:val="center"/>
                </w:tcPr>
                <w:p>
                  <w:pPr>
                    <w:jc w:val="center"/>
                  </w:pPr>
                  <w:r>
                    <w:t>53.9</w:t>
                  </w:r>
                </w:p>
              </w:tc>
              <w:tc>
                <w:tcPr>
                  <w:tcW w:w="1688" w:type="dxa"/>
                  <w:tcBorders>
                    <w:top w:val="single" w:color="auto" w:sz="4" w:space="0"/>
                    <w:left w:val="single" w:color="auto" w:sz="4" w:space="0"/>
                    <w:bottom w:val="single" w:color="auto" w:sz="4" w:space="0"/>
                  </w:tcBorders>
                  <w:vAlign w:val="center"/>
                </w:tcPr>
                <w:p>
                  <w:pPr>
                    <w:jc w:val="center"/>
                  </w:pPr>
                  <w:r>
                    <w:t>47.1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7" w:type="pct"/>
                  <w:vAlign w:val="center"/>
                </w:tcPr>
                <w:p>
                  <w:pPr>
                    <w:jc w:val="center"/>
                    <w:rPr>
                      <w:szCs w:val="21"/>
                    </w:rPr>
                  </w:pPr>
                  <w:r>
                    <w:rPr>
                      <w:szCs w:val="21"/>
                    </w:rPr>
                    <w:t>--</w:t>
                  </w:r>
                </w:p>
              </w:tc>
              <w:tc>
                <w:tcPr>
                  <w:tcW w:w="3383" w:type="dxa"/>
                  <w:tcBorders>
                    <w:top w:val="single" w:color="auto" w:sz="4" w:space="0"/>
                    <w:left w:val="single" w:color="auto" w:sz="4" w:space="0"/>
                    <w:right w:val="single" w:color="auto" w:sz="4" w:space="0"/>
                  </w:tcBorders>
                  <w:vAlign w:val="center"/>
                </w:tcPr>
                <w:p>
                  <w:pPr>
                    <w:jc w:val="center"/>
                    <w:rPr>
                      <w:szCs w:val="21"/>
                    </w:rPr>
                  </w:pPr>
                  <w:r>
                    <w:rPr>
                      <w:szCs w:val="21"/>
                    </w:rPr>
                    <w:t>标准值</w:t>
                  </w:r>
                </w:p>
              </w:tc>
              <w:tc>
                <w:tcPr>
                  <w:tcW w:w="1663" w:type="dxa"/>
                  <w:tcBorders>
                    <w:top w:val="single" w:color="auto" w:sz="4" w:space="0"/>
                    <w:left w:val="single" w:color="auto" w:sz="4" w:space="0"/>
                    <w:right w:val="single" w:color="auto" w:sz="4" w:space="0"/>
                  </w:tcBorders>
                  <w:vAlign w:val="center"/>
                </w:tcPr>
                <w:p>
                  <w:pPr>
                    <w:ind w:left="420" w:right="20" w:hanging="420" w:hangingChars="200"/>
                    <w:jc w:val="center"/>
                    <w:rPr>
                      <w:szCs w:val="21"/>
                    </w:rPr>
                  </w:pPr>
                  <w:r>
                    <w:rPr>
                      <w:szCs w:val="21"/>
                    </w:rPr>
                    <w:t>60</w:t>
                  </w:r>
                </w:p>
              </w:tc>
              <w:tc>
                <w:tcPr>
                  <w:tcW w:w="1688" w:type="dxa"/>
                  <w:tcBorders>
                    <w:top w:val="single" w:color="auto" w:sz="4" w:space="0"/>
                    <w:left w:val="single" w:color="auto" w:sz="4" w:space="0"/>
                  </w:tcBorders>
                  <w:vAlign w:val="center"/>
                </w:tcPr>
                <w:p>
                  <w:pPr>
                    <w:ind w:left="420" w:right="20" w:hanging="420" w:hangingChars="200"/>
                    <w:jc w:val="center"/>
                    <w:rPr>
                      <w:szCs w:val="21"/>
                    </w:rPr>
                  </w:pPr>
                  <w:r>
                    <w:rPr>
                      <w:szCs w:val="21"/>
                    </w:rPr>
                    <w:t>50</w:t>
                  </w:r>
                </w:p>
              </w:tc>
            </w:tr>
          </w:tbl>
          <w:p>
            <w:pPr>
              <w:adjustRightInd w:val="0"/>
              <w:snapToGrid w:val="0"/>
              <w:spacing w:line="360" w:lineRule="auto"/>
              <w:ind w:firstLine="480" w:firstLineChars="200"/>
              <w:rPr>
                <w:sz w:val="24"/>
              </w:rPr>
            </w:pPr>
            <w:r>
              <w:rPr>
                <w:sz w:val="24"/>
              </w:rPr>
              <w:t>由上表监测数据可知，项目厂界昼夜噪声均达到《工业企业厂界环境噪声排放标准》（GB12348-2008）2类标准。</w:t>
            </w:r>
          </w:p>
          <w:p>
            <w:pPr>
              <w:spacing w:line="360" w:lineRule="auto"/>
              <w:ind w:firstLine="480" w:firstLineChars="200"/>
              <w:rPr>
                <w:sz w:val="24"/>
              </w:rPr>
            </w:pPr>
            <w:r>
              <w:rPr>
                <w:sz w:val="24"/>
              </w:rPr>
              <w:t>4、固废</w:t>
            </w:r>
          </w:p>
          <w:p>
            <w:pPr>
              <w:adjustRightInd w:val="0"/>
              <w:snapToGrid w:val="0"/>
              <w:spacing w:line="360" w:lineRule="auto"/>
              <w:ind w:firstLine="480" w:firstLineChars="200"/>
              <w:rPr>
                <w:sz w:val="24"/>
              </w:rPr>
            </w:pPr>
            <w:r>
              <w:rPr>
                <w:sz w:val="24"/>
              </w:rPr>
              <w:t>根据企业自查评估报告，固废产生情况见下表。</w:t>
            </w:r>
          </w:p>
          <w:p>
            <w:pPr>
              <w:adjustRightInd w:val="0"/>
              <w:snapToGrid w:val="0"/>
              <w:jc w:val="center"/>
              <w:rPr>
                <w:b/>
                <w:bCs/>
                <w:sz w:val="24"/>
              </w:rPr>
            </w:pPr>
            <w:r>
              <w:rPr>
                <w:b/>
                <w:bCs/>
                <w:sz w:val="24"/>
              </w:rPr>
              <w:t>表2-16  原有项目固废一览表（t/a）</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1465"/>
              <w:gridCol w:w="1460"/>
              <w:gridCol w:w="1374"/>
              <w:gridCol w:w="1664"/>
              <w:gridCol w:w="13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28" w:type="pct"/>
                  <w:gridSpan w:val="2"/>
                  <w:vAlign w:val="center"/>
                </w:tcPr>
                <w:p>
                  <w:pPr>
                    <w:adjustRightInd w:val="0"/>
                    <w:snapToGrid w:val="0"/>
                    <w:jc w:val="center"/>
                    <w:rPr>
                      <w:b/>
                      <w:szCs w:val="21"/>
                    </w:rPr>
                  </w:pPr>
                  <w:r>
                    <w:rPr>
                      <w:b/>
                      <w:szCs w:val="21"/>
                    </w:rPr>
                    <w:t>名称</w:t>
                  </w:r>
                </w:p>
              </w:tc>
              <w:tc>
                <w:tcPr>
                  <w:tcW w:w="867" w:type="pct"/>
                  <w:vAlign w:val="center"/>
                </w:tcPr>
                <w:p>
                  <w:pPr>
                    <w:adjustRightInd w:val="0"/>
                    <w:snapToGrid w:val="0"/>
                    <w:jc w:val="center"/>
                    <w:rPr>
                      <w:b/>
                      <w:szCs w:val="21"/>
                    </w:rPr>
                  </w:pPr>
                  <w:r>
                    <w:rPr>
                      <w:rFonts w:hint="eastAsia"/>
                      <w:b/>
                      <w:szCs w:val="21"/>
                      <w:highlight w:val="none"/>
                      <w:lang w:val="en-US" w:eastAsia="zh-CN"/>
                    </w:rPr>
                    <w:t>自查报告</w:t>
                  </w:r>
                  <w:r>
                    <w:rPr>
                      <w:b/>
                      <w:szCs w:val="21"/>
                      <w:highlight w:val="none"/>
                    </w:rPr>
                    <w:t>产生量</w:t>
                  </w:r>
                </w:p>
              </w:tc>
              <w:tc>
                <w:tcPr>
                  <w:tcW w:w="816" w:type="pct"/>
                  <w:vAlign w:val="center"/>
                </w:tcPr>
                <w:p>
                  <w:pPr>
                    <w:adjustRightInd w:val="0"/>
                    <w:snapToGrid w:val="0"/>
                    <w:jc w:val="center"/>
                    <w:rPr>
                      <w:b/>
                      <w:szCs w:val="21"/>
                    </w:rPr>
                  </w:pPr>
                  <w:r>
                    <w:rPr>
                      <w:b/>
                      <w:szCs w:val="21"/>
                    </w:rPr>
                    <w:t>实际产生量</w:t>
                  </w:r>
                </w:p>
              </w:tc>
              <w:tc>
                <w:tcPr>
                  <w:tcW w:w="988" w:type="pct"/>
                  <w:vAlign w:val="center"/>
                </w:tcPr>
                <w:p>
                  <w:pPr>
                    <w:adjustRightInd w:val="0"/>
                    <w:snapToGrid w:val="0"/>
                    <w:jc w:val="center"/>
                    <w:rPr>
                      <w:b/>
                      <w:szCs w:val="21"/>
                    </w:rPr>
                  </w:pPr>
                  <w:r>
                    <w:rPr>
                      <w:b/>
                      <w:szCs w:val="21"/>
                    </w:rPr>
                    <w:t>利用处置方式</w:t>
                  </w:r>
                </w:p>
              </w:tc>
              <w:tc>
                <w:tcPr>
                  <w:tcW w:w="798" w:type="pct"/>
                  <w:vAlign w:val="center"/>
                </w:tcPr>
                <w:p>
                  <w:pPr>
                    <w:adjustRightInd w:val="0"/>
                    <w:snapToGrid w:val="0"/>
                    <w:jc w:val="center"/>
                    <w:rPr>
                      <w:b/>
                      <w:szCs w:val="21"/>
                    </w:rPr>
                  </w:pPr>
                  <w:r>
                    <w:rPr>
                      <w:b/>
                      <w:szCs w:val="21"/>
                    </w:rPr>
                    <w:t>利用处置单位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 w:type="pct"/>
                  <w:vMerge w:val="restart"/>
                  <w:vAlign w:val="center"/>
                </w:tcPr>
                <w:p>
                  <w:pPr>
                    <w:adjustRightInd w:val="0"/>
                    <w:snapToGrid w:val="0"/>
                    <w:jc w:val="center"/>
                    <w:rPr>
                      <w:szCs w:val="21"/>
                    </w:rPr>
                  </w:pPr>
                  <w:r>
                    <w:rPr>
                      <w:szCs w:val="21"/>
                    </w:rPr>
                    <w:t>一般固废</w:t>
                  </w:r>
                </w:p>
              </w:tc>
              <w:tc>
                <w:tcPr>
                  <w:tcW w:w="870" w:type="pct"/>
                  <w:vAlign w:val="center"/>
                </w:tcPr>
                <w:p>
                  <w:pPr>
                    <w:adjustRightInd w:val="0"/>
                    <w:snapToGrid w:val="0"/>
                    <w:jc w:val="center"/>
                    <w:rPr>
                      <w:szCs w:val="21"/>
                    </w:rPr>
                  </w:pPr>
                  <w:r>
                    <w:rPr>
                      <w:szCs w:val="21"/>
                    </w:rPr>
                    <w:t>废包装袋</w:t>
                  </w:r>
                </w:p>
              </w:tc>
              <w:tc>
                <w:tcPr>
                  <w:tcW w:w="867" w:type="pct"/>
                  <w:vAlign w:val="center"/>
                </w:tcPr>
                <w:p>
                  <w:pPr>
                    <w:adjustRightInd w:val="0"/>
                    <w:snapToGrid w:val="0"/>
                    <w:jc w:val="center"/>
                    <w:rPr>
                      <w:szCs w:val="21"/>
                    </w:rPr>
                  </w:pPr>
                  <w:r>
                    <w:rPr>
                      <w:szCs w:val="21"/>
                    </w:rPr>
                    <w:t>4</w:t>
                  </w:r>
                </w:p>
              </w:tc>
              <w:tc>
                <w:tcPr>
                  <w:tcW w:w="816" w:type="pct"/>
                  <w:vAlign w:val="center"/>
                </w:tcPr>
                <w:p>
                  <w:pPr>
                    <w:adjustRightInd w:val="0"/>
                    <w:snapToGrid w:val="0"/>
                    <w:jc w:val="center"/>
                    <w:rPr>
                      <w:szCs w:val="21"/>
                    </w:rPr>
                  </w:pPr>
                  <w:r>
                    <w:rPr>
                      <w:szCs w:val="21"/>
                    </w:rPr>
                    <w:t>4</w:t>
                  </w:r>
                </w:p>
              </w:tc>
              <w:tc>
                <w:tcPr>
                  <w:tcW w:w="988" w:type="pct"/>
                  <w:vMerge w:val="restart"/>
                  <w:vAlign w:val="center"/>
                </w:tcPr>
                <w:p>
                  <w:pPr>
                    <w:adjustRightInd w:val="0"/>
                    <w:snapToGrid w:val="0"/>
                    <w:jc w:val="center"/>
                    <w:rPr>
                      <w:szCs w:val="21"/>
                    </w:rPr>
                  </w:pPr>
                  <w:r>
                    <w:rPr>
                      <w:szCs w:val="21"/>
                    </w:rPr>
                    <w:t>收集后外售</w:t>
                  </w:r>
                </w:p>
              </w:tc>
              <w:tc>
                <w:tcPr>
                  <w:tcW w:w="798" w:type="pct"/>
                  <w:vMerge w:val="restart"/>
                  <w:vAlign w:val="center"/>
                </w:tcPr>
                <w:p>
                  <w:pPr>
                    <w:adjustRightInd w:val="0"/>
                    <w:snapToGrid w:val="0"/>
                    <w:jc w:val="center"/>
                    <w:rPr>
                      <w:szCs w:val="21"/>
                    </w:rPr>
                  </w:pPr>
                  <w:r>
                    <w:rPr>
                      <w:szCs w:val="21"/>
                    </w:rPr>
                    <w:t>相关单位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 w:type="pct"/>
                  <w:vMerge w:val="continue"/>
                  <w:vAlign w:val="center"/>
                </w:tcPr>
                <w:p>
                  <w:pPr>
                    <w:adjustRightInd w:val="0"/>
                    <w:snapToGrid w:val="0"/>
                    <w:jc w:val="center"/>
                    <w:rPr>
                      <w:szCs w:val="21"/>
                    </w:rPr>
                  </w:pPr>
                </w:p>
              </w:tc>
              <w:tc>
                <w:tcPr>
                  <w:tcW w:w="870" w:type="pct"/>
                  <w:vAlign w:val="center"/>
                </w:tcPr>
                <w:p>
                  <w:pPr>
                    <w:adjustRightInd w:val="0"/>
                    <w:snapToGrid w:val="0"/>
                    <w:jc w:val="center"/>
                    <w:rPr>
                      <w:szCs w:val="21"/>
                    </w:rPr>
                  </w:pPr>
                  <w:r>
                    <w:rPr>
                      <w:szCs w:val="21"/>
                    </w:rPr>
                    <w:t>废过滤残渣</w:t>
                  </w:r>
                </w:p>
              </w:tc>
              <w:tc>
                <w:tcPr>
                  <w:tcW w:w="867" w:type="pct"/>
                  <w:vAlign w:val="center"/>
                </w:tcPr>
                <w:p>
                  <w:pPr>
                    <w:adjustRightInd w:val="0"/>
                    <w:snapToGrid w:val="0"/>
                    <w:jc w:val="center"/>
                    <w:rPr>
                      <w:szCs w:val="21"/>
                    </w:rPr>
                  </w:pPr>
                  <w:r>
                    <w:rPr>
                      <w:szCs w:val="21"/>
                    </w:rPr>
                    <w:t>100</w:t>
                  </w:r>
                </w:p>
              </w:tc>
              <w:tc>
                <w:tcPr>
                  <w:tcW w:w="816" w:type="pct"/>
                  <w:vAlign w:val="center"/>
                </w:tcPr>
                <w:p>
                  <w:pPr>
                    <w:adjustRightInd w:val="0"/>
                    <w:snapToGrid w:val="0"/>
                    <w:jc w:val="center"/>
                    <w:rPr>
                      <w:szCs w:val="21"/>
                    </w:rPr>
                  </w:pPr>
                  <w:r>
                    <w:rPr>
                      <w:szCs w:val="21"/>
                    </w:rPr>
                    <w:t>100</w:t>
                  </w:r>
                </w:p>
              </w:tc>
              <w:tc>
                <w:tcPr>
                  <w:tcW w:w="988" w:type="pct"/>
                  <w:vMerge w:val="continue"/>
                  <w:vAlign w:val="center"/>
                </w:tcPr>
                <w:p>
                  <w:pPr>
                    <w:adjustRightInd w:val="0"/>
                    <w:snapToGrid w:val="0"/>
                    <w:jc w:val="center"/>
                    <w:rPr>
                      <w:szCs w:val="21"/>
                    </w:rPr>
                  </w:pPr>
                </w:p>
              </w:tc>
              <w:tc>
                <w:tcPr>
                  <w:tcW w:w="798" w:type="pct"/>
                  <w:vMerge w:val="continue"/>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 w:type="pct"/>
                  <w:vMerge w:val="continue"/>
                  <w:vAlign w:val="center"/>
                </w:tcPr>
                <w:p>
                  <w:pPr>
                    <w:adjustRightInd w:val="0"/>
                    <w:snapToGrid w:val="0"/>
                    <w:jc w:val="center"/>
                    <w:rPr>
                      <w:szCs w:val="21"/>
                    </w:rPr>
                  </w:pPr>
                </w:p>
              </w:tc>
              <w:tc>
                <w:tcPr>
                  <w:tcW w:w="870" w:type="pct"/>
                  <w:vAlign w:val="center"/>
                </w:tcPr>
                <w:p>
                  <w:pPr>
                    <w:adjustRightInd w:val="0"/>
                    <w:snapToGrid w:val="0"/>
                    <w:jc w:val="center"/>
                    <w:rPr>
                      <w:szCs w:val="21"/>
                    </w:rPr>
                  </w:pPr>
                  <w:r>
                    <w:rPr>
                      <w:szCs w:val="21"/>
                    </w:rPr>
                    <w:t>收尘</w:t>
                  </w:r>
                </w:p>
              </w:tc>
              <w:tc>
                <w:tcPr>
                  <w:tcW w:w="867" w:type="pct"/>
                  <w:vAlign w:val="center"/>
                </w:tcPr>
                <w:p>
                  <w:pPr>
                    <w:adjustRightInd w:val="0"/>
                    <w:snapToGrid w:val="0"/>
                    <w:jc w:val="center"/>
                    <w:rPr>
                      <w:szCs w:val="21"/>
                    </w:rPr>
                  </w:pPr>
                  <w:r>
                    <w:rPr>
                      <w:szCs w:val="21"/>
                    </w:rPr>
                    <w:t>12.6112</w:t>
                  </w:r>
                </w:p>
              </w:tc>
              <w:tc>
                <w:tcPr>
                  <w:tcW w:w="816" w:type="pct"/>
                  <w:vAlign w:val="center"/>
                </w:tcPr>
                <w:p>
                  <w:pPr>
                    <w:adjustRightInd w:val="0"/>
                    <w:snapToGrid w:val="0"/>
                    <w:jc w:val="center"/>
                    <w:rPr>
                      <w:szCs w:val="21"/>
                    </w:rPr>
                  </w:pPr>
                  <w:r>
                    <w:rPr>
                      <w:szCs w:val="21"/>
                    </w:rPr>
                    <w:t>12.6112</w:t>
                  </w:r>
                </w:p>
              </w:tc>
              <w:tc>
                <w:tcPr>
                  <w:tcW w:w="988" w:type="pct"/>
                  <w:vMerge w:val="continue"/>
                  <w:vAlign w:val="center"/>
                </w:tcPr>
                <w:p>
                  <w:pPr>
                    <w:adjustRightInd w:val="0"/>
                    <w:snapToGrid w:val="0"/>
                    <w:jc w:val="center"/>
                    <w:rPr>
                      <w:szCs w:val="21"/>
                    </w:rPr>
                  </w:pPr>
                </w:p>
              </w:tc>
              <w:tc>
                <w:tcPr>
                  <w:tcW w:w="798" w:type="pct"/>
                  <w:vMerge w:val="continue"/>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 w:type="pct"/>
                  <w:vMerge w:val="restart"/>
                  <w:vAlign w:val="center"/>
                </w:tcPr>
                <w:p>
                  <w:pPr>
                    <w:adjustRightInd w:val="0"/>
                    <w:snapToGrid w:val="0"/>
                    <w:jc w:val="center"/>
                    <w:rPr>
                      <w:szCs w:val="21"/>
                    </w:rPr>
                  </w:pPr>
                  <w:r>
                    <w:rPr>
                      <w:szCs w:val="21"/>
                    </w:rPr>
                    <w:t>危险废物</w:t>
                  </w:r>
                </w:p>
              </w:tc>
              <w:tc>
                <w:tcPr>
                  <w:tcW w:w="870" w:type="pct"/>
                  <w:vAlign w:val="center"/>
                </w:tcPr>
                <w:p>
                  <w:pPr>
                    <w:adjustRightInd w:val="0"/>
                    <w:snapToGrid w:val="0"/>
                    <w:jc w:val="center"/>
                    <w:rPr>
                      <w:szCs w:val="21"/>
                    </w:rPr>
                  </w:pPr>
                  <w:r>
                    <w:rPr>
                      <w:szCs w:val="21"/>
                    </w:rPr>
                    <w:t>含油抹布、手套</w:t>
                  </w:r>
                </w:p>
              </w:tc>
              <w:tc>
                <w:tcPr>
                  <w:tcW w:w="867" w:type="pct"/>
                  <w:vAlign w:val="center"/>
                </w:tcPr>
                <w:p>
                  <w:pPr>
                    <w:adjustRightInd w:val="0"/>
                    <w:snapToGrid w:val="0"/>
                    <w:jc w:val="center"/>
                    <w:rPr>
                      <w:szCs w:val="21"/>
                    </w:rPr>
                  </w:pPr>
                  <w:r>
                    <w:rPr>
                      <w:szCs w:val="21"/>
                    </w:rPr>
                    <w:t>4</w:t>
                  </w:r>
                </w:p>
              </w:tc>
              <w:tc>
                <w:tcPr>
                  <w:tcW w:w="816" w:type="pct"/>
                  <w:vAlign w:val="center"/>
                </w:tcPr>
                <w:p>
                  <w:pPr>
                    <w:adjustRightInd w:val="0"/>
                    <w:snapToGrid w:val="0"/>
                    <w:jc w:val="center"/>
                    <w:rPr>
                      <w:szCs w:val="21"/>
                    </w:rPr>
                  </w:pPr>
                  <w:r>
                    <w:rPr>
                      <w:szCs w:val="21"/>
                    </w:rPr>
                    <w:t>4</w:t>
                  </w:r>
                </w:p>
              </w:tc>
              <w:tc>
                <w:tcPr>
                  <w:tcW w:w="988" w:type="pct"/>
                  <w:vAlign w:val="center"/>
                </w:tcPr>
                <w:p>
                  <w:pPr>
                    <w:adjustRightInd w:val="0"/>
                    <w:snapToGrid w:val="0"/>
                    <w:jc w:val="center"/>
                    <w:rPr>
                      <w:szCs w:val="21"/>
                    </w:rPr>
                  </w:pPr>
                  <w:r>
                    <w:rPr>
                      <w:szCs w:val="21"/>
                    </w:rPr>
                    <w:t>混入生活垃圾，由环卫清运</w:t>
                  </w:r>
                </w:p>
              </w:tc>
              <w:tc>
                <w:tcPr>
                  <w:tcW w:w="798" w:type="pct"/>
                  <w:vAlign w:val="center"/>
                </w:tcPr>
                <w:p>
                  <w:pPr>
                    <w:adjustRightInd w:val="0"/>
                    <w:snapToGrid w:val="0"/>
                    <w:jc w:val="center"/>
                    <w:rPr>
                      <w:szCs w:val="21"/>
                    </w:rPr>
                  </w:pPr>
                  <w:r>
                    <w:rPr>
                      <w:szCs w:val="21"/>
                    </w:rPr>
                    <w:t>环卫部门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 w:type="pct"/>
                  <w:vMerge w:val="continue"/>
                  <w:vAlign w:val="center"/>
                </w:tcPr>
                <w:p>
                  <w:pPr>
                    <w:adjustRightInd w:val="0"/>
                    <w:snapToGrid w:val="0"/>
                    <w:jc w:val="center"/>
                    <w:rPr>
                      <w:szCs w:val="21"/>
                    </w:rPr>
                  </w:pPr>
                </w:p>
              </w:tc>
              <w:tc>
                <w:tcPr>
                  <w:tcW w:w="870" w:type="pct"/>
                  <w:vAlign w:val="center"/>
                </w:tcPr>
                <w:p>
                  <w:pPr>
                    <w:adjustRightInd w:val="0"/>
                    <w:snapToGrid w:val="0"/>
                    <w:jc w:val="center"/>
                    <w:rPr>
                      <w:szCs w:val="21"/>
                    </w:rPr>
                  </w:pPr>
                  <w:r>
                    <w:rPr>
                      <w:szCs w:val="21"/>
                    </w:rPr>
                    <w:t>废活性炭</w:t>
                  </w:r>
                </w:p>
              </w:tc>
              <w:tc>
                <w:tcPr>
                  <w:tcW w:w="867" w:type="pct"/>
                  <w:vAlign w:val="center"/>
                </w:tcPr>
                <w:p>
                  <w:pPr>
                    <w:adjustRightInd w:val="0"/>
                    <w:snapToGrid w:val="0"/>
                    <w:jc w:val="center"/>
                    <w:rPr>
                      <w:szCs w:val="21"/>
                    </w:rPr>
                  </w:pPr>
                  <w:r>
                    <w:rPr>
                      <w:szCs w:val="21"/>
                    </w:rPr>
                    <w:t>31.6</w:t>
                  </w:r>
                </w:p>
              </w:tc>
              <w:tc>
                <w:tcPr>
                  <w:tcW w:w="816" w:type="pct"/>
                  <w:vAlign w:val="center"/>
                </w:tcPr>
                <w:p>
                  <w:pPr>
                    <w:adjustRightInd w:val="0"/>
                    <w:snapToGrid w:val="0"/>
                    <w:jc w:val="center"/>
                    <w:rPr>
                      <w:szCs w:val="21"/>
                    </w:rPr>
                  </w:pPr>
                  <w:r>
                    <w:rPr>
                      <w:szCs w:val="21"/>
                    </w:rPr>
                    <w:t>31.6</w:t>
                  </w:r>
                </w:p>
              </w:tc>
              <w:tc>
                <w:tcPr>
                  <w:tcW w:w="988" w:type="pct"/>
                  <w:vAlign w:val="center"/>
                </w:tcPr>
                <w:p>
                  <w:pPr>
                    <w:adjustRightInd w:val="0"/>
                    <w:snapToGrid w:val="0"/>
                    <w:jc w:val="center"/>
                    <w:rPr>
                      <w:szCs w:val="21"/>
                    </w:rPr>
                  </w:pPr>
                  <w:r>
                    <w:rPr>
                      <w:szCs w:val="21"/>
                    </w:rPr>
                    <w:t>委托有资质单位处置</w:t>
                  </w:r>
                </w:p>
              </w:tc>
              <w:tc>
                <w:tcPr>
                  <w:tcW w:w="798" w:type="pct"/>
                  <w:vAlign w:val="center"/>
                </w:tcPr>
                <w:p>
                  <w:pPr>
                    <w:adjustRightInd w:val="0"/>
                    <w:snapToGrid w:val="0"/>
                    <w:jc w:val="center"/>
                    <w:rPr>
                      <w:szCs w:val="21"/>
                    </w:rPr>
                  </w:pPr>
                  <w:r>
                    <w:rPr>
                      <w:szCs w:val="21"/>
                    </w:rPr>
                    <w:t>有资质单位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28" w:type="pct"/>
                  <w:gridSpan w:val="2"/>
                  <w:vAlign w:val="center"/>
                </w:tcPr>
                <w:p>
                  <w:pPr>
                    <w:adjustRightInd w:val="0"/>
                    <w:snapToGrid w:val="0"/>
                    <w:jc w:val="center"/>
                    <w:rPr>
                      <w:szCs w:val="21"/>
                    </w:rPr>
                  </w:pPr>
                  <w:r>
                    <w:rPr>
                      <w:szCs w:val="21"/>
                    </w:rPr>
                    <w:t>生活垃圾</w:t>
                  </w:r>
                </w:p>
              </w:tc>
              <w:tc>
                <w:tcPr>
                  <w:tcW w:w="867" w:type="pct"/>
                  <w:vAlign w:val="center"/>
                </w:tcPr>
                <w:p>
                  <w:pPr>
                    <w:adjustRightInd w:val="0"/>
                    <w:snapToGrid w:val="0"/>
                    <w:jc w:val="center"/>
                    <w:rPr>
                      <w:szCs w:val="21"/>
                    </w:rPr>
                  </w:pPr>
                  <w:r>
                    <w:rPr>
                      <w:szCs w:val="21"/>
                    </w:rPr>
                    <w:t>115</w:t>
                  </w:r>
                </w:p>
              </w:tc>
              <w:tc>
                <w:tcPr>
                  <w:tcW w:w="816" w:type="pct"/>
                  <w:vAlign w:val="center"/>
                </w:tcPr>
                <w:p>
                  <w:pPr>
                    <w:adjustRightInd w:val="0"/>
                    <w:snapToGrid w:val="0"/>
                    <w:jc w:val="center"/>
                    <w:rPr>
                      <w:szCs w:val="21"/>
                    </w:rPr>
                  </w:pPr>
                  <w:r>
                    <w:rPr>
                      <w:szCs w:val="21"/>
                    </w:rPr>
                    <w:t>115</w:t>
                  </w:r>
                </w:p>
              </w:tc>
              <w:tc>
                <w:tcPr>
                  <w:tcW w:w="988" w:type="pct"/>
                  <w:vAlign w:val="center"/>
                </w:tcPr>
                <w:p>
                  <w:pPr>
                    <w:adjustRightInd w:val="0"/>
                    <w:snapToGrid w:val="0"/>
                    <w:jc w:val="center"/>
                    <w:rPr>
                      <w:szCs w:val="21"/>
                    </w:rPr>
                  </w:pPr>
                  <w:r>
                    <w:rPr>
                      <w:szCs w:val="21"/>
                    </w:rPr>
                    <w:t>环卫处置</w:t>
                  </w:r>
                </w:p>
              </w:tc>
              <w:tc>
                <w:tcPr>
                  <w:tcW w:w="798" w:type="pct"/>
                  <w:vAlign w:val="center"/>
                </w:tcPr>
                <w:p>
                  <w:pPr>
                    <w:adjustRightInd w:val="0"/>
                    <w:snapToGrid w:val="0"/>
                    <w:jc w:val="center"/>
                    <w:rPr>
                      <w:szCs w:val="21"/>
                    </w:rPr>
                  </w:pPr>
                  <w:r>
                    <w:rPr>
                      <w:szCs w:val="21"/>
                    </w:rPr>
                    <w:t>环卫部门</w:t>
                  </w:r>
                </w:p>
              </w:tc>
            </w:tr>
          </w:tbl>
          <w:p>
            <w:pPr>
              <w:spacing w:line="360" w:lineRule="auto"/>
              <w:ind w:firstLine="480" w:firstLineChars="200"/>
              <w:rPr>
                <w:sz w:val="24"/>
              </w:rPr>
            </w:pPr>
            <w:r>
              <w:rPr>
                <w:sz w:val="24"/>
              </w:rPr>
              <w:t>目前企业建设有一个危废仓库，危废仓库满足防雨、防风、防晒、放流散、防渗漏、防腐蚀的要求，墙面设置1.2m高防腐蚀涂层，内部设置环氧地坪、摄像头及照明灯，地面四周设置导流槽及渗漏液收集池，大小为30m</w:t>
            </w:r>
            <w:r>
              <w:rPr>
                <w:sz w:val="24"/>
                <w:vertAlign w:val="superscript"/>
              </w:rPr>
              <w:t>2</w:t>
            </w:r>
            <w:r>
              <w:rPr>
                <w:sz w:val="24"/>
              </w:rPr>
              <w:t>，能够满足原有项目危废废物存储。</w:t>
            </w:r>
          </w:p>
          <w:p>
            <w:pPr>
              <w:adjustRightInd w:val="0"/>
              <w:snapToGrid w:val="0"/>
              <w:spacing w:line="360" w:lineRule="auto"/>
              <w:ind w:firstLine="480" w:firstLineChars="200"/>
              <w:rPr>
                <w:color w:val="auto"/>
                <w:sz w:val="24"/>
                <w:highlight w:val="none"/>
              </w:rPr>
            </w:pPr>
            <w:r>
              <w:rPr>
                <w:sz w:val="24"/>
              </w:rPr>
              <w:t>原有项目固体废弃</w:t>
            </w:r>
            <w:r>
              <w:rPr>
                <w:color w:val="auto"/>
                <w:sz w:val="24"/>
                <w:highlight w:val="none"/>
              </w:rPr>
              <w:t>物100%处置，零排放。</w:t>
            </w:r>
          </w:p>
          <w:p>
            <w:pPr>
              <w:adjustRightInd w:val="0"/>
              <w:snapToGrid w:val="0"/>
              <w:spacing w:line="360" w:lineRule="auto"/>
              <w:ind w:firstLine="480" w:firstLineChars="200"/>
              <w:rPr>
                <w:color w:val="auto"/>
                <w:highlight w:val="none"/>
              </w:rPr>
            </w:pPr>
            <w:r>
              <w:rPr>
                <w:color w:val="auto"/>
                <w:sz w:val="24"/>
                <w:highlight w:val="none"/>
              </w:rPr>
              <w:t>5、</w:t>
            </w:r>
            <w:r>
              <w:rPr>
                <w:rFonts w:hint="eastAsia"/>
                <w:color w:val="auto"/>
                <w:sz w:val="24"/>
                <w:highlight w:val="none"/>
              </w:rPr>
              <w:t>原有项目污染物汇总</w:t>
            </w:r>
          </w:p>
          <w:p>
            <w:pPr>
              <w:adjustRightInd w:val="0"/>
              <w:snapToGrid w:val="0"/>
              <w:spacing w:line="360" w:lineRule="auto"/>
              <w:ind w:firstLine="480" w:firstLineChars="200"/>
              <w:rPr>
                <w:b w:val="0"/>
                <w:bCs w:val="0"/>
                <w:color w:val="auto"/>
                <w:sz w:val="24"/>
                <w:highlight w:val="none"/>
              </w:rPr>
            </w:pPr>
            <w:r>
              <w:rPr>
                <w:b w:val="0"/>
                <w:bCs w:val="0"/>
                <w:color w:val="auto"/>
                <w:sz w:val="24"/>
                <w:highlight w:val="none"/>
              </w:rPr>
              <w:t>原有项目废气、废水和固废排放情况见下表。</w:t>
            </w:r>
          </w:p>
          <w:p>
            <w:pPr>
              <w:adjustRightInd w:val="0"/>
              <w:snapToGrid w:val="0"/>
              <w:jc w:val="center"/>
              <w:rPr>
                <w:b/>
                <w:bCs/>
                <w:sz w:val="24"/>
              </w:rPr>
            </w:pPr>
            <w:r>
              <w:rPr>
                <w:b/>
                <w:bCs/>
                <w:sz w:val="24"/>
              </w:rPr>
              <w:t>表2-17 原有项目污染物排放情况一览表（t/a）</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15"/>
              <w:gridCol w:w="3818"/>
              <w:gridCol w:w="23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5" w:type="pct"/>
                  <w:vAlign w:val="center"/>
                </w:tcPr>
                <w:p>
                  <w:pPr>
                    <w:adjustRightInd w:val="0"/>
                    <w:snapToGrid w:val="0"/>
                    <w:jc w:val="center"/>
                    <w:rPr>
                      <w:b/>
                      <w:szCs w:val="21"/>
                    </w:rPr>
                  </w:pPr>
                  <w:r>
                    <w:rPr>
                      <w:b/>
                      <w:szCs w:val="21"/>
                    </w:rPr>
                    <w:t>种类</w:t>
                  </w:r>
                </w:p>
              </w:tc>
              <w:tc>
                <w:tcPr>
                  <w:tcW w:w="2267" w:type="pct"/>
                  <w:vAlign w:val="center"/>
                </w:tcPr>
                <w:p>
                  <w:pPr>
                    <w:adjustRightInd w:val="0"/>
                    <w:snapToGrid w:val="0"/>
                    <w:jc w:val="center"/>
                    <w:rPr>
                      <w:b/>
                      <w:szCs w:val="21"/>
                    </w:rPr>
                  </w:pPr>
                  <w:r>
                    <w:rPr>
                      <w:b/>
                      <w:szCs w:val="21"/>
                    </w:rPr>
                    <w:t>污染物名称</w:t>
                  </w:r>
                </w:p>
              </w:tc>
              <w:tc>
                <w:tcPr>
                  <w:tcW w:w="1416" w:type="pct"/>
                  <w:vAlign w:val="center"/>
                </w:tcPr>
                <w:p>
                  <w:pPr>
                    <w:widowControl/>
                    <w:jc w:val="center"/>
                    <w:rPr>
                      <w:b/>
                      <w:szCs w:val="21"/>
                    </w:rPr>
                  </w:pPr>
                  <w:r>
                    <w:rPr>
                      <w:b/>
                      <w:szCs w:val="21"/>
                    </w:rPr>
                    <w:t>实际排放量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5" w:type="pct"/>
                  <w:vMerge w:val="restart"/>
                  <w:vAlign w:val="center"/>
                </w:tcPr>
                <w:p>
                  <w:pPr>
                    <w:adjustRightInd w:val="0"/>
                    <w:snapToGrid w:val="0"/>
                    <w:jc w:val="center"/>
                    <w:rPr>
                      <w:szCs w:val="21"/>
                    </w:rPr>
                  </w:pPr>
                  <w:r>
                    <w:rPr>
                      <w:szCs w:val="21"/>
                    </w:rPr>
                    <w:t>废水</w:t>
                  </w:r>
                </w:p>
              </w:tc>
              <w:tc>
                <w:tcPr>
                  <w:tcW w:w="2267" w:type="pct"/>
                  <w:vAlign w:val="center"/>
                </w:tcPr>
                <w:p>
                  <w:pPr>
                    <w:adjustRightInd w:val="0"/>
                    <w:snapToGrid w:val="0"/>
                    <w:jc w:val="center"/>
                    <w:rPr>
                      <w:szCs w:val="21"/>
                    </w:rPr>
                  </w:pPr>
                  <w:r>
                    <w:rPr>
                      <w:szCs w:val="21"/>
                    </w:rPr>
                    <w:t>水量</w:t>
                  </w:r>
                </w:p>
              </w:tc>
              <w:tc>
                <w:tcPr>
                  <w:tcW w:w="1416" w:type="pct"/>
                  <w:vAlign w:val="center"/>
                </w:tcPr>
                <w:p>
                  <w:pPr>
                    <w:adjustRightInd w:val="0"/>
                    <w:snapToGrid w:val="0"/>
                    <w:jc w:val="center"/>
                    <w:rPr>
                      <w:szCs w:val="21"/>
                    </w:rPr>
                  </w:pPr>
                  <w:r>
                    <w:rPr>
                      <w:szCs w:val="21"/>
                    </w:rPr>
                    <w:t>8400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5" w:type="pct"/>
                  <w:vMerge w:val="continue"/>
                  <w:vAlign w:val="center"/>
                </w:tcPr>
                <w:p>
                  <w:pPr>
                    <w:adjustRightInd w:val="0"/>
                    <w:snapToGrid w:val="0"/>
                    <w:jc w:val="center"/>
                    <w:rPr>
                      <w:szCs w:val="21"/>
                    </w:rPr>
                  </w:pPr>
                </w:p>
              </w:tc>
              <w:tc>
                <w:tcPr>
                  <w:tcW w:w="2267" w:type="pct"/>
                  <w:vAlign w:val="center"/>
                </w:tcPr>
                <w:p>
                  <w:pPr>
                    <w:adjustRightInd w:val="0"/>
                    <w:snapToGrid w:val="0"/>
                    <w:jc w:val="center"/>
                    <w:rPr>
                      <w:szCs w:val="21"/>
                    </w:rPr>
                  </w:pPr>
                  <w:r>
                    <w:rPr>
                      <w:szCs w:val="21"/>
                    </w:rPr>
                    <w:t>COD</w:t>
                  </w:r>
                </w:p>
              </w:tc>
              <w:tc>
                <w:tcPr>
                  <w:tcW w:w="2385" w:type="dxa"/>
                  <w:vAlign w:val="center"/>
                </w:tcPr>
                <w:p>
                  <w:pPr>
                    <w:keepNext w:val="0"/>
                    <w:keepLines w:val="0"/>
                    <w:widowControl/>
                    <w:suppressLineNumbers w:val="0"/>
                    <w:jc w:val="center"/>
                    <w:textAlignment w:val="center"/>
                    <w:rPr>
                      <w:rFonts w:hint="default" w:ascii="Times New Roman" w:eastAsia="宋体"/>
                      <w:snapToGrid w:val="0"/>
                      <w:color w:val="000000"/>
                      <w:kern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5" w:type="pct"/>
                  <w:vMerge w:val="continue"/>
                  <w:vAlign w:val="center"/>
                </w:tcPr>
                <w:p>
                  <w:pPr>
                    <w:adjustRightInd w:val="0"/>
                    <w:snapToGrid w:val="0"/>
                    <w:jc w:val="center"/>
                    <w:rPr>
                      <w:szCs w:val="21"/>
                    </w:rPr>
                  </w:pPr>
                </w:p>
              </w:tc>
              <w:tc>
                <w:tcPr>
                  <w:tcW w:w="2267" w:type="pct"/>
                  <w:vAlign w:val="center"/>
                </w:tcPr>
                <w:p>
                  <w:pPr>
                    <w:adjustRightInd w:val="0"/>
                    <w:snapToGrid w:val="0"/>
                    <w:jc w:val="center"/>
                    <w:rPr>
                      <w:szCs w:val="21"/>
                    </w:rPr>
                  </w:pPr>
                  <w:r>
                    <w:rPr>
                      <w:szCs w:val="21"/>
                    </w:rPr>
                    <w:t>SS</w:t>
                  </w:r>
                </w:p>
              </w:tc>
              <w:tc>
                <w:tcPr>
                  <w:tcW w:w="2385" w:type="dxa"/>
                  <w:vAlign w:val="center"/>
                </w:tcPr>
                <w:p>
                  <w:pPr>
                    <w:keepNext w:val="0"/>
                    <w:keepLines w:val="0"/>
                    <w:widowControl/>
                    <w:suppressLineNumbers w:val="0"/>
                    <w:jc w:val="center"/>
                    <w:textAlignment w:val="center"/>
                    <w:rPr>
                      <w:rFonts w:hint="default" w:ascii="Times New Roman" w:eastAsia="宋体"/>
                      <w:snapToGrid w:val="0"/>
                      <w:color w:val="000000"/>
                      <w:kern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5" w:type="pct"/>
                  <w:vMerge w:val="continue"/>
                  <w:vAlign w:val="center"/>
                </w:tcPr>
                <w:p>
                  <w:pPr>
                    <w:adjustRightInd w:val="0"/>
                    <w:snapToGrid w:val="0"/>
                    <w:jc w:val="center"/>
                    <w:rPr>
                      <w:szCs w:val="21"/>
                    </w:rPr>
                  </w:pPr>
                </w:p>
              </w:tc>
              <w:tc>
                <w:tcPr>
                  <w:tcW w:w="2267" w:type="pct"/>
                  <w:vAlign w:val="center"/>
                </w:tcPr>
                <w:p>
                  <w:pPr>
                    <w:adjustRightInd w:val="0"/>
                    <w:snapToGrid w:val="0"/>
                    <w:jc w:val="center"/>
                    <w:rPr>
                      <w:rFonts w:hint="eastAsia" w:eastAsia="宋体"/>
                      <w:szCs w:val="21"/>
                      <w:lang w:val="en-US" w:eastAsia="zh-CN"/>
                    </w:rPr>
                  </w:pPr>
                  <w:r>
                    <w:rPr>
                      <w:rFonts w:hint="eastAsia"/>
                      <w:szCs w:val="21"/>
                      <w:lang w:val="en-US" w:eastAsia="zh-CN"/>
                    </w:rPr>
                    <w:t>氨氮</w:t>
                  </w:r>
                </w:p>
              </w:tc>
              <w:tc>
                <w:tcPr>
                  <w:tcW w:w="2385" w:type="dxa"/>
                  <w:vAlign w:val="center"/>
                </w:tcPr>
                <w:p>
                  <w:pPr>
                    <w:keepNext w:val="0"/>
                    <w:keepLines w:val="0"/>
                    <w:widowControl/>
                    <w:suppressLineNumbers w:val="0"/>
                    <w:jc w:val="center"/>
                    <w:textAlignment w:val="center"/>
                    <w:rPr>
                      <w:rFonts w:ascii="Times New Roman"/>
                      <w:snapToGrid w:val="0"/>
                      <w:color w:val="000000"/>
                      <w:kern w:val="21"/>
                      <w:szCs w:val="21"/>
                    </w:rPr>
                  </w:pPr>
                  <w:r>
                    <w:rPr>
                      <w:rFonts w:hint="default" w:ascii="Times New Roman" w:hAnsi="Times New Roman" w:eastAsia="宋体" w:cs="Times New Roman"/>
                      <w:i w:val="0"/>
                      <w:iCs w:val="0"/>
                      <w:color w:val="000000"/>
                      <w:kern w:val="0"/>
                      <w:sz w:val="21"/>
                      <w:szCs w:val="21"/>
                      <w:u w:val="none"/>
                      <w:lang w:val="en-US" w:eastAsia="zh-CN" w:bidi="ar"/>
                    </w:rPr>
                    <w:t>0.378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5" w:type="pct"/>
                  <w:vMerge w:val="continue"/>
                  <w:vAlign w:val="center"/>
                </w:tcPr>
                <w:p>
                  <w:pPr>
                    <w:adjustRightInd w:val="0"/>
                    <w:snapToGrid w:val="0"/>
                    <w:jc w:val="center"/>
                    <w:rPr>
                      <w:szCs w:val="21"/>
                    </w:rPr>
                  </w:pPr>
                </w:p>
              </w:tc>
              <w:tc>
                <w:tcPr>
                  <w:tcW w:w="2267" w:type="pct"/>
                  <w:vAlign w:val="center"/>
                </w:tcPr>
                <w:p>
                  <w:pPr>
                    <w:adjustRightInd w:val="0"/>
                    <w:snapToGrid w:val="0"/>
                    <w:jc w:val="center"/>
                    <w:rPr>
                      <w:rFonts w:hint="default" w:eastAsia="宋体"/>
                      <w:szCs w:val="21"/>
                      <w:lang w:val="en-US" w:eastAsia="zh-CN"/>
                    </w:rPr>
                  </w:pPr>
                  <w:r>
                    <w:rPr>
                      <w:rFonts w:hint="eastAsia"/>
                      <w:szCs w:val="21"/>
                      <w:lang w:val="en-US" w:eastAsia="zh-CN"/>
                    </w:rPr>
                    <w:t>总磷</w:t>
                  </w:r>
                </w:p>
              </w:tc>
              <w:tc>
                <w:tcPr>
                  <w:tcW w:w="2385" w:type="dxa"/>
                  <w:vAlign w:val="center"/>
                </w:tcPr>
                <w:p>
                  <w:pPr>
                    <w:keepNext w:val="0"/>
                    <w:keepLines w:val="0"/>
                    <w:widowControl/>
                    <w:suppressLineNumbers w:val="0"/>
                    <w:jc w:val="center"/>
                    <w:textAlignment w:val="center"/>
                    <w:rPr>
                      <w:rFonts w:ascii="Times New Roman"/>
                      <w:snapToGrid w:val="0"/>
                      <w:color w:val="000000"/>
                      <w:kern w:val="21"/>
                      <w:szCs w:val="21"/>
                    </w:rPr>
                  </w:pPr>
                  <w:r>
                    <w:rPr>
                      <w:rFonts w:hint="default" w:ascii="Times New Roman" w:hAnsi="Times New Roman" w:eastAsia="宋体" w:cs="Times New Roman"/>
                      <w:i w:val="0"/>
                      <w:iCs w:val="0"/>
                      <w:color w:val="000000"/>
                      <w:kern w:val="0"/>
                      <w:sz w:val="21"/>
                      <w:szCs w:val="21"/>
                      <w:u w:val="none"/>
                      <w:lang w:val="en-US" w:eastAsia="zh-CN" w:bidi="ar"/>
                    </w:rPr>
                    <w:t>0.0672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5" w:type="pct"/>
                  <w:vMerge w:val="continue"/>
                  <w:vAlign w:val="center"/>
                </w:tcPr>
                <w:p>
                  <w:pPr>
                    <w:adjustRightInd w:val="0"/>
                    <w:snapToGrid w:val="0"/>
                    <w:jc w:val="center"/>
                    <w:rPr>
                      <w:szCs w:val="21"/>
                    </w:rPr>
                  </w:pPr>
                </w:p>
              </w:tc>
              <w:tc>
                <w:tcPr>
                  <w:tcW w:w="2267" w:type="pct"/>
                  <w:vAlign w:val="center"/>
                </w:tcPr>
                <w:p>
                  <w:pPr>
                    <w:adjustRightInd w:val="0"/>
                    <w:snapToGrid w:val="0"/>
                    <w:jc w:val="center"/>
                    <w:rPr>
                      <w:rFonts w:hint="eastAsia" w:eastAsia="宋体"/>
                      <w:szCs w:val="21"/>
                      <w:lang w:val="en-US" w:eastAsia="zh-CN"/>
                    </w:rPr>
                  </w:pPr>
                  <w:r>
                    <w:rPr>
                      <w:rFonts w:hint="eastAsia"/>
                      <w:szCs w:val="21"/>
                      <w:lang w:val="en-US" w:eastAsia="zh-CN"/>
                    </w:rPr>
                    <w:t>总氮</w:t>
                  </w:r>
                </w:p>
              </w:tc>
              <w:tc>
                <w:tcPr>
                  <w:tcW w:w="2385" w:type="dxa"/>
                  <w:vAlign w:val="center"/>
                </w:tcPr>
                <w:p>
                  <w:pPr>
                    <w:keepNext w:val="0"/>
                    <w:keepLines w:val="0"/>
                    <w:widowControl/>
                    <w:suppressLineNumbers w:val="0"/>
                    <w:jc w:val="center"/>
                    <w:textAlignment w:val="center"/>
                    <w:rPr>
                      <w:rFonts w:ascii="Times New Roman"/>
                      <w:snapToGrid w:val="0"/>
                      <w:color w:val="000000"/>
                      <w:kern w:val="21"/>
                      <w:szCs w:val="21"/>
                    </w:rPr>
                  </w:pPr>
                  <w:r>
                    <w:rPr>
                      <w:rFonts w:hint="default" w:ascii="Times New Roman" w:hAnsi="Times New Roman" w:eastAsia="宋体" w:cs="Times New Roman"/>
                      <w:i w:val="0"/>
                      <w:iCs w:val="0"/>
                      <w:color w:val="000000"/>
                      <w:kern w:val="0"/>
                      <w:sz w:val="21"/>
                      <w:szCs w:val="21"/>
                      <w:u w:val="none"/>
                      <w:lang w:val="en-US" w:eastAsia="zh-CN" w:bidi="ar"/>
                    </w:rPr>
                    <w:t>0.588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5" w:type="pct"/>
                  <w:vMerge w:val="restart"/>
                  <w:vAlign w:val="center"/>
                </w:tcPr>
                <w:p>
                  <w:pPr>
                    <w:adjustRightInd w:val="0"/>
                    <w:snapToGrid w:val="0"/>
                    <w:jc w:val="center"/>
                    <w:rPr>
                      <w:szCs w:val="21"/>
                    </w:rPr>
                  </w:pPr>
                  <w:r>
                    <w:rPr>
                      <w:szCs w:val="21"/>
                    </w:rPr>
                    <w:t>废气</w:t>
                  </w:r>
                </w:p>
              </w:tc>
              <w:tc>
                <w:tcPr>
                  <w:tcW w:w="2267" w:type="pct"/>
                  <w:vAlign w:val="center"/>
                </w:tcPr>
                <w:p>
                  <w:pPr>
                    <w:widowControl/>
                    <w:adjustRightInd w:val="0"/>
                    <w:snapToGrid w:val="0"/>
                    <w:jc w:val="center"/>
                    <w:rPr>
                      <w:kern w:val="0"/>
                      <w:szCs w:val="21"/>
                    </w:rPr>
                  </w:pPr>
                  <w:r>
                    <w:rPr>
                      <w:kern w:val="0"/>
                      <w:szCs w:val="21"/>
                    </w:rPr>
                    <w:t>VOCs</w:t>
                  </w:r>
                </w:p>
              </w:tc>
              <w:tc>
                <w:tcPr>
                  <w:tcW w:w="1416" w:type="pct"/>
                  <w:vAlign w:val="center"/>
                </w:tcPr>
                <w:p>
                  <w:pPr>
                    <w:widowControl/>
                    <w:adjustRightInd w:val="0"/>
                    <w:snapToGrid w:val="0"/>
                    <w:jc w:val="center"/>
                    <w:rPr>
                      <w:rFonts w:hint="default" w:eastAsia="宋体"/>
                      <w:szCs w:val="21"/>
                      <w:lang w:val="en-US" w:eastAsia="zh-CN"/>
                    </w:rPr>
                  </w:pPr>
                  <w:r>
                    <w:rPr>
                      <w:rFonts w:hint="eastAsia"/>
                      <w:szCs w:val="21"/>
                      <w:lang w:val="en-US" w:eastAsia="zh-CN"/>
                    </w:rPr>
                    <w:t>1.3094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5" w:type="pct"/>
                  <w:vMerge w:val="continue"/>
                  <w:vAlign w:val="center"/>
                </w:tcPr>
                <w:p>
                  <w:pPr>
                    <w:adjustRightInd w:val="0"/>
                    <w:snapToGrid w:val="0"/>
                    <w:jc w:val="center"/>
                    <w:rPr>
                      <w:szCs w:val="21"/>
                    </w:rPr>
                  </w:pPr>
                </w:p>
              </w:tc>
              <w:tc>
                <w:tcPr>
                  <w:tcW w:w="2267" w:type="pct"/>
                  <w:vAlign w:val="center"/>
                </w:tcPr>
                <w:p>
                  <w:pPr>
                    <w:widowControl/>
                    <w:adjustRightInd w:val="0"/>
                    <w:snapToGrid w:val="0"/>
                    <w:jc w:val="center"/>
                    <w:rPr>
                      <w:kern w:val="0"/>
                      <w:szCs w:val="21"/>
                    </w:rPr>
                  </w:pPr>
                  <w:r>
                    <w:rPr>
                      <w:kern w:val="0"/>
                      <w:szCs w:val="21"/>
                    </w:rPr>
                    <w:t>颗粒物</w:t>
                  </w:r>
                </w:p>
              </w:tc>
              <w:tc>
                <w:tcPr>
                  <w:tcW w:w="1416" w:type="pct"/>
                  <w:vAlign w:val="center"/>
                </w:tcPr>
                <w:p>
                  <w:pPr>
                    <w:widowControl/>
                    <w:adjustRightInd w:val="0"/>
                    <w:snapToGrid w:val="0"/>
                    <w:jc w:val="center"/>
                    <w:rPr>
                      <w:rFonts w:hint="default" w:eastAsia="宋体"/>
                      <w:szCs w:val="21"/>
                      <w:lang w:val="en-US" w:eastAsia="zh-CN"/>
                    </w:rPr>
                  </w:pPr>
                  <w:r>
                    <w:rPr>
                      <w:rFonts w:hint="eastAsia"/>
                      <w:szCs w:val="21"/>
                      <w:lang w:val="en-US" w:eastAsia="zh-CN"/>
                    </w:rPr>
                    <w:t>0.6638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5" w:type="pct"/>
                  <w:vMerge w:val="restart"/>
                  <w:vAlign w:val="center"/>
                </w:tcPr>
                <w:p>
                  <w:pPr>
                    <w:adjustRightInd w:val="0"/>
                    <w:snapToGrid w:val="0"/>
                    <w:jc w:val="center"/>
                    <w:rPr>
                      <w:szCs w:val="21"/>
                    </w:rPr>
                  </w:pPr>
                  <w:r>
                    <w:rPr>
                      <w:szCs w:val="21"/>
                    </w:rPr>
                    <w:t>固废</w:t>
                  </w:r>
                </w:p>
              </w:tc>
              <w:tc>
                <w:tcPr>
                  <w:tcW w:w="2267" w:type="pct"/>
                  <w:vAlign w:val="center"/>
                </w:tcPr>
                <w:p>
                  <w:pPr>
                    <w:adjustRightInd w:val="0"/>
                    <w:snapToGrid w:val="0"/>
                    <w:jc w:val="center"/>
                    <w:rPr>
                      <w:szCs w:val="21"/>
                    </w:rPr>
                  </w:pPr>
                  <w:r>
                    <w:rPr>
                      <w:szCs w:val="21"/>
                    </w:rPr>
                    <w:t>一般固废</w:t>
                  </w:r>
                </w:p>
              </w:tc>
              <w:tc>
                <w:tcPr>
                  <w:tcW w:w="1416" w:type="pct"/>
                  <w:vAlign w:val="center"/>
                </w:tcPr>
                <w:p>
                  <w:pPr>
                    <w:adjustRightInd w:val="0"/>
                    <w:snapToGrid w:val="0"/>
                    <w:jc w:val="center"/>
                    <w:rPr>
                      <w:szCs w:val="21"/>
                    </w:rPr>
                  </w:pPr>
                  <w:r>
                    <w:rPr>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5" w:type="pct"/>
                  <w:vMerge w:val="continue"/>
                  <w:vAlign w:val="center"/>
                </w:tcPr>
                <w:p>
                  <w:pPr>
                    <w:adjustRightInd w:val="0"/>
                    <w:snapToGrid w:val="0"/>
                    <w:jc w:val="center"/>
                    <w:rPr>
                      <w:szCs w:val="21"/>
                    </w:rPr>
                  </w:pPr>
                </w:p>
              </w:tc>
              <w:tc>
                <w:tcPr>
                  <w:tcW w:w="2267" w:type="pct"/>
                  <w:vAlign w:val="center"/>
                </w:tcPr>
                <w:p>
                  <w:pPr>
                    <w:adjustRightInd w:val="0"/>
                    <w:snapToGrid w:val="0"/>
                    <w:jc w:val="center"/>
                    <w:rPr>
                      <w:szCs w:val="21"/>
                    </w:rPr>
                  </w:pPr>
                  <w:r>
                    <w:rPr>
                      <w:szCs w:val="21"/>
                    </w:rPr>
                    <w:t>危险固废</w:t>
                  </w:r>
                </w:p>
              </w:tc>
              <w:tc>
                <w:tcPr>
                  <w:tcW w:w="1416" w:type="pct"/>
                  <w:vAlign w:val="center"/>
                </w:tcPr>
                <w:p>
                  <w:pPr>
                    <w:adjustRightInd w:val="0"/>
                    <w:snapToGrid w:val="0"/>
                    <w:jc w:val="center"/>
                    <w:rPr>
                      <w:szCs w:val="21"/>
                    </w:rPr>
                  </w:pPr>
                  <w:r>
                    <w:rPr>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5" w:type="pct"/>
                  <w:vMerge w:val="continue"/>
                  <w:vAlign w:val="center"/>
                </w:tcPr>
                <w:p>
                  <w:pPr>
                    <w:adjustRightInd w:val="0"/>
                    <w:snapToGrid w:val="0"/>
                    <w:jc w:val="center"/>
                    <w:rPr>
                      <w:szCs w:val="21"/>
                    </w:rPr>
                  </w:pPr>
                </w:p>
              </w:tc>
              <w:tc>
                <w:tcPr>
                  <w:tcW w:w="2267" w:type="pct"/>
                  <w:vAlign w:val="center"/>
                </w:tcPr>
                <w:p>
                  <w:pPr>
                    <w:adjustRightInd w:val="0"/>
                    <w:snapToGrid w:val="0"/>
                    <w:jc w:val="center"/>
                    <w:rPr>
                      <w:szCs w:val="21"/>
                    </w:rPr>
                  </w:pPr>
                  <w:r>
                    <w:rPr>
                      <w:szCs w:val="21"/>
                    </w:rPr>
                    <w:t>生活垃圾</w:t>
                  </w:r>
                </w:p>
              </w:tc>
              <w:tc>
                <w:tcPr>
                  <w:tcW w:w="1416" w:type="pct"/>
                  <w:vAlign w:val="center"/>
                </w:tcPr>
                <w:p>
                  <w:pPr>
                    <w:adjustRightInd w:val="0"/>
                    <w:snapToGrid w:val="0"/>
                    <w:jc w:val="center"/>
                    <w:rPr>
                      <w:szCs w:val="21"/>
                    </w:rPr>
                  </w:pPr>
                  <w:r>
                    <w:rPr>
                      <w:szCs w:val="21"/>
                    </w:rPr>
                    <w:t>0</w:t>
                  </w:r>
                </w:p>
              </w:tc>
            </w:tr>
          </w:tbl>
          <w:p>
            <w:pPr>
              <w:pStyle w:val="12"/>
              <w:adjustRightInd w:val="0"/>
              <w:snapToGrid w:val="0"/>
              <w:spacing w:line="360" w:lineRule="auto"/>
              <w:ind w:firstLine="0" w:firstLineChars="0"/>
              <w:rPr>
                <w:rFonts w:ascii="Times New Roman" w:hAnsi="Times New Roman"/>
                <w:b/>
                <w:bCs w:val="0"/>
                <w:color w:val="auto"/>
                <w:szCs w:val="24"/>
              </w:rPr>
            </w:pPr>
            <w:r>
              <w:rPr>
                <w:rFonts w:ascii="Times New Roman" w:hAnsi="Times New Roman"/>
                <w:b/>
                <w:bCs w:val="0"/>
                <w:color w:val="auto"/>
                <w:szCs w:val="24"/>
              </w:rPr>
              <w:t>三、原有项目存在的主要环境问题及“以新带老”整改措施</w:t>
            </w:r>
          </w:p>
          <w:p>
            <w:pPr>
              <w:snapToGrid w:val="0"/>
              <w:spacing w:line="360" w:lineRule="auto"/>
              <w:ind w:firstLine="480" w:firstLineChars="200"/>
              <w:rPr>
                <w:color w:val="auto"/>
                <w:sz w:val="24"/>
              </w:rPr>
            </w:pPr>
            <w:r>
              <w:rPr>
                <w:color w:val="auto"/>
                <w:sz w:val="24"/>
              </w:rPr>
              <w:t>1、存在的主要环境问题</w:t>
            </w:r>
          </w:p>
          <w:p>
            <w:pPr>
              <w:snapToGrid w:val="0"/>
              <w:spacing w:line="360" w:lineRule="auto"/>
              <w:ind w:firstLine="480" w:firstLineChars="200"/>
              <w:rPr>
                <w:color w:val="auto"/>
                <w:sz w:val="24"/>
              </w:rPr>
            </w:pPr>
            <w:r>
              <w:rPr>
                <w:color w:val="auto"/>
                <w:sz w:val="24"/>
              </w:rPr>
              <w:t>①企业原有项目</w:t>
            </w:r>
            <w:r>
              <w:rPr>
                <w:rFonts w:hint="eastAsia"/>
                <w:color w:val="auto"/>
                <w:sz w:val="24"/>
              </w:rPr>
              <w:t>未编制过环评报告，只于2016年编制</w:t>
            </w:r>
            <w:r>
              <w:rPr>
                <w:rFonts w:hint="eastAsia"/>
                <w:color w:val="auto"/>
                <w:sz w:val="24"/>
                <w:lang w:val="en-US" w:eastAsia="zh-CN"/>
              </w:rPr>
              <w:t>过</w:t>
            </w:r>
            <w:r>
              <w:rPr>
                <w:color w:val="auto"/>
                <w:sz w:val="24"/>
              </w:rPr>
              <w:t>自查评估报告。</w:t>
            </w:r>
          </w:p>
          <w:p>
            <w:pPr>
              <w:snapToGrid w:val="0"/>
              <w:spacing w:line="360" w:lineRule="auto"/>
              <w:ind w:firstLine="480" w:firstLineChars="200"/>
              <w:rPr>
                <w:color w:val="auto"/>
              </w:rPr>
            </w:pPr>
            <w:r>
              <w:rPr>
                <w:color w:val="auto"/>
                <w:sz w:val="24"/>
              </w:rPr>
              <w:t>②企业已建锅炉</w:t>
            </w:r>
            <w:r>
              <w:rPr>
                <w:rFonts w:hint="eastAsia"/>
                <w:color w:val="auto"/>
                <w:sz w:val="24"/>
              </w:rPr>
              <w:t>未有相关环保手续</w:t>
            </w:r>
            <w:r>
              <w:rPr>
                <w:color w:val="auto"/>
                <w:sz w:val="24"/>
              </w:rPr>
              <w:t>。</w:t>
            </w:r>
          </w:p>
          <w:p>
            <w:pPr>
              <w:snapToGrid w:val="0"/>
              <w:spacing w:line="360" w:lineRule="auto"/>
              <w:ind w:firstLine="480" w:firstLineChars="200"/>
              <w:rPr>
                <w:color w:val="auto"/>
                <w:sz w:val="24"/>
              </w:rPr>
            </w:pPr>
            <w:r>
              <w:rPr>
                <w:color w:val="auto"/>
                <w:sz w:val="24"/>
              </w:rPr>
              <w:t>2、“以新带老”整改措施</w:t>
            </w:r>
          </w:p>
          <w:p>
            <w:pPr>
              <w:pStyle w:val="12"/>
              <w:adjustRightInd w:val="0"/>
              <w:snapToGrid w:val="0"/>
              <w:spacing w:line="360" w:lineRule="auto"/>
              <w:rPr>
                <w:rFonts w:ascii="Times New Roman" w:hAnsi="Times New Roman"/>
                <w:color w:val="auto"/>
              </w:rPr>
            </w:pPr>
            <w:r>
              <w:rPr>
                <w:rFonts w:ascii="Times New Roman" w:hAnsi="Times New Roman"/>
                <w:color w:val="auto"/>
              </w:rPr>
              <w:t>①</w:t>
            </w:r>
            <w:r>
              <w:rPr>
                <w:rFonts w:hint="eastAsia" w:ascii="Times New Roman" w:hAnsi="Times New Roman"/>
                <w:color w:val="auto"/>
              </w:rPr>
              <w:t>通过本次环评将</w:t>
            </w:r>
            <w:r>
              <w:rPr>
                <w:color w:val="auto"/>
              </w:rPr>
              <w:t>原有项目</w:t>
            </w:r>
            <w:r>
              <w:rPr>
                <w:rFonts w:hint="eastAsia"/>
                <w:color w:val="auto"/>
              </w:rPr>
              <w:t>环保手续完善</w:t>
            </w:r>
            <w:r>
              <w:rPr>
                <w:rFonts w:ascii="Times New Roman" w:hAnsi="Times New Roman"/>
                <w:color w:val="auto"/>
              </w:rPr>
              <w:t>。</w:t>
            </w:r>
          </w:p>
          <w:p>
            <w:pPr>
              <w:pStyle w:val="12"/>
              <w:adjustRightInd w:val="0"/>
              <w:snapToGrid w:val="0"/>
              <w:spacing w:line="360" w:lineRule="auto"/>
              <w:rPr>
                <w:rFonts w:ascii="Times New Roman" w:hAnsi="Times New Roman"/>
                <w:color w:val="auto"/>
              </w:rPr>
            </w:pPr>
            <w:r>
              <w:rPr>
                <w:rFonts w:ascii="Times New Roman" w:hAnsi="Times New Roman"/>
                <w:color w:val="auto"/>
              </w:rPr>
              <w:t>②</w:t>
            </w:r>
            <w:r>
              <w:rPr>
                <w:rFonts w:hint="eastAsia" w:ascii="Times New Roman" w:hAnsi="Times New Roman"/>
                <w:color w:val="auto"/>
              </w:rPr>
              <w:t>本项目</w:t>
            </w:r>
            <w:r>
              <w:rPr>
                <w:rFonts w:hint="eastAsia" w:ascii="Times New Roman" w:hAnsi="Times New Roman"/>
                <w:color w:val="auto"/>
                <w:lang w:val="en-US" w:eastAsia="zh-CN"/>
              </w:rPr>
              <w:t>为</w:t>
            </w:r>
            <w:r>
              <w:rPr>
                <w:rFonts w:hint="eastAsia" w:ascii="Times New Roman" w:hAnsi="Times New Roman"/>
                <w:color w:val="auto"/>
              </w:rPr>
              <w:t>补办</w:t>
            </w:r>
            <w:r>
              <w:rPr>
                <w:color w:val="auto"/>
              </w:rPr>
              <w:t>已建锅炉</w:t>
            </w:r>
            <w:r>
              <w:rPr>
                <w:rFonts w:hint="eastAsia"/>
                <w:color w:val="auto"/>
              </w:rPr>
              <w:t>环保手续</w:t>
            </w:r>
            <w:r>
              <w:rPr>
                <w:rFonts w:ascii="Times New Roman" w:hAnsi="Times New Roman"/>
                <w:color w:val="auto"/>
              </w:rPr>
              <w:t>。</w:t>
            </w:r>
          </w:p>
          <w:p>
            <w:pPr>
              <w:spacing w:line="360" w:lineRule="auto"/>
              <w:ind w:firstLine="482" w:firstLineChars="200"/>
              <w:rPr>
                <w:b/>
                <w:color w:val="0000FF"/>
                <w:sz w:val="24"/>
                <w:szCs w:val="20"/>
              </w:rPr>
            </w:pPr>
          </w:p>
        </w:tc>
      </w:tr>
    </w:tbl>
    <w:p>
      <w:pPr>
        <w:widowControl/>
        <w:jc w:val="left"/>
        <w:rPr>
          <w:snapToGrid w:val="0"/>
          <w:color w:val="0000FF"/>
          <w:sz w:val="36"/>
          <w:szCs w:val="36"/>
        </w:rPr>
        <w:sectPr>
          <w:pgSz w:w="11906" w:h="16838"/>
          <w:pgMar w:top="1701" w:right="1531" w:bottom="1701" w:left="1531" w:header="851" w:footer="851" w:gutter="0"/>
          <w:cols w:space="720" w:num="1"/>
          <w:docGrid w:linePitch="312" w:charSpace="0"/>
        </w:sectPr>
      </w:pPr>
    </w:p>
    <w:p>
      <w:pPr>
        <w:pStyle w:val="18"/>
        <w:adjustRightInd w:val="0"/>
        <w:snapToGrid w:val="0"/>
        <w:spacing w:before="0" w:beforeAutospacing="0" w:after="0" w:afterAutospacing="0" w:line="14" w:lineRule="auto"/>
        <w:jc w:val="center"/>
        <w:outlineLvl w:val="0"/>
        <w:rPr>
          <w:rFonts w:ascii="Times New Roman" w:hAnsi="Times New Roman"/>
          <w:snapToGrid w:val="0"/>
          <w:color w:val="0000FF"/>
          <w:sz w:val="30"/>
          <w:szCs w:val="30"/>
        </w:rPr>
      </w:pPr>
    </w:p>
    <w:p>
      <w:pPr>
        <w:pStyle w:val="18"/>
        <w:spacing w:before="0" w:beforeAutospacing="0" w:after="0" w:afterAutospacing="0"/>
        <w:jc w:val="center"/>
        <w:outlineLvl w:val="0"/>
        <w:rPr>
          <w:rFonts w:ascii="Times New Roman" w:hAnsi="Times New Roman"/>
          <w:snapToGrid w:val="0"/>
          <w:sz w:val="30"/>
          <w:szCs w:val="30"/>
        </w:rPr>
      </w:pPr>
      <w:r>
        <w:rPr>
          <w:rFonts w:ascii="Times New Roman" w:hAnsi="Times New Roman"/>
          <w:snapToGrid w:val="0"/>
          <w:sz w:val="30"/>
          <w:szCs w:val="30"/>
        </w:rPr>
        <w:t>三、区域环境质量现状、环境保护目标及评价标准</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52" w:hRule="atLeast"/>
          <w:jc w:val="center"/>
        </w:trPr>
        <w:tc>
          <w:tcPr>
            <w:tcW w:w="357" w:type="dxa"/>
            <w:vAlign w:val="center"/>
          </w:tcPr>
          <w:p>
            <w:pPr>
              <w:adjustRightInd w:val="0"/>
              <w:snapToGrid w:val="0"/>
              <w:jc w:val="center"/>
              <w:rPr>
                <w:kern w:val="0"/>
                <w:szCs w:val="21"/>
              </w:rPr>
            </w:pPr>
            <w:r>
              <w:rPr>
                <w:kern w:val="0"/>
                <w:szCs w:val="21"/>
              </w:rPr>
              <w:t>区域</w:t>
            </w:r>
          </w:p>
          <w:p>
            <w:pPr>
              <w:adjustRightInd w:val="0"/>
              <w:snapToGrid w:val="0"/>
              <w:jc w:val="center"/>
              <w:rPr>
                <w:kern w:val="0"/>
                <w:szCs w:val="21"/>
              </w:rPr>
            </w:pPr>
            <w:r>
              <w:rPr>
                <w:kern w:val="0"/>
                <w:szCs w:val="21"/>
              </w:rPr>
              <w:t>环境</w:t>
            </w:r>
          </w:p>
          <w:p>
            <w:pPr>
              <w:adjustRightInd w:val="0"/>
              <w:snapToGrid w:val="0"/>
              <w:jc w:val="center"/>
              <w:rPr>
                <w:kern w:val="0"/>
                <w:szCs w:val="21"/>
              </w:rPr>
            </w:pPr>
            <w:r>
              <w:rPr>
                <w:kern w:val="0"/>
                <w:szCs w:val="21"/>
              </w:rPr>
              <w:t>质量</w:t>
            </w:r>
          </w:p>
          <w:p>
            <w:pPr>
              <w:adjustRightInd w:val="0"/>
              <w:snapToGrid w:val="0"/>
              <w:jc w:val="center"/>
              <w:rPr>
                <w:color w:val="0000FF"/>
                <w:kern w:val="0"/>
                <w:szCs w:val="21"/>
              </w:rPr>
            </w:pPr>
            <w:r>
              <w:rPr>
                <w:kern w:val="0"/>
                <w:szCs w:val="21"/>
              </w:rPr>
              <w:t>现状</w:t>
            </w:r>
          </w:p>
        </w:tc>
        <w:tc>
          <w:tcPr>
            <w:tcW w:w="8633" w:type="dxa"/>
            <w:vAlign w:val="center"/>
          </w:tcPr>
          <w:p>
            <w:pPr>
              <w:spacing w:line="360" w:lineRule="auto"/>
              <w:rPr>
                <w:b/>
                <w:bCs/>
                <w:sz w:val="24"/>
              </w:rPr>
            </w:pPr>
            <w:r>
              <w:rPr>
                <w:b/>
                <w:bCs/>
                <w:sz w:val="24"/>
              </w:rPr>
              <w:t>1、环境空气质量现状</w:t>
            </w:r>
          </w:p>
          <w:p>
            <w:pPr>
              <w:spacing w:line="360" w:lineRule="auto"/>
              <w:ind w:firstLine="480" w:firstLineChars="200"/>
              <w:rPr>
                <w:sz w:val="24"/>
              </w:rPr>
            </w:pPr>
            <w:r>
              <w:rPr>
                <w:sz w:val="24"/>
              </w:rPr>
              <w:t>（1）区域达标判定</w:t>
            </w:r>
          </w:p>
          <w:p>
            <w:pPr>
              <w:snapToGrid w:val="0"/>
              <w:spacing w:line="360" w:lineRule="auto"/>
              <w:ind w:firstLine="480" w:firstLineChars="200"/>
              <w:rPr>
                <w:sz w:val="24"/>
                <w:szCs w:val="22"/>
              </w:rPr>
            </w:pPr>
            <w:r>
              <w:rPr>
                <w:sz w:val="24"/>
                <w:szCs w:val="22"/>
              </w:rPr>
              <w:t>根据《环境影响评价技术导则大气环境》(J2.2-2018)，项目所在区达标情况判定优先采用国家或地方生态环境主管部门公开发布的环境质量报告或环境质量报告书中的数据或结论。</w:t>
            </w:r>
          </w:p>
          <w:p>
            <w:pPr>
              <w:snapToGrid w:val="0"/>
              <w:spacing w:line="360" w:lineRule="auto"/>
              <w:ind w:firstLine="480" w:firstLineChars="200"/>
              <w:rPr>
                <w:sz w:val="24"/>
                <w:szCs w:val="22"/>
              </w:rPr>
            </w:pPr>
            <w:r>
              <w:rPr>
                <w:sz w:val="24"/>
                <w:szCs w:val="22"/>
              </w:rPr>
              <w:t>本次评价选取2020年作为评价基准年，根据《</w:t>
            </w:r>
            <w:r>
              <w:rPr>
                <w:sz w:val="24"/>
              </w:rPr>
              <w:t>2020年度常州市生态环境状况公报</w:t>
            </w:r>
            <w:r>
              <w:rPr>
                <w:sz w:val="24"/>
                <w:szCs w:val="22"/>
              </w:rPr>
              <w:t>》，项目所在区域常州市各评价因子数据见下表。</w:t>
            </w:r>
          </w:p>
          <w:p>
            <w:pPr>
              <w:snapToGrid w:val="0"/>
              <w:jc w:val="center"/>
              <w:rPr>
                <w:b/>
                <w:bCs/>
                <w:sz w:val="24"/>
              </w:rPr>
            </w:pPr>
            <w:r>
              <w:rPr>
                <w:b/>
                <w:bCs/>
                <w:sz w:val="24"/>
              </w:rPr>
              <w:t>表3-1  区域空气质量现状评价表</w:t>
            </w:r>
          </w:p>
          <w:tbl>
            <w:tblPr>
              <w:tblStyle w:val="21"/>
              <w:tblW w:w="4997" w:type="pct"/>
              <w:jc w:val="center"/>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806"/>
              <w:gridCol w:w="1982"/>
              <w:gridCol w:w="1298"/>
              <w:gridCol w:w="1253"/>
              <w:gridCol w:w="1186"/>
              <w:gridCol w:w="1180"/>
            </w:tblGrid>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7" w:type="dxa"/>
                  <w:tcBorders>
                    <w:top w:val="single" w:color="auto" w:sz="12" w:space="0"/>
                  </w:tcBorders>
                  <w:vAlign w:val="center"/>
                </w:tcPr>
                <w:p>
                  <w:pPr>
                    <w:adjustRightInd w:val="0"/>
                    <w:snapToGrid w:val="0"/>
                    <w:ind w:right="92"/>
                    <w:jc w:val="center"/>
                    <w:rPr>
                      <w:b/>
                      <w:szCs w:val="21"/>
                    </w:rPr>
                  </w:pPr>
                  <w:r>
                    <w:rPr>
                      <w:b/>
                      <w:szCs w:val="21"/>
                    </w:rPr>
                    <w:t>区域</w:t>
                  </w:r>
                </w:p>
              </w:tc>
              <w:tc>
                <w:tcPr>
                  <w:tcW w:w="806" w:type="dxa"/>
                  <w:tcBorders>
                    <w:top w:val="single" w:color="auto" w:sz="12" w:space="0"/>
                  </w:tcBorders>
                  <w:vAlign w:val="center"/>
                </w:tcPr>
                <w:p>
                  <w:pPr>
                    <w:adjustRightInd w:val="0"/>
                    <w:snapToGrid w:val="0"/>
                    <w:ind w:right="92"/>
                    <w:jc w:val="center"/>
                    <w:rPr>
                      <w:b/>
                      <w:szCs w:val="21"/>
                      <w:vertAlign w:val="subscript"/>
                    </w:rPr>
                  </w:pPr>
                  <w:r>
                    <w:rPr>
                      <w:b/>
                      <w:szCs w:val="21"/>
                    </w:rPr>
                    <w:t>评价因子</w:t>
                  </w:r>
                </w:p>
              </w:tc>
              <w:tc>
                <w:tcPr>
                  <w:tcW w:w="1985" w:type="dxa"/>
                  <w:tcBorders>
                    <w:top w:val="single" w:color="auto" w:sz="12" w:space="0"/>
                  </w:tcBorders>
                  <w:vAlign w:val="center"/>
                </w:tcPr>
                <w:p>
                  <w:pPr>
                    <w:adjustRightInd w:val="0"/>
                    <w:snapToGrid w:val="0"/>
                    <w:ind w:right="92"/>
                    <w:jc w:val="center"/>
                    <w:rPr>
                      <w:b/>
                      <w:szCs w:val="21"/>
                      <w:vertAlign w:val="subscript"/>
                    </w:rPr>
                  </w:pPr>
                  <w:r>
                    <w:rPr>
                      <w:b/>
                      <w:szCs w:val="21"/>
                    </w:rPr>
                    <w:t>平均时段</w:t>
                  </w:r>
                </w:p>
              </w:tc>
              <w:tc>
                <w:tcPr>
                  <w:tcW w:w="1298" w:type="dxa"/>
                  <w:tcBorders>
                    <w:top w:val="single" w:color="auto" w:sz="12" w:space="0"/>
                  </w:tcBorders>
                  <w:vAlign w:val="center"/>
                </w:tcPr>
                <w:p>
                  <w:pPr>
                    <w:adjustRightInd w:val="0"/>
                    <w:snapToGrid w:val="0"/>
                    <w:ind w:right="92"/>
                    <w:jc w:val="center"/>
                    <w:rPr>
                      <w:b/>
                      <w:szCs w:val="21"/>
                    </w:rPr>
                  </w:pPr>
                  <w:r>
                    <w:rPr>
                      <w:b/>
                      <w:szCs w:val="21"/>
                    </w:rPr>
                    <w:t>现状浓度（ug/m</w:t>
                  </w:r>
                  <w:r>
                    <w:rPr>
                      <w:b/>
                      <w:szCs w:val="21"/>
                      <w:vertAlign w:val="superscript"/>
                    </w:rPr>
                    <w:t>3</w:t>
                  </w:r>
                  <w:r>
                    <w:rPr>
                      <w:b/>
                      <w:szCs w:val="21"/>
                    </w:rPr>
                    <w:t>）</w:t>
                  </w:r>
                </w:p>
              </w:tc>
              <w:tc>
                <w:tcPr>
                  <w:tcW w:w="1253" w:type="dxa"/>
                  <w:tcBorders>
                    <w:top w:val="single" w:color="auto" w:sz="12" w:space="0"/>
                  </w:tcBorders>
                  <w:vAlign w:val="center"/>
                </w:tcPr>
                <w:p>
                  <w:pPr>
                    <w:adjustRightInd w:val="0"/>
                    <w:snapToGrid w:val="0"/>
                    <w:ind w:right="92"/>
                    <w:jc w:val="center"/>
                    <w:rPr>
                      <w:b/>
                      <w:szCs w:val="21"/>
                    </w:rPr>
                  </w:pPr>
                  <w:r>
                    <w:rPr>
                      <w:b/>
                      <w:szCs w:val="21"/>
                    </w:rPr>
                    <w:t>标准值（ug/m</w:t>
                  </w:r>
                  <w:r>
                    <w:rPr>
                      <w:b/>
                      <w:szCs w:val="21"/>
                      <w:vertAlign w:val="superscript"/>
                    </w:rPr>
                    <w:t>3</w:t>
                  </w:r>
                  <w:r>
                    <w:rPr>
                      <w:b/>
                      <w:szCs w:val="21"/>
                    </w:rPr>
                    <w:t>）</w:t>
                  </w:r>
                </w:p>
              </w:tc>
              <w:tc>
                <w:tcPr>
                  <w:tcW w:w="1187" w:type="dxa"/>
                  <w:tcBorders>
                    <w:top w:val="single" w:color="auto" w:sz="12" w:space="0"/>
                  </w:tcBorders>
                  <w:vAlign w:val="center"/>
                </w:tcPr>
                <w:p>
                  <w:pPr>
                    <w:adjustRightInd w:val="0"/>
                    <w:snapToGrid w:val="0"/>
                    <w:ind w:right="92"/>
                    <w:jc w:val="center"/>
                    <w:rPr>
                      <w:b/>
                      <w:szCs w:val="21"/>
                    </w:rPr>
                  </w:pPr>
                  <w:r>
                    <w:rPr>
                      <w:b/>
                      <w:szCs w:val="21"/>
                    </w:rPr>
                    <w:t>超标倍数</w:t>
                  </w:r>
                </w:p>
              </w:tc>
              <w:tc>
                <w:tcPr>
                  <w:tcW w:w="1181" w:type="dxa"/>
                  <w:tcBorders>
                    <w:top w:val="single" w:color="auto" w:sz="12" w:space="0"/>
                  </w:tcBorders>
                  <w:vAlign w:val="center"/>
                </w:tcPr>
                <w:p>
                  <w:pPr>
                    <w:adjustRightInd w:val="0"/>
                    <w:snapToGrid w:val="0"/>
                    <w:ind w:right="92"/>
                    <w:jc w:val="center"/>
                    <w:rPr>
                      <w:b/>
                      <w:szCs w:val="21"/>
                    </w:rPr>
                  </w:pPr>
                  <w:r>
                    <w:rPr>
                      <w:b/>
                      <w:szCs w:val="21"/>
                    </w:rPr>
                    <w:t>达标情况</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7" w:type="dxa"/>
                  <w:vMerge w:val="restart"/>
                  <w:vAlign w:val="center"/>
                </w:tcPr>
                <w:p>
                  <w:pPr>
                    <w:adjustRightInd w:val="0"/>
                    <w:snapToGrid w:val="0"/>
                    <w:ind w:right="92"/>
                    <w:jc w:val="center"/>
                  </w:pPr>
                  <w:r>
                    <w:t>常州全市</w:t>
                  </w:r>
                </w:p>
                <w:p>
                  <w:pPr>
                    <w:pStyle w:val="8"/>
                    <w:ind w:left="1470" w:right="1470"/>
                    <w:jc w:val="center"/>
                    <w:rPr>
                      <w:rFonts w:ascii="Times New Roman" w:hAnsi="Times New Roman"/>
                    </w:rPr>
                  </w:pPr>
                </w:p>
              </w:tc>
              <w:tc>
                <w:tcPr>
                  <w:tcW w:w="806" w:type="dxa"/>
                  <w:vMerge w:val="restart"/>
                  <w:vAlign w:val="center"/>
                </w:tcPr>
                <w:p>
                  <w:pPr>
                    <w:adjustRightInd w:val="0"/>
                    <w:snapToGrid w:val="0"/>
                    <w:ind w:right="92"/>
                    <w:jc w:val="center"/>
                    <w:rPr>
                      <w:bCs/>
                      <w:szCs w:val="21"/>
                    </w:rPr>
                  </w:pPr>
                  <w:r>
                    <w:rPr>
                      <w:bCs/>
                      <w:szCs w:val="21"/>
                    </w:rPr>
                    <w:t>SO</w:t>
                  </w:r>
                  <w:r>
                    <w:rPr>
                      <w:bCs/>
                      <w:szCs w:val="21"/>
                      <w:vertAlign w:val="subscript"/>
                    </w:rPr>
                    <w:t>2</w:t>
                  </w:r>
                </w:p>
              </w:tc>
              <w:tc>
                <w:tcPr>
                  <w:tcW w:w="1985" w:type="dxa"/>
                  <w:vAlign w:val="center"/>
                </w:tcPr>
                <w:p>
                  <w:pPr>
                    <w:adjustRightInd w:val="0"/>
                    <w:snapToGrid w:val="0"/>
                    <w:ind w:right="92"/>
                    <w:jc w:val="center"/>
                    <w:rPr>
                      <w:bCs/>
                      <w:szCs w:val="21"/>
                    </w:rPr>
                  </w:pPr>
                  <w:r>
                    <w:rPr>
                      <w:bCs/>
                      <w:szCs w:val="21"/>
                    </w:rPr>
                    <w:t>年平均浓度</w:t>
                  </w:r>
                </w:p>
              </w:tc>
              <w:tc>
                <w:tcPr>
                  <w:tcW w:w="1298" w:type="dxa"/>
                  <w:vAlign w:val="center"/>
                </w:tcPr>
                <w:p>
                  <w:pPr>
                    <w:adjustRightInd w:val="0"/>
                    <w:snapToGrid w:val="0"/>
                    <w:ind w:right="92"/>
                    <w:jc w:val="center"/>
                    <w:rPr>
                      <w:bCs/>
                      <w:szCs w:val="21"/>
                    </w:rPr>
                  </w:pPr>
                  <w:r>
                    <w:rPr>
                      <w:bCs/>
                      <w:szCs w:val="21"/>
                    </w:rPr>
                    <w:t>9</w:t>
                  </w:r>
                </w:p>
              </w:tc>
              <w:tc>
                <w:tcPr>
                  <w:tcW w:w="1253" w:type="dxa"/>
                  <w:vAlign w:val="center"/>
                </w:tcPr>
                <w:p>
                  <w:pPr>
                    <w:adjustRightInd w:val="0"/>
                    <w:snapToGrid w:val="0"/>
                    <w:ind w:right="92"/>
                    <w:jc w:val="center"/>
                    <w:rPr>
                      <w:bCs/>
                      <w:szCs w:val="21"/>
                    </w:rPr>
                  </w:pPr>
                  <w:r>
                    <w:rPr>
                      <w:bCs/>
                      <w:szCs w:val="21"/>
                    </w:rPr>
                    <w:t>60</w:t>
                  </w:r>
                </w:p>
              </w:tc>
              <w:tc>
                <w:tcPr>
                  <w:tcW w:w="1187" w:type="dxa"/>
                  <w:vAlign w:val="center"/>
                </w:tcPr>
                <w:p>
                  <w:pPr>
                    <w:adjustRightInd w:val="0"/>
                    <w:snapToGrid w:val="0"/>
                    <w:ind w:right="92"/>
                    <w:jc w:val="center"/>
                    <w:rPr>
                      <w:bCs/>
                      <w:szCs w:val="21"/>
                    </w:rPr>
                  </w:pPr>
                  <w:r>
                    <w:rPr>
                      <w:bCs/>
                      <w:szCs w:val="21"/>
                    </w:rPr>
                    <w:t>/</w:t>
                  </w:r>
                </w:p>
              </w:tc>
              <w:tc>
                <w:tcPr>
                  <w:tcW w:w="1181" w:type="dxa"/>
                  <w:vAlign w:val="center"/>
                </w:tcPr>
                <w:p>
                  <w:pPr>
                    <w:adjustRightInd w:val="0"/>
                    <w:snapToGrid w:val="0"/>
                    <w:ind w:right="92"/>
                    <w:jc w:val="center"/>
                    <w:rPr>
                      <w:bCs/>
                      <w:szCs w:val="21"/>
                    </w:rPr>
                  </w:pPr>
                  <w:r>
                    <w:rPr>
                      <w:bCs/>
                      <w:szCs w:val="21"/>
                    </w:rPr>
                    <w:t>达标</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7" w:type="dxa"/>
                  <w:vMerge w:val="continue"/>
                  <w:vAlign w:val="center"/>
                </w:tcPr>
                <w:p>
                  <w:pPr>
                    <w:pStyle w:val="8"/>
                    <w:ind w:left="1470" w:right="1470"/>
                    <w:jc w:val="center"/>
                    <w:rPr>
                      <w:rFonts w:ascii="Times New Roman" w:hAnsi="Times New Roman"/>
                    </w:rPr>
                  </w:pPr>
                </w:p>
              </w:tc>
              <w:tc>
                <w:tcPr>
                  <w:tcW w:w="806" w:type="dxa"/>
                  <w:vMerge w:val="continue"/>
                  <w:vAlign w:val="center"/>
                </w:tcPr>
                <w:p>
                  <w:pPr>
                    <w:adjustRightInd w:val="0"/>
                    <w:snapToGrid w:val="0"/>
                    <w:ind w:right="92"/>
                    <w:jc w:val="center"/>
                    <w:rPr>
                      <w:bCs/>
                      <w:szCs w:val="21"/>
                    </w:rPr>
                  </w:pPr>
                </w:p>
              </w:tc>
              <w:tc>
                <w:tcPr>
                  <w:tcW w:w="1985" w:type="dxa"/>
                  <w:vAlign w:val="center"/>
                </w:tcPr>
                <w:p>
                  <w:pPr>
                    <w:adjustRightInd w:val="0"/>
                    <w:snapToGrid w:val="0"/>
                    <w:ind w:right="92"/>
                    <w:jc w:val="center"/>
                    <w:rPr>
                      <w:bCs/>
                      <w:szCs w:val="21"/>
                    </w:rPr>
                  </w:pPr>
                  <w:r>
                    <w:rPr>
                      <w:bCs/>
                      <w:szCs w:val="21"/>
                    </w:rPr>
                    <w:t>日平均浓度范围</w:t>
                  </w:r>
                </w:p>
              </w:tc>
              <w:tc>
                <w:tcPr>
                  <w:tcW w:w="1298" w:type="dxa"/>
                  <w:vAlign w:val="center"/>
                </w:tcPr>
                <w:p>
                  <w:pPr>
                    <w:adjustRightInd w:val="0"/>
                    <w:snapToGrid w:val="0"/>
                    <w:ind w:right="92"/>
                    <w:jc w:val="center"/>
                    <w:rPr>
                      <w:bCs/>
                      <w:szCs w:val="21"/>
                    </w:rPr>
                  </w:pPr>
                  <w:r>
                    <w:rPr>
                      <w:bCs/>
                      <w:szCs w:val="21"/>
                    </w:rPr>
                    <w:t>6～18</w:t>
                  </w:r>
                </w:p>
              </w:tc>
              <w:tc>
                <w:tcPr>
                  <w:tcW w:w="1253" w:type="dxa"/>
                  <w:vAlign w:val="center"/>
                </w:tcPr>
                <w:p>
                  <w:pPr>
                    <w:adjustRightInd w:val="0"/>
                    <w:snapToGrid w:val="0"/>
                    <w:ind w:right="92"/>
                    <w:jc w:val="center"/>
                    <w:rPr>
                      <w:bCs/>
                      <w:szCs w:val="21"/>
                    </w:rPr>
                  </w:pPr>
                  <w:r>
                    <w:rPr>
                      <w:bCs/>
                      <w:szCs w:val="21"/>
                    </w:rPr>
                    <w:t>150</w:t>
                  </w:r>
                </w:p>
              </w:tc>
              <w:tc>
                <w:tcPr>
                  <w:tcW w:w="1187" w:type="dxa"/>
                  <w:vAlign w:val="center"/>
                </w:tcPr>
                <w:p>
                  <w:pPr>
                    <w:adjustRightInd w:val="0"/>
                    <w:snapToGrid w:val="0"/>
                    <w:ind w:right="92"/>
                    <w:jc w:val="center"/>
                    <w:rPr>
                      <w:bCs/>
                      <w:szCs w:val="21"/>
                    </w:rPr>
                  </w:pPr>
                  <w:r>
                    <w:rPr>
                      <w:bCs/>
                      <w:szCs w:val="21"/>
                    </w:rPr>
                    <w:t>/</w:t>
                  </w:r>
                </w:p>
              </w:tc>
              <w:tc>
                <w:tcPr>
                  <w:tcW w:w="1181" w:type="dxa"/>
                  <w:vAlign w:val="center"/>
                </w:tcPr>
                <w:p>
                  <w:pPr>
                    <w:adjustRightInd w:val="0"/>
                    <w:snapToGrid w:val="0"/>
                    <w:ind w:right="92"/>
                    <w:jc w:val="center"/>
                    <w:rPr>
                      <w:bCs/>
                      <w:szCs w:val="21"/>
                    </w:rPr>
                  </w:pPr>
                  <w:r>
                    <w:rPr>
                      <w:bCs/>
                      <w:szCs w:val="21"/>
                    </w:rPr>
                    <w:t>达标</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7" w:type="dxa"/>
                  <w:vMerge w:val="continue"/>
                  <w:vAlign w:val="center"/>
                </w:tcPr>
                <w:p>
                  <w:pPr>
                    <w:adjustRightInd w:val="0"/>
                    <w:snapToGrid w:val="0"/>
                    <w:ind w:right="92"/>
                    <w:jc w:val="center"/>
                    <w:rPr>
                      <w:bCs/>
                      <w:szCs w:val="21"/>
                    </w:rPr>
                  </w:pPr>
                </w:p>
              </w:tc>
              <w:tc>
                <w:tcPr>
                  <w:tcW w:w="806" w:type="dxa"/>
                  <w:vMerge w:val="restart"/>
                  <w:vAlign w:val="center"/>
                </w:tcPr>
                <w:p>
                  <w:pPr>
                    <w:adjustRightInd w:val="0"/>
                    <w:snapToGrid w:val="0"/>
                    <w:ind w:right="92"/>
                    <w:jc w:val="center"/>
                    <w:rPr>
                      <w:bCs/>
                      <w:szCs w:val="21"/>
                    </w:rPr>
                  </w:pPr>
                  <w:r>
                    <w:rPr>
                      <w:bCs/>
                      <w:szCs w:val="21"/>
                    </w:rPr>
                    <w:t>NO</w:t>
                  </w:r>
                  <w:r>
                    <w:rPr>
                      <w:bCs/>
                      <w:szCs w:val="21"/>
                      <w:vertAlign w:val="subscript"/>
                    </w:rPr>
                    <w:t>2</w:t>
                  </w:r>
                </w:p>
              </w:tc>
              <w:tc>
                <w:tcPr>
                  <w:tcW w:w="1985" w:type="dxa"/>
                  <w:vAlign w:val="center"/>
                </w:tcPr>
                <w:p>
                  <w:pPr>
                    <w:adjustRightInd w:val="0"/>
                    <w:snapToGrid w:val="0"/>
                    <w:ind w:right="92"/>
                    <w:jc w:val="center"/>
                    <w:rPr>
                      <w:bCs/>
                      <w:szCs w:val="21"/>
                    </w:rPr>
                  </w:pPr>
                  <w:r>
                    <w:rPr>
                      <w:bCs/>
                      <w:szCs w:val="21"/>
                    </w:rPr>
                    <w:t>年平均浓度</w:t>
                  </w:r>
                </w:p>
              </w:tc>
              <w:tc>
                <w:tcPr>
                  <w:tcW w:w="1298" w:type="dxa"/>
                  <w:vAlign w:val="center"/>
                </w:tcPr>
                <w:p>
                  <w:pPr>
                    <w:adjustRightInd w:val="0"/>
                    <w:snapToGrid w:val="0"/>
                    <w:ind w:right="92"/>
                    <w:jc w:val="center"/>
                    <w:rPr>
                      <w:bCs/>
                      <w:szCs w:val="21"/>
                    </w:rPr>
                  </w:pPr>
                  <w:r>
                    <w:rPr>
                      <w:bCs/>
                      <w:szCs w:val="21"/>
                    </w:rPr>
                    <w:t>35</w:t>
                  </w:r>
                </w:p>
              </w:tc>
              <w:tc>
                <w:tcPr>
                  <w:tcW w:w="1253" w:type="dxa"/>
                  <w:vAlign w:val="center"/>
                </w:tcPr>
                <w:p>
                  <w:pPr>
                    <w:adjustRightInd w:val="0"/>
                    <w:snapToGrid w:val="0"/>
                    <w:ind w:right="92"/>
                    <w:jc w:val="center"/>
                    <w:rPr>
                      <w:bCs/>
                      <w:szCs w:val="21"/>
                    </w:rPr>
                  </w:pPr>
                  <w:r>
                    <w:rPr>
                      <w:bCs/>
                      <w:szCs w:val="21"/>
                    </w:rPr>
                    <w:t>40</w:t>
                  </w:r>
                </w:p>
              </w:tc>
              <w:tc>
                <w:tcPr>
                  <w:tcW w:w="1187" w:type="dxa"/>
                  <w:vAlign w:val="center"/>
                </w:tcPr>
                <w:p>
                  <w:pPr>
                    <w:adjustRightInd w:val="0"/>
                    <w:snapToGrid w:val="0"/>
                    <w:ind w:right="92"/>
                    <w:jc w:val="center"/>
                    <w:rPr>
                      <w:bCs/>
                      <w:szCs w:val="21"/>
                    </w:rPr>
                  </w:pPr>
                  <w:r>
                    <w:rPr>
                      <w:bCs/>
                      <w:szCs w:val="21"/>
                    </w:rPr>
                    <w:t>/</w:t>
                  </w:r>
                </w:p>
              </w:tc>
              <w:tc>
                <w:tcPr>
                  <w:tcW w:w="1181" w:type="dxa"/>
                  <w:vAlign w:val="center"/>
                </w:tcPr>
                <w:p>
                  <w:pPr>
                    <w:adjustRightInd w:val="0"/>
                    <w:snapToGrid w:val="0"/>
                    <w:ind w:right="92"/>
                    <w:jc w:val="center"/>
                    <w:rPr>
                      <w:bCs/>
                      <w:szCs w:val="21"/>
                      <w:highlight w:val="yellow"/>
                    </w:rPr>
                  </w:pPr>
                  <w:r>
                    <w:rPr>
                      <w:bCs/>
                      <w:szCs w:val="21"/>
                    </w:rPr>
                    <w:t>达标</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7" w:type="dxa"/>
                  <w:vMerge w:val="continue"/>
                  <w:vAlign w:val="center"/>
                </w:tcPr>
                <w:p>
                  <w:pPr>
                    <w:adjustRightInd w:val="0"/>
                    <w:snapToGrid w:val="0"/>
                    <w:ind w:right="92"/>
                    <w:jc w:val="center"/>
                    <w:rPr>
                      <w:bCs/>
                      <w:szCs w:val="21"/>
                    </w:rPr>
                  </w:pPr>
                </w:p>
              </w:tc>
              <w:tc>
                <w:tcPr>
                  <w:tcW w:w="806" w:type="dxa"/>
                  <w:vMerge w:val="continue"/>
                  <w:vAlign w:val="center"/>
                </w:tcPr>
                <w:p>
                  <w:pPr>
                    <w:adjustRightInd w:val="0"/>
                    <w:snapToGrid w:val="0"/>
                    <w:ind w:right="92"/>
                    <w:jc w:val="center"/>
                    <w:rPr>
                      <w:bCs/>
                      <w:szCs w:val="21"/>
                    </w:rPr>
                  </w:pPr>
                </w:p>
              </w:tc>
              <w:tc>
                <w:tcPr>
                  <w:tcW w:w="1985" w:type="dxa"/>
                  <w:vAlign w:val="center"/>
                </w:tcPr>
                <w:p>
                  <w:pPr>
                    <w:adjustRightInd w:val="0"/>
                    <w:snapToGrid w:val="0"/>
                    <w:ind w:right="92"/>
                    <w:jc w:val="center"/>
                    <w:rPr>
                      <w:b/>
                      <w:szCs w:val="21"/>
                    </w:rPr>
                  </w:pPr>
                  <w:r>
                    <w:rPr>
                      <w:b/>
                      <w:szCs w:val="21"/>
                    </w:rPr>
                    <w:t>日平均浓度范围</w:t>
                  </w:r>
                </w:p>
              </w:tc>
              <w:tc>
                <w:tcPr>
                  <w:tcW w:w="1298" w:type="dxa"/>
                  <w:vAlign w:val="center"/>
                </w:tcPr>
                <w:p>
                  <w:pPr>
                    <w:adjustRightInd w:val="0"/>
                    <w:snapToGrid w:val="0"/>
                    <w:ind w:right="92"/>
                    <w:jc w:val="center"/>
                    <w:rPr>
                      <w:b/>
                      <w:szCs w:val="21"/>
                    </w:rPr>
                  </w:pPr>
                  <w:r>
                    <w:rPr>
                      <w:b/>
                      <w:szCs w:val="21"/>
                    </w:rPr>
                    <w:t>10～100</w:t>
                  </w:r>
                </w:p>
              </w:tc>
              <w:tc>
                <w:tcPr>
                  <w:tcW w:w="1253" w:type="dxa"/>
                  <w:vAlign w:val="center"/>
                </w:tcPr>
                <w:p>
                  <w:pPr>
                    <w:adjustRightInd w:val="0"/>
                    <w:snapToGrid w:val="0"/>
                    <w:ind w:right="92"/>
                    <w:jc w:val="center"/>
                    <w:rPr>
                      <w:b/>
                      <w:szCs w:val="21"/>
                    </w:rPr>
                  </w:pPr>
                  <w:r>
                    <w:rPr>
                      <w:b/>
                      <w:szCs w:val="21"/>
                    </w:rPr>
                    <w:t>80</w:t>
                  </w:r>
                </w:p>
              </w:tc>
              <w:tc>
                <w:tcPr>
                  <w:tcW w:w="1187" w:type="dxa"/>
                  <w:vAlign w:val="center"/>
                </w:tcPr>
                <w:p>
                  <w:pPr>
                    <w:adjustRightInd w:val="0"/>
                    <w:snapToGrid w:val="0"/>
                    <w:ind w:right="92"/>
                    <w:jc w:val="center"/>
                    <w:rPr>
                      <w:b/>
                      <w:szCs w:val="21"/>
                    </w:rPr>
                  </w:pPr>
                  <w:r>
                    <w:rPr>
                      <w:b/>
                      <w:szCs w:val="21"/>
                    </w:rPr>
                    <w:t>0.25</w:t>
                  </w:r>
                </w:p>
              </w:tc>
              <w:tc>
                <w:tcPr>
                  <w:tcW w:w="1181" w:type="dxa"/>
                  <w:vAlign w:val="center"/>
                </w:tcPr>
                <w:p>
                  <w:pPr>
                    <w:adjustRightInd w:val="0"/>
                    <w:snapToGrid w:val="0"/>
                    <w:ind w:right="92"/>
                    <w:jc w:val="center"/>
                    <w:rPr>
                      <w:b/>
                      <w:szCs w:val="21"/>
                    </w:rPr>
                  </w:pPr>
                  <w:r>
                    <w:rPr>
                      <w:b/>
                      <w:szCs w:val="21"/>
                    </w:rPr>
                    <w:t>超标</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7" w:type="dxa"/>
                  <w:vMerge w:val="continue"/>
                  <w:vAlign w:val="center"/>
                </w:tcPr>
                <w:p>
                  <w:pPr>
                    <w:adjustRightInd w:val="0"/>
                    <w:snapToGrid w:val="0"/>
                    <w:ind w:right="92"/>
                    <w:jc w:val="center"/>
                    <w:rPr>
                      <w:bCs/>
                      <w:szCs w:val="21"/>
                    </w:rPr>
                  </w:pPr>
                </w:p>
              </w:tc>
              <w:tc>
                <w:tcPr>
                  <w:tcW w:w="806" w:type="dxa"/>
                  <w:vMerge w:val="restart"/>
                  <w:vAlign w:val="center"/>
                </w:tcPr>
                <w:p>
                  <w:pPr>
                    <w:adjustRightInd w:val="0"/>
                    <w:snapToGrid w:val="0"/>
                    <w:ind w:right="92"/>
                    <w:jc w:val="center"/>
                    <w:rPr>
                      <w:bCs/>
                      <w:szCs w:val="21"/>
                    </w:rPr>
                  </w:pPr>
                  <w:r>
                    <w:rPr>
                      <w:bCs/>
                      <w:szCs w:val="21"/>
                    </w:rPr>
                    <w:t>PM</w:t>
                  </w:r>
                  <w:r>
                    <w:rPr>
                      <w:bCs/>
                      <w:szCs w:val="21"/>
                      <w:vertAlign w:val="subscript"/>
                    </w:rPr>
                    <w:t>10</w:t>
                  </w:r>
                </w:p>
              </w:tc>
              <w:tc>
                <w:tcPr>
                  <w:tcW w:w="1985" w:type="dxa"/>
                  <w:vAlign w:val="center"/>
                </w:tcPr>
                <w:p>
                  <w:pPr>
                    <w:adjustRightInd w:val="0"/>
                    <w:snapToGrid w:val="0"/>
                    <w:ind w:right="92"/>
                    <w:jc w:val="center"/>
                    <w:rPr>
                      <w:bCs/>
                      <w:szCs w:val="21"/>
                    </w:rPr>
                  </w:pPr>
                  <w:r>
                    <w:rPr>
                      <w:bCs/>
                      <w:szCs w:val="21"/>
                    </w:rPr>
                    <w:t>年平均浓度</w:t>
                  </w:r>
                </w:p>
              </w:tc>
              <w:tc>
                <w:tcPr>
                  <w:tcW w:w="1298" w:type="dxa"/>
                  <w:vAlign w:val="center"/>
                </w:tcPr>
                <w:p>
                  <w:pPr>
                    <w:adjustRightInd w:val="0"/>
                    <w:snapToGrid w:val="0"/>
                    <w:ind w:right="92"/>
                    <w:jc w:val="center"/>
                    <w:rPr>
                      <w:bCs/>
                      <w:szCs w:val="21"/>
                    </w:rPr>
                  </w:pPr>
                  <w:r>
                    <w:rPr>
                      <w:bCs/>
                      <w:szCs w:val="21"/>
                    </w:rPr>
                    <w:t>61</w:t>
                  </w:r>
                </w:p>
              </w:tc>
              <w:tc>
                <w:tcPr>
                  <w:tcW w:w="1253" w:type="dxa"/>
                  <w:vAlign w:val="center"/>
                </w:tcPr>
                <w:p>
                  <w:pPr>
                    <w:adjustRightInd w:val="0"/>
                    <w:snapToGrid w:val="0"/>
                    <w:ind w:right="92"/>
                    <w:jc w:val="center"/>
                    <w:rPr>
                      <w:bCs/>
                      <w:szCs w:val="21"/>
                    </w:rPr>
                  </w:pPr>
                  <w:r>
                    <w:rPr>
                      <w:bCs/>
                      <w:szCs w:val="21"/>
                    </w:rPr>
                    <w:t>70</w:t>
                  </w:r>
                </w:p>
              </w:tc>
              <w:tc>
                <w:tcPr>
                  <w:tcW w:w="1187" w:type="dxa"/>
                  <w:vAlign w:val="center"/>
                </w:tcPr>
                <w:p>
                  <w:pPr>
                    <w:adjustRightInd w:val="0"/>
                    <w:snapToGrid w:val="0"/>
                    <w:ind w:right="92"/>
                    <w:jc w:val="center"/>
                    <w:rPr>
                      <w:bCs/>
                      <w:szCs w:val="21"/>
                    </w:rPr>
                  </w:pPr>
                  <w:r>
                    <w:rPr>
                      <w:bCs/>
                      <w:szCs w:val="21"/>
                    </w:rPr>
                    <w:t>/</w:t>
                  </w:r>
                </w:p>
              </w:tc>
              <w:tc>
                <w:tcPr>
                  <w:tcW w:w="1181" w:type="dxa"/>
                  <w:vAlign w:val="center"/>
                </w:tcPr>
                <w:p>
                  <w:pPr>
                    <w:adjustRightInd w:val="0"/>
                    <w:snapToGrid w:val="0"/>
                    <w:ind w:right="92"/>
                    <w:jc w:val="center"/>
                    <w:rPr>
                      <w:bCs/>
                      <w:szCs w:val="21"/>
                      <w:highlight w:val="yellow"/>
                    </w:rPr>
                  </w:pPr>
                  <w:r>
                    <w:rPr>
                      <w:bCs/>
                      <w:szCs w:val="21"/>
                    </w:rPr>
                    <w:t>达标</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7" w:type="dxa"/>
                  <w:vMerge w:val="continue"/>
                  <w:vAlign w:val="center"/>
                </w:tcPr>
                <w:p>
                  <w:pPr>
                    <w:adjustRightInd w:val="0"/>
                    <w:snapToGrid w:val="0"/>
                    <w:ind w:right="92"/>
                    <w:jc w:val="center"/>
                    <w:rPr>
                      <w:bCs/>
                      <w:szCs w:val="21"/>
                    </w:rPr>
                  </w:pPr>
                </w:p>
              </w:tc>
              <w:tc>
                <w:tcPr>
                  <w:tcW w:w="806" w:type="dxa"/>
                  <w:vMerge w:val="continue"/>
                  <w:vAlign w:val="center"/>
                </w:tcPr>
                <w:p>
                  <w:pPr>
                    <w:adjustRightInd w:val="0"/>
                    <w:snapToGrid w:val="0"/>
                    <w:ind w:right="92"/>
                    <w:jc w:val="center"/>
                    <w:rPr>
                      <w:bCs/>
                      <w:szCs w:val="21"/>
                    </w:rPr>
                  </w:pPr>
                </w:p>
              </w:tc>
              <w:tc>
                <w:tcPr>
                  <w:tcW w:w="1985" w:type="dxa"/>
                  <w:vAlign w:val="center"/>
                </w:tcPr>
                <w:p>
                  <w:pPr>
                    <w:adjustRightInd w:val="0"/>
                    <w:snapToGrid w:val="0"/>
                    <w:ind w:right="92"/>
                    <w:jc w:val="center"/>
                    <w:rPr>
                      <w:b/>
                      <w:szCs w:val="21"/>
                    </w:rPr>
                  </w:pPr>
                  <w:r>
                    <w:rPr>
                      <w:b/>
                      <w:szCs w:val="21"/>
                    </w:rPr>
                    <w:t>日平均浓度范围</w:t>
                  </w:r>
                </w:p>
              </w:tc>
              <w:tc>
                <w:tcPr>
                  <w:tcW w:w="1298" w:type="dxa"/>
                  <w:vAlign w:val="center"/>
                </w:tcPr>
                <w:p>
                  <w:pPr>
                    <w:adjustRightInd w:val="0"/>
                    <w:snapToGrid w:val="0"/>
                    <w:ind w:right="92"/>
                    <w:jc w:val="center"/>
                    <w:rPr>
                      <w:b/>
                      <w:szCs w:val="21"/>
                    </w:rPr>
                  </w:pPr>
                  <w:r>
                    <w:rPr>
                      <w:b/>
                      <w:szCs w:val="21"/>
                    </w:rPr>
                    <w:t>11～201</w:t>
                  </w:r>
                </w:p>
              </w:tc>
              <w:tc>
                <w:tcPr>
                  <w:tcW w:w="1253" w:type="dxa"/>
                  <w:vAlign w:val="center"/>
                </w:tcPr>
                <w:p>
                  <w:pPr>
                    <w:adjustRightInd w:val="0"/>
                    <w:snapToGrid w:val="0"/>
                    <w:ind w:right="92"/>
                    <w:jc w:val="center"/>
                    <w:rPr>
                      <w:b/>
                      <w:szCs w:val="21"/>
                    </w:rPr>
                  </w:pPr>
                  <w:r>
                    <w:rPr>
                      <w:b/>
                      <w:szCs w:val="21"/>
                    </w:rPr>
                    <w:t>150</w:t>
                  </w:r>
                </w:p>
              </w:tc>
              <w:tc>
                <w:tcPr>
                  <w:tcW w:w="1187" w:type="dxa"/>
                  <w:vAlign w:val="center"/>
                </w:tcPr>
                <w:p>
                  <w:pPr>
                    <w:adjustRightInd w:val="0"/>
                    <w:snapToGrid w:val="0"/>
                    <w:ind w:right="92"/>
                    <w:jc w:val="center"/>
                    <w:rPr>
                      <w:b/>
                      <w:szCs w:val="21"/>
                    </w:rPr>
                  </w:pPr>
                  <w:r>
                    <w:rPr>
                      <w:b/>
                      <w:szCs w:val="21"/>
                    </w:rPr>
                    <w:t>0.34</w:t>
                  </w:r>
                </w:p>
              </w:tc>
              <w:tc>
                <w:tcPr>
                  <w:tcW w:w="1181" w:type="dxa"/>
                  <w:vAlign w:val="center"/>
                </w:tcPr>
                <w:p>
                  <w:pPr>
                    <w:adjustRightInd w:val="0"/>
                    <w:snapToGrid w:val="0"/>
                    <w:ind w:right="92"/>
                    <w:jc w:val="center"/>
                    <w:rPr>
                      <w:b/>
                      <w:szCs w:val="21"/>
                    </w:rPr>
                  </w:pPr>
                  <w:r>
                    <w:rPr>
                      <w:b/>
                      <w:szCs w:val="21"/>
                    </w:rPr>
                    <w:t>超标</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7" w:type="dxa"/>
                  <w:vMerge w:val="continue"/>
                  <w:vAlign w:val="center"/>
                </w:tcPr>
                <w:p>
                  <w:pPr>
                    <w:adjustRightInd w:val="0"/>
                    <w:snapToGrid w:val="0"/>
                    <w:ind w:right="92"/>
                    <w:jc w:val="center"/>
                    <w:rPr>
                      <w:bCs/>
                      <w:szCs w:val="21"/>
                    </w:rPr>
                  </w:pPr>
                </w:p>
              </w:tc>
              <w:tc>
                <w:tcPr>
                  <w:tcW w:w="806" w:type="dxa"/>
                  <w:vMerge w:val="restart"/>
                  <w:vAlign w:val="center"/>
                </w:tcPr>
                <w:p>
                  <w:pPr>
                    <w:adjustRightInd w:val="0"/>
                    <w:snapToGrid w:val="0"/>
                    <w:ind w:right="92"/>
                    <w:jc w:val="center"/>
                    <w:rPr>
                      <w:bCs/>
                      <w:szCs w:val="21"/>
                    </w:rPr>
                  </w:pPr>
                  <w:r>
                    <w:rPr>
                      <w:bCs/>
                      <w:szCs w:val="21"/>
                    </w:rPr>
                    <w:t>PM</w:t>
                  </w:r>
                  <w:r>
                    <w:rPr>
                      <w:bCs/>
                      <w:szCs w:val="21"/>
                      <w:vertAlign w:val="subscript"/>
                    </w:rPr>
                    <w:t>2.5</w:t>
                  </w:r>
                </w:p>
              </w:tc>
              <w:tc>
                <w:tcPr>
                  <w:tcW w:w="1985" w:type="dxa"/>
                  <w:vAlign w:val="center"/>
                </w:tcPr>
                <w:p>
                  <w:pPr>
                    <w:adjustRightInd w:val="0"/>
                    <w:snapToGrid w:val="0"/>
                    <w:ind w:right="92"/>
                    <w:jc w:val="center"/>
                    <w:rPr>
                      <w:b/>
                      <w:szCs w:val="21"/>
                    </w:rPr>
                  </w:pPr>
                  <w:r>
                    <w:rPr>
                      <w:b/>
                      <w:szCs w:val="21"/>
                    </w:rPr>
                    <w:t>年平均浓度</w:t>
                  </w:r>
                </w:p>
              </w:tc>
              <w:tc>
                <w:tcPr>
                  <w:tcW w:w="1298" w:type="dxa"/>
                  <w:vAlign w:val="center"/>
                </w:tcPr>
                <w:p>
                  <w:pPr>
                    <w:adjustRightInd w:val="0"/>
                    <w:snapToGrid w:val="0"/>
                    <w:ind w:right="92"/>
                    <w:jc w:val="center"/>
                    <w:rPr>
                      <w:b/>
                      <w:szCs w:val="21"/>
                    </w:rPr>
                  </w:pPr>
                  <w:r>
                    <w:rPr>
                      <w:b/>
                      <w:szCs w:val="21"/>
                    </w:rPr>
                    <w:t>39</w:t>
                  </w:r>
                </w:p>
              </w:tc>
              <w:tc>
                <w:tcPr>
                  <w:tcW w:w="1253" w:type="dxa"/>
                  <w:vAlign w:val="center"/>
                </w:tcPr>
                <w:p>
                  <w:pPr>
                    <w:adjustRightInd w:val="0"/>
                    <w:snapToGrid w:val="0"/>
                    <w:ind w:right="92"/>
                    <w:jc w:val="center"/>
                    <w:rPr>
                      <w:b/>
                      <w:szCs w:val="21"/>
                    </w:rPr>
                  </w:pPr>
                  <w:r>
                    <w:rPr>
                      <w:b/>
                      <w:szCs w:val="21"/>
                    </w:rPr>
                    <w:t>35</w:t>
                  </w:r>
                </w:p>
              </w:tc>
              <w:tc>
                <w:tcPr>
                  <w:tcW w:w="1187" w:type="dxa"/>
                  <w:vAlign w:val="center"/>
                </w:tcPr>
                <w:p>
                  <w:pPr>
                    <w:adjustRightInd w:val="0"/>
                    <w:snapToGrid w:val="0"/>
                    <w:ind w:right="92"/>
                    <w:jc w:val="center"/>
                    <w:rPr>
                      <w:b/>
                      <w:szCs w:val="21"/>
                    </w:rPr>
                  </w:pPr>
                  <w:r>
                    <w:rPr>
                      <w:b/>
                      <w:szCs w:val="21"/>
                    </w:rPr>
                    <w:t>0.11</w:t>
                  </w:r>
                </w:p>
              </w:tc>
              <w:tc>
                <w:tcPr>
                  <w:tcW w:w="1181" w:type="dxa"/>
                  <w:vAlign w:val="center"/>
                </w:tcPr>
                <w:p>
                  <w:pPr>
                    <w:adjustRightInd w:val="0"/>
                    <w:snapToGrid w:val="0"/>
                    <w:ind w:right="92"/>
                    <w:jc w:val="center"/>
                    <w:rPr>
                      <w:b/>
                      <w:szCs w:val="21"/>
                    </w:rPr>
                  </w:pPr>
                  <w:r>
                    <w:rPr>
                      <w:b/>
                      <w:szCs w:val="21"/>
                    </w:rPr>
                    <w:t>超标</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7" w:type="dxa"/>
                  <w:vMerge w:val="continue"/>
                  <w:vAlign w:val="center"/>
                </w:tcPr>
                <w:p>
                  <w:pPr>
                    <w:adjustRightInd w:val="0"/>
                    <w:snapToGrid w:val="0"/>
                    <w:ind w:right="92"/>
                    <w:jc w:val="center"/>
                    <w:rPr>
                      <w:bCs/>
                      <w:szCs w:val="21"/>
                    </w:rPr>
                  </w:pPr>
                </w:p>
              </w:tc>
              <w:tc>
                <w:tcPr>
                  <w:tcW w:w="806" w:type="dxa"/>
                  <w:vMerge w:val="continue"/>
                  <w:vAlign w:val="center"/>
                </w:tcPr>
                <w:p>
                  <w:pPr>
                    <w:adjustRightInd w:val="0"/>
                    <w:snapToGrid w:val="0"/>
                    <w:ind w:right="92"/>
                    <w:jc w:val="center"/>
                    <w:rPr>
                      <w:bCs/>
                      <w:szCs w:val="21"/>
                    </w:rPr>
                  </w:pPr>
                </w:p>
              </w:tc>
              <w:tc>
                <w:tcPr>
                  <w:tcW w:w="1985" w:type="dxa"/>
                  <w:vAlign w:val="center"/>
                </w:tcPr>
                <w:p>
                  <w:pPr>
                    <w:adjustRightInd w:val="0"/>
                    <w:snapToGrid w:val="0"/>
                    <w:ind w:right="92"/>
                    <w:jc w:val="center"/>
                    <w:rPr>
                      <w:b/>
                      <w:szCs w:val="21"/>
                    </w:rPr>
                  </w:pPr>
                  <w:r>
                    <w:rPr>
                      <w:b/>
                      <w:szCs w:val="21"/>
                    </w:rPr>
                    <w:t>日平均浓度范围</w:t>
                  </w:r>
                </w:p>
              </w:tc>
              <w:tc>
                <w:tcPr>
                  <w:tcW w:w="1298" w:type="dxa"/>
                  <w:vAlign w:val="center"/>
                </w:tcPr>
                <w:p>
                  <w:pPr>
                    <w:adjustRightInd w:val="0"/>
                    <w:snapToGrid w:val="0"/>
                    <w:ind w:right="92"/>
                    <w:jc w:val="center"/>
                    <w:rPr>
                      <w:b/>
                      <w:szCs w:val="21"/>
                    </w:rPr>
                  </w:pPr>
                  <w:r>
                    <w:rPr>
                      <w:b/>
                      <w:szCs w:val="21"/>
                    </w:rPr>
                    <w:t>8～159</w:t>
                  </w:r>
                </w:p>
              </w:tc>
              <w:tc>
                <w:tcPr>
                  <w:tcW w:w="1253" w:type="dxa"/>
                  <w:vAlign w:val="center"/>
                </w:tcPr>
                <w:p>
                  <w:pPr>
                    <w:adjustRightInd w:val="0"/>
                    <w:snapToGrid w:val="0"/>
                    <w:ind w:right="92"/>
                    <w:jc w:val="center"/>
                    <w:rPr>
                      <w:b/>
                      <w:szCs w:val="21"/>
                    </w:rPr>
                  </w:pPr>
                  <w:r>
                    <w:rPr>
                      <w:b/>
                      <w:szCs w:val="21"/>
                    </w:rPr>
                    <w:t>75</w:t>
                  </w:r>
                </w:p>
              </w:tc>
              <w:tc>
                <w:tcPr>
                  <w:tcW w:w="1187" w:type="dxa"/>
                  <w:vAlign w:val="center"/>
                </w:tcPr>
                <w:p>
                  <w:pPr>
                    <w:adjustRightInd w:val="0"/>
                    <w:snapToGrid w:val="0"/>
                    <w:ind w:right="92"/>
                    <w:jc w:val="center"/>
                    <w:rPr>
                      <w:b/>
                      <w:szCs w:val="21"/>
                    </w:rPr>
                  </w:pPr>
                  <w:r>
                    <w:rPr>
                      <w:b/>
                      <w:szCs w:val="21"/>
                    </w:rPr>
                    <w:t>1.12</w:t>
                  </w:r>
                </w:p>
              </w:tc>
              <w:tc>
                <w:tcPr>
                  <w:tcW w:w="1181" w:type="dxa"/>
                  <w:vAlign w:val="center"/>
                </w:tcPr>
                <w:p>
                  <w:pPr>
                    <w:adjustRightInd w:val="0"/>
                    <w:snapToGrid w:val="0"/>
                    <w:ind w:right="92"/>
                    <w:jc w:val="center"/>
                    <w:rPr>
                      <w:b/>
                      <w:szCs w:val="21"/>
                    </w:rPr>
                  </w:pPr>
                  <w:r>
                    <w:rPr>
                      <w:b/>
                      <w:szCs w:val="21"/>
                    </w:rPr>
                    <w:t>超标</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7" w:type="dxa"/>
                  <w:vMerge w:val="continue"/>
                  <w:vAlign w:val="center"/>
                </w:tcPr>
                <w:p>
                  <w:pPr>
                    <w:adjustRightInd w:val="0"/>
                    <w:snapToGrid w:val="0"/>
                    <w:ind w:right="92"/>
                    <w:jc w:val="center"/>
                    <w:rPr>
                      <w:bCs/>
                      <w:szCs w:val="21"/>
                    </w:rPr>
                  </w:pPr>
                </w:p>
              </w:tc>
              <w:tc>
                <w:tcPr>
                  <w:tcW w:w="806" w:type="dxa"/>
                  <w:vMerge w:val="restart"/>
                  <w:vAlign w:val="center"/>
                </w:tcPr>
                <w:p>
                  <w:pPr>
                    <w:adjustRightInd w:val="0"/>
                    <w:snapToGrid w:val="0"/>
                    <w:ind w:right="92"/>
                    <w:jc w:val="center"/>
                    <w:rPr>
                      <w:bCs/>
                      <w:szCs w:val="21"/>
                    </w:rPr>
                  </w:pPr>
                  <w:r>
                    <w:rPr>
                      <w:bCs/>
                      <w:szCs w:val="21"/>
                    </w:rPr>
                    <w:t>CO</w:t>
                  </w:r>
                </w:p>
              </w:tc>
              <w:tc>
                <w:tcPr>
                  <w:tcW w:w="1985" w:type="dxa"/>
                  <w:vAlign w:val="center"/>
                </w:tcPr>
                <w:p>
                  <w:pPr>
                    <w:adjustRightInd w:val="0"/>
                    <w:snapToGrid w:val="0"/>
                    <w:ind w:right="92"/>
                    <w:jc w:val="center"/>
                    <w:rPr>
                      <w:bCs/>
                      <w:szCs w:val="21"/>
                    </w:rPr>
                  </w:pPr>
                  <w:r>
                    <w:rPr>
                      <w:bCs/>
                      <w:szCs w:val="21"/>
                    </w:rPr>
                    <w:t>日平均第95百位</w:t>
                  </w:r>
                </w:p>
              </w:tc>
              <w:tc>
                <w:tcPr>
                  <w:tcW w:w="1298" w:type="dxa"/>
                  <w:vAlign w:val="center"/>
                </w:tcPr>
                <w:p>
                  <w:pPr>
                    <w:adjustRightInd w:val="0"/>
                    <w:snapToGrid w:val="0"/>
                    <w:ind w:right="92"/>
                    <w:jc w:val="center"/>
                    <w:rPr>
                      <w:bCs/>
                      <w:szCs w:val="21"/>
                    </w:rPr>
                  </w:pPr>
                  <w:r>
                    <w:rPr>
                      <w:bCs/>
                      <w:szCs w:val="21"/>
                    </w:rPr>
                    <w:t>1200</w:t>
                  </w:r>
                </w:p>
              </w:tc>
              <w:tc>
                <w:tcPr>
                  <w:tcW w:w="1253" w:type="dxa"/>
                  <w:vAlign w:val="center"/>
                </w:tcPr>
                <w:p>
                  <w:pPr>
                    <w:adjustRightInd w:val="0"/>
                    <w:snapToGrid w:val="0"/>
                    <w:ind w:right="92"/>
                    <w:jc w:val="center"/>
                    <w:rPr>
                      <w:bCs/>
                      <w:szCs w:val="21"/>
                    </w:rPr>
                  </w:pPr>
                  <w:r>
                    <w:rPr>
                      <w:bCs/>
                      <w:szCs w:val="21"/>
                    </w:rPr>
                    <w:t>4000</w:t>
                  </w:r>
                </w:p>
              </w:tc>
              <w:tc>
                <w:tcPr>
                  <w:tcW w:w="1187" w:type="dxa"/>
                  <w:vAlign w:val="center"/>
                </w:tcPr>
                <w:p>
                  <w:pPr>
                    <w:adjustRightInd w:val="0"/>
                    <w:snapToGrid w:val="0"/>
                    <w:ind w:right="92"/>
                    <w:jc w:val="center"/>
                    <w:rPr>
                      <w:bCs/>
                      <w:szCs w:val="21"/>
                    </w:rPr>
                  </w:pPr>
                  <w:r>
                    <w:rPr>
                      <w:bCs/>
                      <w:szCs w:val="21"/>
                    </w:rPr>
                    <w:t>/</w:t>
                  </w:r>
                </w:p>
              </w:tc>
              <w:tc>
                <w:tcPr>
                  <w:tcW w:w="1181" w:type="dxa"/>
                  <w:vAlign w:val="center"/>
                </w:tcPr>
                <w:p>
                  <w:pPr>
                    <w:adjustRightInd w:val="0"/>
                    <w:snapToGrid w:val="0"/>
                    <w:ind w:right="92"/>
                    <w:jc w:val="center"/>
                    <w:rPr>
                      <w:bCs/>
                      <w:szCs w:val="21"/>
                    </w:rPr>
                  </w:pPr>
                  <w:r>
                    <w:rPr>
                      <w:bCs/>
                      <w:szCs w:val="21"/>
                    </w:rPr>
                    <w:t>达标</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7" w:type="dxa"/>
                  <w:vMerge w:val="continue"/>
                  <w:vAlign w:val="center"/>
                </w:tcPr>
                <w:p>
                  <w:pPr>
                    <w:adjustRightInd w:val="0"/>
                    <w:snapToGrid w:val="0"/>
                    <w:ind w:right="92"/>
                    <w:jc w:val="center"/>
                    <w:rPr>
                      <w:bCs/>
                      <w:szCs w:val="21"/>
                    </w:rPr>
                  </w:pPr>
                </w:p>
              </w:tc>
              <w:tc>
                <w:tcPr>
                  <w:tcW w:w="806" w:type="dxa"/>
                  <w:vMerge w:val="continue"/>
                  <w:vAlign w:val="center"/>
                </w:tcPr>
                <w:p>
                  <w:pPr>
                    <w:adjustRightInd w:val="0"/>
                    <w:snapToGrid w:val="0"/>
                    <w:ind w:right="92"/>
                    <w:jc w:val="center"/>
                    <w:rPr>
                      <w:bCs/>
                      <w:szCs w:val="21"/>
                    </w:rPr>
                  </w:pPr>
                </w:p>
              </w:tc>
              <w:tc>
                <w:tcPr>
                  <w:tcW w:w="1985" w:type="dxa"/>
                  <w:vAlign w:val="center"/>
                </w:tcPr>
                <w:p>
                  <w:pPr>
                    <w:adjustRightInd w:val="0"/>
                    <w:snapToGrid w:val="0"/>
                    <w:ind w:right="92"/>
                    <w:jc w:val="center"/>
                    <w:rPr>
                      <w:bCs/>
                      <w:szCs w:val="21"/>
                    </w:rPr>
                  </w:pPr>
                  <w:r>
                    <w:rPr>
                      <w:bCs/>
                      <w:szCs w:val="21"/>
                    </w:rPr>
                    <w:t>日平均浓度范围</w:t>
                  </w:r>
                </w:p>
              </w:tc>
              <w:tc>
                <w:tcPr>
                  <w:tcW w:w="1298" w:type="dxa"/>
                  <w:vAlign w:val="center"/>
                </w:tcPr>
                <w:p>
                  <w:pPr>
                    <w:adjustRightInd w:val="0"/>
                    <w:snapToGrid w:val="0"/>
                    <w:ind w:right="92"/>
                    <w:jc w:val="center"/>
                    <w:rPr>
                      <w:bCs/>
                      <w:szCs w:val="21"/>
                    </w:rPr>
                  </w:pPr>
                  <w:r>
                    <w:rPr>
                      <w:bCs/>
                      <w:szCs w:val="21"/>
                    </w:rPr>
                    <w:t>500～1700</w:t>
                  </w:r>
                </w:p>
              </w:tc>
              <w:tc>
                <w:tcPr>
                  <w:tcW w:w="1253" w:type="dxa"/>
                  <w:vAlign w:val="center"/>
                </w:tcPr>
                <w:p>
                  <w:pPr>
                    <w:adjustRightInd w:val="0"/>
                    <w:snapToGrid w:val="0"/>
                    <w:ind w:right="92"/>
                    <w:jc w:val="center"/>
                    <w:rPr>
                      <w:bCs/>
                      <w:szCs w:val="21"/>
                    </w:rPr>
                  </w:pPr>
                  <w:r>
                    <w:rPr>
                      <w:bCs/>
                      <w:szCs w:val="21"/>
                    </w:rPr>
                    <w:t>4000</w:t>
                  </w:r>
                </w:p>
              </w:tc>
              <w:tc>
                <w:tcPr>
                  <w:tcW w:w="1187" w:type="dxa"/>
                  <w:vAlign w:val="center"/>
                </w:tcPr>
                <w:p>
                  <w:pPr>
                    <w:adjustRightInd w:val="0"/>
                    <w:snapToGrid w:val="0"/>
                    <w:ind w:right="92"/>
                    <w:jc w:val="center"/>
                    <w:rPr>
                      <w:bCs/>
                      <w:szCs w:val="21"/>
                    </w:rPr>
                  </w:pPr>
                  <w:r>
                    <w:rPr>
                      <w:bCs/>
                      <w:szCs w:val="21"/>
                    </w:rPr>
                    <w:t>/</w:t>
                  </w:r>
                </w:p>
              </w:tc>
              <w:tc>
                <w:tcPr>
                  <w:tcW w:w="1181" w:type="dxa"/>
                  <w:vAlign w:val="center"/>
                </w:tcPr>
                <w:p>
                  <w:pPr>
                    <w:adjustRightInd w:val="0"/>
                    <w:snapToGrid w:val="0"/>
                    <w:ind w:right="92"/>
                    <w:jc w:val="center"/>
                    <w:rPr>
                      <w:bCs/>
                      <w:szCs w:val="21"/>
                    </w:rPr>
                  </w:pPr>
                  <w:r>
                    <w:rPr>
                      <w:bCs/>
                      <w:szCs w:val="21"/>
                    </w:rPr>
                    <w:t>达标</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7" w:type="dxa"/>
                  <w:vMerge w:val="continue"/>
                  <w:vAlign w:val="center"/>
                </w:tcPr>
                <w:p>
                  <w:pPr>
                    <w:adjustRightInd w:val="0"/>
                    <w:snapToGrid w:val="0"/>
                    <w:ind w:right="92"/>
                    <w:jc w:val="center"/>
                    <w:rPr>
                      <w:bCs/>
                      <w:szCs w:val="21"/>
                    </w:rPr>
                  </w:pPr>
                </w:p>
              </w:tc>
              <w:tc>
                <w:tcPr>
                  <w:tcW w:w="806" w:type="dxa"/>
                  <w:vAlign w:val="center"/>
                </w:tcPr>
                <w:p>
                  <w:pPr>
                    <w:adjustRightInd w:val="0"/>
                    <w:snapToGrid w:val="0"/>
                    <w:ind w:right="92"/>
                    <w:jc w:val="center"/>
                    <w:rPr>
                      <w:bCs/>
                      <w:szCs w:val="21"/>
                    </w:rPr>
                  </w:pPr>
                  <w:r>
                    <w:rPr>
                      <w:bCs/>
                      <w:szCs w:val="21"/>
                    </w:rPr>
                    <w:t>O</w:t>
                  </w:r>
                  <w:r>
                    <w:rPr>
                      <w:bCs/>
                      <w:szCs w:val="21"/>
                      <w:vertAlign w:val="subscript"/>
                    </w:rPr>
                    <w:t>3</w:t>
                  </w:r>
                </w:p>
              </w:tc>
              <w:tc>
                <w:tcPr>
                  <w:tcW w:w="1985" w:type="dxa"/>
                  <w:vAlign w:val="center"/>
                </w:tcPr>
                <w:p>
                  <w:pPr>
                    <w:adjustRightInd w:val="0"/>
                    <w:snapToGrid w:val="0"/>
                    <w:ind w:right="92"/>
                    <w:jc w:val="center"/>
                    <w:rPr>
                      <w:b/>
                      <w:szCs w:val="21"/>
                    </w:rPr>
                  </w:pPr>
                  <w:r>
                    <w:rPr>
                      <w:b/>
                      <w:szCs w:val="21"/>
                    </w:rPr>
                    <w:t>日最大8h滑动平均值第90百分位</w:t>
                  </w:r>
                </w:p>
              </w:tc>
              <w:tc>
                <w:tcPr>
                  <w:tcW w:w="1298" w:type="dxa"/>
                  <w:vAlign w:val="center"/>
                </w:tcPr>
                <w:p>
                  <w:pPr>
                    <w:adjustRightInd w:val="0"/>
                    <w:snapToGrid w:val="0"/>
                    <w:ind w:right="92"/>
                    <w:jc w:val="center"/>
                    <w:rPr>
                      <w:b/>
                      <w:szCs w:val="21"/>
                    </w:rPr>
                  </w:pPr>
                  <w:r>
                    <w:rPr>
                      <w:b/>
                      <w:szCs w:val="21"/>
                    </w:rPr>
                    <w:t>167</w:t>
                  </w:r>
                </w:p>
              </w:tc>
              <w:tc>
                <w:tcPr>
                  <w:tcW w:w="1253" w:type="dxa"/>
                  <w:vAlign w:val="center"/>
                </w:tcPr>
                <w:p>
                  <w:pPr>
                    <w:adjustRightInd w:val="0"/>
                    <w:snapToGrid w:val="0"/>
                    <w:ind w:right="92"/>
                    <w:jc w:val="center"/>
                    <w:rPr>
                      <w:b/>
                      <w:szCs w:val="21"/>
                    </w:rPr>
                  </w:pPr>
                  <w:r>
                    <w:rPr>
                      <w:b/>
                      <w:szCs w:val="21"/>
                    </w:rPr>
                    <w:t>160</w:t>
                  </w:r>
                </w:p>
              </w:tc>
              <w:tc>
                <w:tcPr>
                  <w:tcW w:w="1187" w:type="dxa"/>
                  <w:vAlign w:val="center"/>
                </w:tcPr>
                <w:p>
                  <w:pPr>
                    <w:adjustRightInd w:val="0"/>
                    <w:snapToGrid w:val="0"/>
                    <w:ind w:right="92"/>
                    <w:jc w:val="center"/>
                    <w:rPr>
                      <w:b/>
                      <w:szCs w:val="21"/>
                    </w:rPr>
                  </w:pPr>
                  <w:r>
                    <w:rPr>
                      <w:b/>
                      <w:szCs w:val="21"/>
                    </w:rPr>
                    <w:t>0.04</w:t>
                  </w:r>
                </w:p>
              </w:tc>
              <w:tc>
                <w:tcPr>
                  <w:tcW w:w="1181" w:type="dxa"/>
                  <w:vAlign w:val="center"/>
                </w:tcPr>
                <w:p>
                  <w:pPr>
                    <w:adjustRightInd w:val="0"/>
                    <w:snapToGrid w:val="0"/>
                    <w:ind w:right="92"/>
                    <w:jc w:val="center"/>
                    <w:rPr>
                      <w:b/>
                      <w:szCs w:val="21"/>
                    </w:rPr>
                  </w:pPr>
                  <w:r>
                    <w:rPr>
                      <w:b/>
                      <w:szCs w:val="21"/>
                    </w:rPr>
                    <w:t>超标</w:t>
                  </w:r>
                </w:p>
              </w:tc>
            </w:tr>
          </w:tbl>
          <w:p>
            <w:pPr>
              <w:spacing w:line="360" w:lineRule="auto"/>
              <w:ind w:firstLine="480" w:firstLineChars="200"/>
              <w:rPr>
                <w:sz w:val="24"/>
              </w:rPr>
            </w:pPr>
            <w:r>
              <w:rPr>
                <w:sz w:val="24"/>
              </w:rPr>
              <w:t>2020年常州市环境空气中SO</w:t>
            </w:r>
            <w:r>
              <w:rPr>
                <w:sz w:val="24"/>
                <w:vertAlign w:val="subscript"/>
              </w:rPr>
              <w:t>2</w:t>
            </w:r>
            <w:r>
              <w:rPr>
                <w:sz w:val="24"/>
              </w:rPr>
              <w:t>年均值与日均值、NO</w:t>
            </w:r>
            <w:r>
              <w:rPr>
                <w:sz w:val="24"/>
                <w:vertAlign w:val="subscript"/>
              </w:rPr>
              <w:t>2</w:t>
            </w:r>
            <w:r>
              <w:rPr>
                <w:sz w:val="24"/>
              </w:rPr>
              <w:t>年均值、PM</w:t>
            </w:r>
            <w:r>
              <w:rPr>
                <w:sz w:val="24"/>
                <w:vertAlign w:val="subscript"/>
              </w:rPr>
              <w:t>10</w:t>
            </w:r>
            <w:r>
              <w:rPr>
                <w:sz w:val="24"/>
              </w:rPr>
              <w:t>年均值和CO日均值均达到环境空气质量二级标准；NO</w:t>
            </w:r>
            <w:r>
              <w:rPr>
                <w:sz w:val="24"/>
                <w:vertAlign w:val="subscript"/>
              </w:rPr>
              <w:t>2</w:t>
            </w:r>
            <w:r>
              <w:rPr>
                <w:sz w:val="24"/>
              </w:rPr>
              <w:t>日均值、PM</w:t>
            </w:r>
            <w:r>
              <w:rPr>
                <w:sz w:val="24"/>
                <w:vertAlign w:val="subscript"/>
              </w:rPr>
              <w:t>10</w:t>
            </w:r>
            <w:r>
              <w:rPr>
                <w:sz w:val="24"/>
              </w:rPr>
              <w:t>日均值、PM</w:t>
            </w:r>
            <w:r>
              <w:rPr>
                <w:sz w:val="24"/>
                <w:vertAlign w:val="subscript"/>
              </w:rPr>
              <w:t>2.5</w:t>
            </w:r>
            <w:r>
              <w:rPr>
                <w:sz w:val="24"/>
              </w:rPr>
              <w:t>年均值和日均值、臭氧日最大8小时滑动均值均超过环境空气质量二级标准。项目所在区NO</w:t>
            </w:r>
            <w:r>
              <w:rPr>
                <w:sz w:val="24"/>
                <w:vertAlign w:val="subscript"/>
              </w:rPr>
              <w:t>2</w:t>
            </w:r>
            <w:r>
              <w:rPr>
                <w:sz w:val="24"/>
              </w:rPr>
              <w:t>、PM</w:t>
            </w:r>
            <w:r>
              <w:rPr>
                <w:sz w:val="24"/>
                <w:vertAlign w:val="subscript"/>
              </w:rPr>
              <w:t>10</w:t>
            </w:r>
            <w:r>
              <w:rPr>
                <w:sz w:val="24"/>
              </w:rPr>
              <w:t>、PM</w:t>
            </w:r>
            <w:r>
              <w:rPr>
                <w:sz w:val="24"/>
                <w:vertAlign w:val="subscript"/>
              </w:rPr>
              <w:t>2.5</w:t>
            </w:r>
            <w:r>
              <w:rPr>
                <w:sz w:val="24"/>
              </w:rPr>
              <w:t>、O</w:t>
            </w:r>
            <w:r>
              <w:rPr>
                <w:sz w:val="24"/>
                <w:vertAlign w:val="subscript"/>
              </w:rPr>
              <w:t>3</w:t>
            </w:r>
            <w:r>
              <w:rPr>
                <w:sz w:val="24"/>
              </w:rPr>
              <w:t>超标，因此判定为非达标区。</w:t>
            </w:r>
          </w:p>
          <w:p>
            <w:pPr>
              <w:spacing w:line="360" w:lineRule="auto"/>
              <w:ind w:firstLine="480" w:firstLineChars="200"/>
              <w:rPr>
                <w:sz w:val="24"/>
                <w:szCs w:val="22"/>
              </w:rPr>
            </w:pPr>
            <w:r>
              <w:rPr>
                <w:sz w:val="24"/>
                <w:szCs w:val="22"/>
              </w:rPr>
              <w:t>区域达标计划：</w:t>
            </w:r>
          </w:p>
          <w:p>
            <w:pPr>
              <w:spacing w:line="360" w:lineRule="auto"/>
              <w:ind w:firstLine="480" w:firstLineChars="200"/>
              <w:rPr>
                <w:sz w:val="24"/>
                <w:szCs w:val="22"/>
              </w:rPr>
            </w:pPr>
            <w:r>
              <w:rPr>
                <w:sz w:val="24"/>
                <w:szCs w:val="22"/>
              </w:rPr>
              <w:t>（一）生态环境部等机关发布关于印发《长三角地区2020-2021年秋冬季大气污染综合治理攻坚行动方案》的通知。</w:t>
            </w:r>
          </w:p>
          <w:p>
            <w:pPr>
              <w:spacing w:line="360" w:lineRule="auto"/>
              <w:ind w:firstLine="480" w:firstLineChars="200"/>
              <w:rPr>
                <w:sz w:val="24"/>
                <w:szCs w:val="22"/>
              </w:rPr>
            </w:pPr>
            <w:r>
              <w:rPr>
                <w:sz w:val="24"/>
                <w:szCs w:val="22"/>
              </w:rPr>
              <w:t>其中江苏省常州市2020-2021年秋冬季大气污染综合治理攻坚行动方案如下：</w:t>
            </w:r>
          </w:p>
          <w:p>
            <w:pPr>
              <w:spacing w:line="360" w:lineRule="auto"/>
              <w:ind w:firstLine="480" w:firstLineChars="200"/>
              <w:rPr>
                <w:sz w:val="24"/>
                <w:szCs w:val="22"/>
              </w:rPr>
            </w:pPr>
            <w:r>
              <w:rPr>
                <w:sz w:val="24"/>
                <w:szCs w:val="22"/>
              </w:rPr>
              <w:t>（1）产业结构调整中重点工作为：</w:t>
            </w:r>
          </w:p>
          <w:p>
            <w:pPr>
              <w:spacing w:line="360" w:lineRule="auto"/>
              <w:ind w:firstLine="480" w:firstLineChars="200"/>
              <w:rPr>
                <w:sz w:val="24"/>
                <w:szCs w:val="22"/>
              </w:rPr>
            </w:pPr>
            <w:r>
              <w:rPr>
                <w:sz w:val="24"/>
                <w:szCs w:val="22"/>
              </w:rPr>
              <w:t>①产业布局调整，2020年12月底完成常州金雅化工公司等10家企业搬迁改造；②“散乱污”企业和集群综合整治，2021年3月底前完成整治；③工业源污染治理，2020年12月底前完成常州东方特钢有限公司、中天钢铁集团有限公司、江苏申特钢铁有限公司，共计1630万吨粗钢产能年底前全面完成设施改造，尽快完成评估监测工作；2020年12月底前，完成常州录安洲长江码头有限公司等无组织排放的深度处理；2021年3月底前，完成滨江化工园区集中整治工作；④铸造行业综合整治，2021年3月底前，针对全市765家铸造企业开展排查，根据企业实际情况，制定分类整治方案；⑤工业炉窑废气深度治理，2020年12月底前，完成有色金属行业炉窑废气深度治理27台；⑥重点行业VOCs综合治理，2020年12月底前，完成源头替代、无组织排放控制、治污设施建设、旁路设置情况排查、储罐排查任务；⑦油品储运销综合治理，2020年12月底前完成20个加油站油气回收自动监控设备安装；⑧工业园区和企业集群VOCs综合治理，2020年12月底前，建设集中涂装中心1个，滨江化工园区建设监测预警监控体系，开展溯源分析；⑨自动监控设施安装，2020年12月底前，化工、工业涂装、包装印刷等重点企业主要排污口安装自动监控设设施共19套。</w:t>
            </w:r>
          </w:p>
          <w:p>
            <w:pPr>
              <w:spacing w:line="360" w:lineRule="auto"/>
              <w:ind w:firstLine="480" w:firstLineChars="200"/>
              <w:rPr>
                <w:sz w:val="24"/>
                <w:szCs w:val="22"/>
              </w:rPr>
            </w:pPr>
            <w:r>
              <w:rPr>
                <w:sz w:val="24"/>
                <w:szCs w:val="22"/>
              </w:rPr>
              <w:t>（2）能源结构调整主要工作：</w:t>
            </w:r>
          </w:p>
          <w:p>
            <w:pPr>
              <w:spacing w:line="360" w:lineRule="auto"/>
              <w:ind w:firstLine="480" w:firstLineChars="200"/>
              <w:rPr>
                <w:sz w:val="24"/>
                <w:szCs w:val="22"/>
              </w:rPr>
            </w:pPr>
            <w:r>
              <w:rPr>
                <w:sz w:val="24"/>
                <w:szCs w:val="22"/>
              </w:rPr>
              <w:t>①煤炭消费总量控制：2020年9月底前停运广源热电2.9万千万燃煤机组；</w:t>
            </w:r>
          </w:p>
          <w:p>
            <w:pPr>
              <w:spacing w:line="360" w:lineRule="auto"/>
              <w:ind w:firstLine="480" w:firstLineChars="200"/>
              <w:rPr>
                <w:sz w:val="24"/>
                <w:szCs w:val="22"/>
              </w:rPr>
            </w:pPr>
            <w:r>
              <w:rPr>
                <w:sz w:val="24"/>
                <w:szCs w:val="22"/>
              </w:rPr>
              <w:t>②锅炉综合治理：2020年12月底前，完成燃气锅炉低氮改造104台403.55蒸吨；2012年12月底前完成生物质锅炉高效除尘改造或淘汰15台139.6蒸吨；</w:t>
            </w:r>
          </w:p>
          <w:p>
            <w:pPr>
              <w:spacing w:line="360" w:lineRule="auto"/>
              <w:ind w:firstLine="480" w:firstLineChars="200"/>
              <w:rPr>
                <w:sz w:val="24"/>
                <w:szCs w:val="22"/>
              </w:rPr>
            </w:pPr>
            <w:r>
              <w:rPr>
                <w:sz w:val="24"/>
                <w:szCs w:val="22"/>
              </w:rPr>
              <w:t>③运输结构调整：淘汰国三及以下营运柴油货车4200辆，公交、出租等新更新车辆80%以上为新能源车，年底前完成11辆新能源公交车更新；2021年3月底前中天钢铁水运及铁路运输合计比例不低于85%、申特钢铁水运及铁路运输合计比例不低于80%、东方特钢运输车辆国五以上比例不低于80%。</w:t>
            </w:r>
          </w:p>
          <w:p>
            <w:pPr>
              <w:spacing w:line="360" w:lineRule="auto"/>
              <w:ind w:firstLine="480" w:firstLineChars="200"/>
              <w:rPr>
                <w:sz w:val="24"/>
                <w:szCs w:val="22"/>
              </w:rPr>
            </w:pPr>
            <w:r>
              <w:rPr>
                <w:sz w:val="24"/>
                <w:szCs w:val="22"/>
              </w:rPr>
              <w:t>④车船燃油品质改善：2021年3月底前，完成油品、尿素、船用油品、自备油库油品质量检查；</w:t>
            </w:r>
          </w:p>
          <w:p>
            <w:pPr>
              <w:spacing w:line="360" w:lineRule="auto"/>
              <w:ind w:firstLine="480" w:firstLineChars="200"/>
              <w:rPr>
                <w:sz w:val="24"/>
                <w:szCs w:val="22"/>
              </w:rPr>
            </w:pPr>
            <w:r>
              <w:rPr>
                <w:sz w:val="24"/>
                <w:szCs w:val="22"/>
              </w:rPr>
              <w:t>⑤在用车环境管理：2021年3月底前完成在用车执法监管；</w:t>
            </w:r>
          </w:p>
          <w:p>
            <w:pPr>
              <w:spacing w:line="360" w:lineRule="auto"/>
              <w:ind w:firstLine="480" w:firstLineChars="200"/>
              <w:rPr>
                <w:sz w:val="24"/>
                <w:szCs w:val="22"/>
              </w:rPr>
            </w:pPr>
            <w:r>
              <w:rPr>
                <w:sz w:val="24"/>
                <w:szCs w:val="22"/>
              </w:rPr>
              <w:t>⑥非道路移动机械环境管理：2021年3月底前完成排放检验和机场岸电建设。</w:t>
            </w:r>
          </w:p>
          <w:p>
            <w:pPr>
              <w:spacing w:line="360" w:lineRule="auto"/>
              <w:ind w:firstLine="480" w:firstLineChars="200"/>
              <w:rPr>
                <w:sz w:val="24"/>
                <w:szCs w:val="22"/>
              </w:rPr>
            </w:pPr>
            <w:r>
              <w:rPr>
                <w:sz w:val="24"/>
                <w:szCs w:val="22"/>
              </w:rPr>
              <w:t>（3）用地结构调整主要工作：</w:t>
            </w:r>
          </w:p>
          <w:p>
            <w:pPr>
              <w:spacing w:line="360" w:lineRule="auto"/>
              <w:ind w:firstLine="480" w:firstLineChars="200"/>
              <w:rPr>
                <w:sz w:val="24"/>
                <w:szCs w:val="22"/>
              </w:rPr>
            </w:pPr>
            <w:r>
              <w:rPr>
                <w:sz w:val="24"/>
                <w:szCs w:val="22"/>
              </w:rPr>
              <w:t>①露天矿山综合整治：2020年12月底前，开展露天矿山综合整治，加强生态修复；</w:t>
            </w:r>
          </w:p>
          <w:p>
            <w:pPr>
              <w:spacing w:line="360" w:lineRule="auto"/>
              <w:ind w:firstLine="480" w:firstLineChars="200"/>
              <w:rPr>
                <w:sz w:val="24"/>
                <w:szCs w:val="22"/>
              </w:rPr>
            </w:pPr>
            <w:r>
              <w:rPr>
                <w:sz w:val="24"/>
                <w:szCs w:val="22"/>
              </w:rPr>
              <w:t>②扬尘综合整治：2020年12月底前，完成道路扬尘综合整治，2021年3月底前完成露天堆场扬尘整治，长期坚持降尘量控制。</w:t>
            </w:r>
          </w:p>
          <w:p>
            <w:pPr>
              <w:spacing w:line="360" w:lineRule="auto"/>
              <w:ind w:firstLine="480" w:firstLineChars="200"/>
              <w:rPr>
                <w:sz w:val="24"/>
                <w:szCs w:val="22"/>
              </w:rPr>
            </w:pPr>
            <w:r>
              <w:rPr>
                <w:sz w:val="24"/>
                <w:szCs w:val="22"/>
              </w:rPr>
              <w:t>（4）能力建设的主要工作：</w:t>
            </w:r>
          </w:p>
          <w:p>
            <w:pPr>
              <w:spacing w:line="360" w:lineRule="auto"/>
              <w:ind w:firstLine="480" w:firstLineChars="200"/>
              <w:rPr>
                <w:sz w:val="24"/>
                <w:szCs w:val="22"/>
              </w:rPr>
            </w:pPr>
            <w:r>
              <w:rPr>
                <w:sz w:val="24"/>
                <w:szCs w:val="22"/>
              </w:rPr>
              <w:t>①完善环境监测监控网络，2020年12月底前增设空气环境质量自动监测站点24个；</w:t>
            </w:r>
          </w:p>
          <w:p>
            <w:pPr>
              <w:spacing w:line="360" w:lineRule="auto"/>
              <w:ind w:firstLine="480" w:firstLineChars="200"/>
              <w:rPr>
                <w:sz w:val="24"/>
                <w:szCs w:val="22"/>
              </w:rPr>
            </w:pPr>
            <w:r>
              <w:rPr>
                <w:sz w:val="24"/>
                <w:szCs w:val="22"/>
              </w:rPr>
              <w:t>②源排放清单编制：2020年12月底前，完成2019年城市大气污染物排放清单编制。</w:t>
            </w:r>
          </w:p>
          <w:p>
            <w:pPr>
              <w:spacing w:line="360" w:lineRule="auto"/>
              <w:ind w:firstLine="480" w:firstLineChars="200"/>
              <w:rPr>
                <w:sz w:val="24"/>
                <w:szCs w:val="22"/>
              </w:rPr>
            </w:pPr>
            <w:r>
              <w:rPr>
                <w:sz w:val="24"/>
                <w:szCs w:val="22"/>
              </w:rPr>
              <w:t>（二）为全面贯彻习近平生态文明思想和党的十九届五中全会精神，继续深入打好污染防治攻坚战，协同推进减污降碳，加快推动全市生态环境高质量发展，常州市人民政府下发了《市政府关于印发&lt;2021年常州市深入打好污染防治攻坚战工作方案&gt;的通知》（常政发〔2021〕21号）。施精细化扬尘管控：全市降尘量年均值不高于3.8吨/平方千米·月。严控各类工地、道路、码头堆场等重点区域扬尘污染，确保码头堆场和工地扬尘治理全覆盖。施工工地严格落实“六个百分百”制度，住建部门牵头建立工地名单台账，每季度更新，并与城管、生态环境部门共享。开展“清洁城市行动”，加强道路保洁。施工裸土覆盖按《江苏省重污染天气建筑工地扬尘控制应急工作方案（试行）》要求执行。逐步扩大渣土白天运输，对重点区域每月开展1次以上渣土车夜间运输集中整治，严厉查处非法运输、抛撒滴漏、带泥上路、冒黑烟等违法行为，并公开处理结果。</w:t>
            </w:r>
          </w:p>
          <w:p>
            <w:pPr>
              <w:spacing w:line="360" w:lineRule="auto"/>
              <w:ind w:firstLine="480" w:firstLineChars="200"/>
              <w:rPr>
                <w:sz w:val="24"/>
                <w:szCs w:val="22"/>
              </w:rPr>
            </w:pPr>
            <w:r>
              <w:rPr>
                <w:sz w:val="24"/>
                <w:szCs w:val="22"/>
              </w:rPr>
              <w:t>（三）为深入打好污染防治攻坚战，持续改善全市环境空气质量，常州市大气污染防治联席会议办公室下发《关于印发常州市2021年大气污染防治工作计划的通知》（常大气办[2021]9号）。</w:t>
            </w:r>
          </w:p>
          <w:p>
            <w:pPr>
              <w:spacing w:line="360" w:lineRule="auto"/>
              <w:ind w:firstLine="480" w:firstLineChars="200"/>
              <w:rPr>
                <w:sz w:val="24"/>
                <w:szCs w:val="22"/>
              </w:rPr>
            </w:pPr>
            <w:r>
              <w:rPr>
                <w:sz w:val="24"/>
                <w:szCs w:val="22"/>
              </w:rPr>
              <w:t>加强非道路移动机械（含工程、农业、港作、水利等机械）污染防治。对非道路移动机械生产、进口、销售企业实施常态化环保达标监督检查，持续推进摸底调查和编码登记工作，推动扩大禁止高排放非道路移动机械使用区域范围。严格落实高排放车辆禁限行管控措施，根据城市规划和大气环境质量管理要求，依规划定优化高排放机动车禁行区域和时段。推进VOCs治理攻坚：严格执行产品有害物质含量限值强制性标准。全面执行各类涂料、胶粘剂、清洗剂等产品的有害物质含量限值相关强制性国家标准，开展相关产品强制性质量标准实施情况监督检查。大力推进源头替代。以减少苯、甲苯、二甲苯等溶剂和助剂的使用为重点，推进低VOCs含量、低反应活性原辅材料和产品的替代。推广实施《低挥发性有机化合物含量涂料产品技术要求》，按规定将生产符合技术要求的涂料制造企业纳入正面清单。2021年，各辖市区组织对《关于推进挥发性有机物清洁原料替代及综合治理工作的通知》中59个项目实施情况进行“回头看”。推进全市实施50项新增替代项目；结合产业结构分布，全市培育15个源头替代示范型企业。</w:t>
            </w:r>
          </w:p>
          <w:p>
            <w:pPr>
              <w:spacing w:line="360" w:lineRule="auto"/>
              <w:ind w:firstLine="480" w:firstLineChars="200"/>
              <w:rPr>
                <w:sz w:val="24"/>
                <w:szCs w:val="22"/>
              </w:rPr>
            </w:pPr>
            <w:r>
              <w:rPr>
                <w:sz w:val="24"/>
                <w:szCs w:val="22"/>
              </w:rPr>
              <w:t>禁止建设生产和使用高VOCs含量的溶剂型涂料、油墨、胶粘剂等项目（国家鼓励发展的高端特种涂料除外）。推进政府绿色采购，推动家具、印刷等政府定点招标采购企业优先使用低挥发性原辅材料，鼓励汽车维修等政府定点招标采购企业使用低挥发性原辅材料；引导将使用低VOCs含量涂料、胶粘剂等纳入政府采购装修合同环保条款。</w:t>
            </w:r>
          </w:p>
          <w:p>
            <w:pPr>
              <w:spacing w:line="360" w:lineRule="auto"/>
              <w:ind w:firstLine="480" w:firstLineChars="200"/>
              <w:rPr>
                <w:sz w:val="24"/>
                <w:szCs w:val="22"/>
              </w:rPr>
            </w:pPr>
            <w:r>
              <w:rPr>
                <w:sz w:val="24"/>
                <w:szCs w:val="22"/>
              </w:rPr>
              <w:t>强化重点行业VOCs治理减排。完善市重点行业VOCs总量核算体系，实施新增项目总量平衡“减二增一”。加强化工、工业涂装、包装印刷、油品储运销等重点行业VOCs治理，确定并发布VOCs重点监管企业名录（第二批），督促纳入重点监管企业名录的企业编制并实施“一企一策”综合治理方案，全市推进VOCs综合治理项目100项。推动开展433个挥发性有机物液体储罐排查，完成200个储罐整治及无组织排放项目。引导化工、制药、农药等行业企业合理安排停检修计划，在确保安全等前提下，力争不在7-9月期间安排全厂开停车、装置整体停工检修和储罐清洗作业等，减少非正常工况VOCs排放；确实不能调整的，要加强启停机期间以及清洗、退料、吹扫、放空、晾干等环节VOCs排放管控，确保满足标准要求。</w:t>
            </w:r>
          </w:p>
          <w:p>
            <w:pPr>
              <w:spacing w:line="360" w:lineRule="auto"/>
              <w:ind w:firstLine="480" w:firstLineChars="200"/>
              <w:rPr>
                <w:sz w:val="24"/>
                <w:szCs w:val="22"/>
              </w:rPr>
            </w:pPr>
            <w:r>
              <w:rPr>
                <w:sz w:val="24"/>
                <w:szCs w:val="22"/>
              </w:rPr>
              <w:t>项目所在区域环境空气质量目前暂不达标，根据《常州市打赢蓝天保卫战行动计划实施方案》可知，持续推进工业污染源全面达标排放，加大超标处罚和联合惩戒力度，未达标排放的企业一律依法停产整治。建立覆盖所有固定污染源的企业排放许可制度，2020年底前完成排污许可管理名录规定的行业许可证核发。</w:t>
            </w:r>
          </w:p>
          <w:p>
            <w:pPr>
              <w:spacing w:line="360" w:lineRule="auto"/>
              <w:ind w:firstLine="480" w:firstLineChars="200"/>
              <w:rPr>
                <w:sz w:val="24"/>
                <w:szCs w:val="22"/>
              </w:rPr>
            </w:pPr>
            <w:r>
              <w:rPr>
                <w:sz w:val="24"/>
                <w:szCs w:val="22"/>
              </w:rPr>
              <w:t>采取上述措施后，大气环境质量状况可以得到有效的改善。</w:t>
            </w:r>
          </w:p>
          <w:p>
            <w:pPr>
              <w:adjustRightInd w:val="0"/>
              <w:snapToGrid w:val="0"/>
              <w:spacing w:line="360" w:lineRule="auto"/>
              <w:rPr>
                <w:b/>
                <w:sz w:val="24"/>
              </w:rPr>
            </w:pPr>
            <w:r>
              <w:rPr>
                <w:b/>
                <w:sz w:val="24"/>
              </w:rPr>
              <w:t>2、地表水现状</w:t>
            </w:r>
          </w:p>
          <w:p>
            <w:pPr>
              <w:adjustRightInd w:val="0"/>
              <w:snapToGrid w:val="0"/>
              <w:spacing w:line="360" w:lineRule="auto"/>
              <w:ind w:firstLine="480" w:firstLineChars="200"/>
              <w:rPr>
                <w:sz w:val="24"/>
                <w:szCs w:val="22"/>
              </w:rPr>
            </w:pPr>
            <w:r>
              <w:rPr>
                <w:sz w:val="24"/>
                <w:szCs w:val="22"/>
              </w:rPr>
              <w:t>根据《2020年常州市生态环境状况公报》中相关内容，2020年，全市的生态环境状况指标为64.7，属“良”等级。与“十二五”末相比，全市生态环境状况指数下降2.6，生态环境状况略微变差。从各分指数变化情况看，植被覆盖指数和水网密度指数分别较“十二五”末下降了7.2和3.3，其他指标基本持平。</w:t>
            </w:r>
          </w:p>
          <w:p>
            <w:pPr>
              <w:adjustRightInd w:val="0"/>
              <w:snapToGrid w:val="0"/>
              <w:spacing w:line="360" w:lineRule="auto"/>
              <w:ind w:firstLine="480" w:firstLineChars="200"/>
              <w:rPr>
                <w:sz w:val="24"/>
                <w:szCs w:val="22"/>
              </w:rPr>
            </w:pPr>
            <w:r>
              <w:rPr>
                <w:sz w:val="24"/>
                <w:szCs w:val="22"/>
              </w:rPr>
              <w:t>2020年，常州市共设置各类地表水监测断面32个，按年均水质评价，三类水质断面27个，占比为84.4%；四类水质断面2个，占比为6.2%；五类水质断面3个，占比9.4%；无劣五类水质断面。全市化学需氧量、氨氮、总氮和总磷的年排放总量分别为2.84吨、0.42万吨、1.00万吨和0.075万吨。</w:t>
            </w:r>
          </w:p>
          <w:p>
            <w:pPr>
              <w:adjustRightInd w:val="0"/>
              <w:snapToGrid w:val="0"/>
              <w:spacing w:line="360" w:lineRule="auto"/>
              <w:ind w:firstLine="480" w:firstLineChars="200"/>
              <w:rPr>
                <w:sz w:val="24"/>
                <w:szCs w:val="22"/>
              </w:rPr>
            </w:pPr>
            <w:r>
              <w:rPr>
                <w:sz w:val="24"/>
                <w:szCs w:val="22"/>
              </w:rPr>
              <w:t>治理目标：打好水源地保护攻坚战。开展乡镇水源地专项整治行动，开展长荡湖涑渎水源地、滆湖备用水源地整治，加强饮用水水源地保护。打好污水处理提质增效攻坚战。巩固黑臭水体整治成效。继续做好已完成整治城乡黑臭水体的效果评估及销号工作，加快消除污水直排口和污水管网空白区，加强污水管网检测修复及养护管理，开展“小散乱”排水整治，开展居民小区和单位庭院排水整治，提升城镇污水处理综合能力，提升工业废水处理能力，夯实“河长制”责任。打好长江保护修复攻坚战。强化生态空间管理。严格管控岸线开发利用，推进生态岸线恢复，加强入江支流治理，综合整治排污口，加强船舶污染防治，防范沿江环境风险，加强生态保护修复。</w:t>
            </w:r>
          </w:p>
          <w:p>
            <w:pPr>
              <w:adjustRightInd w:val="0"/>
              <w:snapToGrid w:val="0"/>
              <w:spacing w:line="360" w:lineRule="auto"/>
              <w:ind w:firstLine="480" w:firstLineChars="200"/>
              <w:rPr>
                <w:sz w:val="24"/>
                <w:szCs w:val="22"/>
              </w:rPr>
            </w:pPr>
            <w:r>
              <w:rPr>
                <w:sz w:val="24"/>
                <w:szCs w:val="22"/>
              </w:rPr>
              <w:t>打好太湖治理攻坚战，打好农业农村污染治理攻坚战，加快推进污水收集管网配套，提高污水收集率和污水集中处理设施运行效率，科学防治农业面源污染。</w:t>
            </w:r>
          </w:p>
          <w:p>
            <w:pPr>
              <w:adjustRightInd w:val="0"/>
              <w:snapToGrid w:val="0"/>
              <w:spacing w:line="360" w:lineRule="auto"/>
              <w:ind w:firstLine="480" w:firstLineChars="200"/>
              <w:rPr>
                <w:b/>
                <w:bCs/>
                <w:snapToGrid w:val="0"/>
                <w:kern w:val="0"/>
                <w:sz w:val="24"/>
              </w:rPr>
            </w:pPr>
            <w:r>
              <w:rPr>
                <w:sz w:val="24"/>
              </w:rPr>
              <w:t>本项目地表水环境现状数据引用《常州百隆微创医疗器械科技有限公司》中</w:t>
            </w:r>
            <w:r>
              <w:rPr>
                <w:sz w:val="24"/>
                <w:szCs w:val="22"/>
              </w:rPr>
              <w:t>江苏久诚检验检测有限公司</w:t>
            </w:r>
            <w:r>
              <w:rPr>
                <w:bCs/>
                <w:sz w:val="24"/>
              </w:rPr>
              <w:t>于2021年2月24日～2月26日对武南河的地表水环境历史监测数据，</w:t>
            </w:r>
            <w:r>
              <w:rPr>
                <w:sz w:val="24"/>
              </w:rPr>
              <w:t>监测断面为W1（武南污水处理厂排口上游500m）、W2（武南污水处理厂排口）、W3（武南污水处理厂排口下游1500m）。引用报告号：</w:t>
            </w:r>
            <w:r>
              <w:rPr>
                <w:bCs/>
                <w:sz w:val="24"/>
              </w:rPr>
              <w:t>MSTCZ20200224002。主要污染物监测统计结果如下：</w:t>
            </w:r>
          </w:p>
          <w:p>
            <w:pPr>
              <w:adjustRightInd w:val="0"/>
              <w:snapToGrid w:val="0"/>
              <w:jc w:val="center"/>
              <w:rPr>
                <w:b/>
                <w:bCs/>
                <w:snapToGrid w:val="0"/>
                <w:kern w:val="0"/>
                <w:sz w:val="24"/>
              </w:rPr>
            </w:pPr>
            <w:r>
              <w:rPr>
                <w:b/>
                <w:bCs/>
                <w:snapToGrid w:val="0"/>
                <w:kern w:val="0"/>
                <w:sz w:val="24"/>
              </w:rPr>
              <w:t xml:space="preserve">表3-2  </w:t>
            </w:r>
            <w:r>
              <w:rPr>
                <w:b/>
                <w:bCs/>
                <w:sz w:val="24"/>
              </w:rPr>
              <w:t>地表水环境质量现状监测结果  mg/L</w:t>
            </w:r>
          </w:p>
          <w:tbl>
            <w:tblPr>
              <w:tblStyle w:val="21"/>
              <w:tblW w:w="8415"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2287"/>
              <w:gridCol w:w="1532"/>
              <w:gridCol w:w="1530"/>
              <w:gridCol w:w="1532"/>
              <w:gridCol w:w="153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2287" w:type="dxa"/>
                  <w:vMerge w:val="restart"/>
                  <w:vAlign w:val="center"/>
                </w:tcPr>
                <w:p>
                  <w:pPr>
                    <w:adjustRightInd w:val="0"/>
                    <w:snapToGrid w:val="0"/>
                    <w:jc w:val="center"/>
                    <w:rPr>
                      <w:b/>
                      <w:bCs/>
                      <w:szCs w:val="21"/>
                    </w:rPr>
                  </w:pPr>
                  <w:r>
                    <w:rPr>
                      <w:b/>
                      <w:bCs/>
                      <w:szCs w:val="21"/>
                    </w:rPr>
                    <w:t>监测断面名称</w:t>
                  </w:r>
                </w:p>
              </w:tc>
              <w:tc>
                <w:tcPr>
                  <w:tcW w:w="6128" w:type="dxa"/>
                  <w:gridSpan w:val="4"/>
                  <w:vAlign w:val="center"/>
                </w:tcPr>
                <w:p>
                  <w:pPr>
                    <w:adjustRightInd w:val="0"/>
                    <w:snapToGrid w:val="0"/>
                    <w:jc w:val="center"/>
                    <w:rPr>
                      <w:b/>
                      <w:bCs/>
                      <w:szCs w:val="21"/>
                    </w:rPr>
                  </w:pPr>
                  <w:r>
                    <w:rPr>
                      <w:b/>
                      <w:bCs/>
                      <w:szCs w:val="21"/>
                    </w:rPr>
                    <w:t>监测项目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2287" w:type="dxa"/>
                  <w:vMerge w:val="continue"/>
                  <w:vAlign w:val="center"/>
                </w:tcPr>
                <w:p>
                  <w:pPr>
                    <w:adjustRightInd w:val="0"/>
                    <w:snapToGrid w:val="0"/>
                    <w:jc w:val="center"/>
                    <w:rPr>
                      <w:b/>
                      <w:bCs/>
                      <w:szCs w:val="21"/>
                    </w:rPr>
                  </w:pPr>
                </w:p>
              </w:tc>
              <w:tc>
                <w:tcPr>
                  <w:tcW w:w="1532" w:type="dxa"/>
                  <w:vAlign w:val="center"/>
                </w:tcPr>
                <w:p>
                  <w:pPr>
                    <w:adjustRightInd w:val="0"/>
                    <w:snapToGrid w:val="0"/>
                    <w:jc w:val="center"/>
                    <w:rPr>
                      <w:b/>
                      <w:bCs/>
                      <w:szCs w:val="21"/>
                    </w:rPr>
                  </w:pPr>
                  <w:r>
                    <w:rPr>
                      <w:b/>
                      <w:bCs/>
                      <w:szCs w:val="21"/>
                    </w:rPr>
                    <w:t>pH（无量纲）</w:t>
                  </w:r>
                </w:p>
              </w:tc>
              <w:tc>
                <w:tcPr>
                  <w:tcW w:w="1530" w:type="dxa"/>
                  <w:vAlign w:val="center"/>
                </w:tcPr>
                <w:p>
                  <w:pPr>
                    <w:adjustRightInd w:val="0"/>
                    <w:snapToGrid w:val="0"/>
                    <w:jc w:val="center"/>
                    <w:rPr>
                      <w:b/>
                      <w:bCs/>
                      <w:szCs w:val="21"/>
                      <w:vertAlign w:val="subscript"/>
                    </w:rPr>
                  </w:pPr>
                  <w:r>
                    <w:rPr>
                      <w:b/>
                      <w:bCs/>
                      <w:szCs w:val="21"/>
                    </w:rPr>
                    <w:t>COD(mg/L)</w:t>
                  </w:r>
                </w:p>
              </w:tc>
              <w:tc>
                <w:tcPr>
                  <w:tcW w:w="1532" w:type="dxa"/>
                  <w:vAlign w:val="center"/>
                </w:tcPr>
                <w:p>
                  <w:pPr>
                    <w:adjustRightInd w:val="0"/>
                    <w:snapToGrid w:val="0"/>
                    <w:jc w:val="center"/>
                    <w:rPr>
                      <w:b/>
                      <w:bCs/>
                      <w:szCs w:val="21"/>
                    </w:rPr>
                  </w:pPr>
                  <w:r>
                    <w:rPr>
                      <w:b/>
                      <w:bCs/>
                      <w:szCs w:val="21"/>
                    </w:rPr>
                    <w:t>NH</w:t>
                  </w:r>
                  <w:r>
                    <w:rPr>
                      <w:b/>
                      <w:bCs/>
                      <w:szCs w:val="21"/>
                      <w:vertAlign w:val="subscript"/>
                    </w:rPr>
                    <w:t>3</w:t>
                  </w:r>
                  <w:r>
                    <w:rPr>
                      <w:b/>
                      <w:bCs/>
                      <w:szCs w:val="21"/>
                    </w:rPr>
                    <w:t>-N(mg/L)</w:t>
                  </w:r>
                </w:p>
              </w:tc>
              <w:tc>
                <w:tcPr>
                  <w:tcW w:w="1534" w:type="dxa"/>
                  <w:vAlign w:val="center"/>
                </w:tcPr>
                <w:p>
                  <w:pPr>
                    <w:adjustRightInd w:val="0"/>
                    <w:snapToGrid w:val="0"/>
                    <w:jc w:val="center"/>
                    <w:rPr>
                      <w:b/>
                      <w:bCs/>
                      <w:szCs w:val="21"/>
                    </w:rPr>
                  </w:pPr>
                  <w:r>
                    <w:rPr>
                      <w:b/>
                      <w:bCs/>
                      <w:szCs w:val="21"/>
                    </w:rPr>
                    <w:t>TP(mg/L)</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2287" w:type="dxa"/>
                  <w:vAlign w:val="center"/>
                </w:tcPr>
                <w:p>
                  <w:pPr>
                    <w:adjustRightInd w:val="0"/>
                    <w:snapToGrid w:val="0"/>
                    <w:jc w:val="center"/>
                    <w:rPr>
                      <w:szCs w:val="21"/>
                      <w:vertAlign w:val="subscript"/>
                    </w:rPr>
                  </w:pPr>
                  <w:r>
                    <w:rPr>
                      <w:szCs w:val="21"/>
                    </w:rPr>
                    <w:t>W1</w:t>
                  </w:r>
                </w:p>
              </w:tc>
              <w:tc>
                <w:tcPr>
                  <w:tcW w:w="1532" w:type="dxa"/>
                  <w:vAlign w:val="center"/>
                </w:tcPr>
                <w:p>
                  <w:pPr>
                    <w:adjustRightInd w:val="0"/>
                    <w:snapToGrid w:val="0"/>
                    <w:jc w:val="center"/>
                    <w:rPr>
                      <w:szCs w:val="21"/>
                    </w:rPr>
                  </w:pPr>
                  <w:r>
                    <w:rPr>
                      <w:szCs w:val="21"/>
                    </w:rPr>
                    <w:t>7.89-7.96</w:t>
                  </w:r>
                </w:p>
              </w:tc>
              <w:tc>
                <w:tcPr>
                  <w:tcW w:w="1530" w:type="dxa"/>
                  <w:vAlign w:val="center"/>
                </w:tcPr>
                <w:p>
                  <w:pPr>
                    <w:adjustRightInd w:val="0"/>
                    <w:snapToGrid w:val="0"/>
                    <w:jc w:val="center"/>
                    <w:rPr>
                      <w:szCs w:val="21"/>
                    </w:rPr>
                  </w:pPr>
                  <w:r>
                    <w:rPr>
                      <w:szCs w:val="21"/>
                    </w:rPr>
                    <w:t>12-17</w:t>
                  </w:r>
                </w:p>
              </w:tc>
              <w:tc>
                <w:tcPr>
                  <w:tcW w:w="1532" w:type="dxa"/>
                  <w:vAlign w:val="center"/>
                </w:tcPr>
                <w:p>
                  <w:pPr>
                    <w:adjustRightInd w:val="0"/>
                    <w:snapToGrid w:val="0"/>
                    <w:jc w:val="center"/>
                    <w:rPr>
                      <w:szCs w:val="21"/>
                    </w:rPr>
                  </w:pPr>
                  <w:r>
                    <w:rPr>
                      <w:szCs w:val="21"/>
                    </w:rPr>
                    <w:t>0.929-0.966</w:t>
                  </w:r>
                </w:p>
              </w:tc>
              <w:tc>
                <w:tcPr>
                  <w:tcW w:w="1534" w:type="dxa"/>
                  <w:vAlign w:val="center"/>
                </w:tcPr>
                <w:p>
                  <w:pPr>
                    <w:jc w:val="center"/>
                  </w:pPr>
                  <w:r>
                    <w:rPr>
                      <w:szCs w:val="21"/>
                    </w:rPr>
                    <w:t>0.13-0.16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2287" w:type="dxa"/>
                  <w:vAlign w:val="center"/>
                </w:tcPr>
                <w:p>
                  <w:pPr>
                    <w:adjustRightInd w:val="0"/>
                    <w:snapToGrid w:val="0"/>
                    <w:jc w:val="center"/>
                    <w:rPr>
                      <w:szCs w:val="21"/>
                    </w:rPr>
                  </w:pPr>
                  <w:r>
                    <w:rPr>
                      <w:szCs w:val="21"/>
                    </w:rPr>
                    <w:t>W2</w:t>
                  </w:r>
                </w:p>
              </w:tc>
              <w:tc>
                <w:tcPr>
                  <w:tcW w:w="1532" w:type="dxa"/>
                  <w:vAlign w:val="center"/>
                </w:tcPr>
                <w:p>
                  <w:pPr>
                    <w:adjustRightInd w:val="0"/>
                    <w:snapToGrid w:val="0"/>
                    <w:jc w:val="center"/>
                    <w:rPr>
                      <w:szCs w:val="21"/>
                    </w:rPr>
                  </w:pPr>
                  <w:r>
                    <w:rPr>
                      <w:szCs w:val="21"/>
                    </w:rPr>
                    <w:t>7.90-7.97</w:t>
                  </w:r>
                </w:p>
              </w:tc>
              <w:tc>
                <w:tcPr>
                  <w:tcW w:w="1530" w:type="dxa"/>
                  <w:vAlign w:val="center"/>
                </w:tcPr>
                <w:p>
                  <w:pPr>
                    <w:adjustRightInd w:val="0"/>
                    <w:snapToGrid w:val="0"/>
                    <w:jc w:val="center"/>
                    <w:rPr>
                      <w:szCs w:val="21"/>
                    </w:rPr>
                  </w:pPr>
                  <w:r>
                    <w:rPr>
                      <w:szCs w:val="21"/>
                    </w:rPr>
                    <w:t>13-19</w:t>
                  </w:r>
                </w:p>
              </w:tc>
              <w:tc>
                <w:tcPr>
                  <w:tcW w:w="1532" w:type="dxa"/>
                  <w:vAlign w:val="center"/>
                </w:tcPr>
                <w:p>
                  <w:pPr>
                    <w:adjustRightInd w:val="0"/>
                    <w:snapToGrid w:val="0"/>
                    <w:jc w:val="center"/>
                    <w:rPr>
                      <w:szCs w:val="21"/>
                    </w:rPr>
                  </w:pPr>
                  <w:r>
                    <w:rPr>
                      <w:szCs w:val="21"/>
                    </w:rPr>
                    <w:t>0.814-0.954</w:t>
                  </w:r>
                </w:p>
              </w:tc>
              <w:tc>
                <w:tcPr>
                  <w:tcW w:w="1534" w:type="dxa"/>
                  <w:vAlign w:val="center"/>
                </w:tcPr>
                <w:p>
                  <w:pPr>
                    <w:jc w:val="center"/>
                    <w:rPr>
                      <w:szCs w:val="21"/>
                    </w:rPr>
                  </w:pPr>
                  <w:r>
                    <w:rPr>
                      <w:szCs w:val="21"/>
                    </w:rPr>
                    <w:t>0.16-0.19</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2287" w:type="dxa"/>
                  <w:vAlign w:val="center"/>
                </w:tcPr>
                <w:p>
                  <w:pPr>
                    <w:adjustRightInd w:val="0"/>
                    <w:snapToGrid w:val="0"/>
                    <w:jc w:val="center"/>
                    <w:rPr>
                      <w:szCs w:val="21"/>
                      <w:vertAlign w:val="subscript"/>
                    </w:rPr>
                  </w:pPr>
                  <w:r>
                    <w:rPr>
                      <w:szCs w:val="21"/>
                    </w:rPr>
                    <w:t>W3</w:t>
                  </w:r>
                </w:p>
              </w:tc>
              <w:tc>
                <w:tcPr>
                  <w:tcW w:w="1532" w:type="dxa"/>
                  <w:vAlign w:val="center"/>
                </w:tcPr>
                <w:p>
                  <w:pPr>
                    <w:adjustRightInd w:val="0"/>
                    <w:snapToGrid w:val="0"/>
                    <w:jc w:val="center"/>
                    <w:rPr>
                      <w:szCs w:val="21"/>
                    </w:rPr>
                  </w:pPr>
                  <w:r>
                    <w:rPr>
                      <w:szCs w:val="21"/>
                    </w:rPr>
                    <w:t>7.91-7.99</w:t>
                  </w:r>
                </w:p>
              </w:tc>
              <w:tc>
                <w:tcPr>
                  <w:tcW w:w="1530" w:type="dxa"/>
                  <w:vAlign w:val="center"/>
                </w:tcPr>
                <w:p>
                  <w:pPr>
                    <w:adjustRightInd w:val="0"/>
                    <w:snapToGrid w:val="0"/>
                    <w:jc w:val="center"/>
                    <w:rPr>
                      <w:szCs w:val="21"/>
                    </w:rPr>
                  </w:pPr>
                  <w:r>
                    <w:rPr>
                      <w:szCs w:val="21"/>
                    </w:rPr>
                    <w:t>12-19</w:t>
                  </w:r>
                </w:p>
              </w:tc>
              <w:tc>
                <w:tcPr>
                  <w:tcW w:w="1532" w:type="dxa"/>
                  <w:vAlign w:val="center"/>
                </w:tcPr>
                <w:p>
                  <w:pPr>
                    <w:adjustRightInd w:val="0"/>
                    <w:snapToGrid w:val="0"/>
                    <w:jc w:val="center"/>
                    <w:rPr>
                      <w:szCs w:val="21"/>
                    </w:rPr>
                  </w:pPr>
                  <w:r>
                    <w:rPr>
                      <w:szCs w:val="21"/>
                    </w:rPr>
                    <w:t>0.803-0.846</w:t>
                  </w:r>
                </w:p>
              </w:tc>
              <w:tc>
                <w:tcPr>
                  <w:tcW w:w="1534" w:type="dxa"/>
                  <w:vAlign w:val="center"/>
                </w:tcPr>
                <w:p>
                  <w:pPr>
                    <w:adjustRightInd w:val="0"/>
                    <w:snapToGrid w:val="0"/>
                    <w:jc w:val="center"/>
                    <w:rPr>
                      <w:szCs w:val="21"/>
                    </w:rPr>
                  </w:pPr>
                  <w:r>
                    <w:rPr>
                      <w:szCs w:val="21"/>
                    </w:rPr>
                    <w:t>0.16-0.18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2287" w:type="dxa"/>
                  <w:vAlign w:val="center"/>
                </w:tcPr>
                <w:p>
                  <w:pPr>
                    <w:adjustRightInd w:val="0"/>
                    <w:snapToGrid w:val="0"/>
                    <w:jc w:val="center"/>
                    <w:rPr>
                      <w:szCs w:val="21"/>
                    </w:rPr>
                  </w:pPr>
                  <w:r>
                    <w:rPr>
                      <w:szCs w:val="21"/>
                    </w:rPr>
                    <w:t>Ⅳ类标准值</w:t>
                  </w:r>
                </w:p>
              </w:tc>
              <w:tc>
                <w:tcPr>
                  <w:tcW w:w="1532" w:type="dxa"/>
                  <w:vAlign w:val="center"/>
                </w:tcPr>
                <w:p>
                  <w:pPr>
                    <w:adjustRightInd w:val="0"/>
                    <w:snapToGrid w:val="0"/>
                    <w:jc w:val="center"/>
                    <w:rPr>
                      <w:szCs w:val="21"/>
                    </w:rPr>
                  </w:pPr>
                  <w:r>
                    <w:rPr>
                      <w:szCs w:val="21"/>
                    </w:rPr>
                    <w:t>6-9</w:t>
                  </w:r>
                </w:p>
              </w:tc>
              <w:tc>
                <w:tcPr>
                  <w:tcW w:w="1530" w:type="dxa"/>
                  <w:vAlign w:val="center"/>
                </w:tcPr>
                <w:p>
                  <w:pPr>
                    <w:adjustRightInd w:val="0"/>
                    <w:snapToGrid w:val="0"/>
                    <w:jc w:val="center"/>
                    <w:rPr>
                      <w:szCs w:val="21"/>
                    </w:rPr>
                  </w:pPr>
                  <w:r>
                    <w:rPr>
                      <w:szCs w:val="21"/>
                    </w:rPr>
                    <w:t>≤30</w:t>
                  </w:r>
                </w:p>
              </w:tc>
              <w:tc>
                <w:tcPr>
                  <w:tcW w:w="1532" w:type="dxa"/>
                  <w:vAlign w:val="center"/>
                </w:tcPr>
                <w:p>
                  <w:pPr>
                    <w:adjustRightInd w:val="0"/>
                    <w:snapToGrid w:val="0"/>
                    <w:jc w:val="center"/>
                    <w:rPr>
                      <w:szCs w:val="21"/>
                    </w:rPr>
                  </w:pPr>
                  <w:r>
                    <w:rPr>
                      <w:szCs w:val="21"/>
                    </w:rPr>
                    <w:t>≤1.5</w:t>
                  </w:r>
                </w:p>
              </w:tc>
              <w:tc>
                <w:tcPr>
                  <w:tcW w:w="1534" w:type="dxa"/>
                  <w:vAlign w:val="center"/>
                </w:tcPr>
                <w:p>
                  <w:pPr>
                    <w:adjustRightInd w:val="0"/>
                    <w:snapToGrid w:val="0"/>
                    <w:jc w:val="center"/>
                    <w:rPr>
                      <w:szCs w:val="21"/>
                    </w:rPr>
                  </w:pPr>
                  <w:r>
                    <w:rPr>
                      <w:szCs w:val="21"/>
                    </w:rPr>
                    <w:t>≤0.3</w:t>
                  </w:r>
                </w:p>
              </w:tc>
            </w:tr>
          </w:tbl>
          <w:p>
            <w:pPr>
              <w:adjustRightInd w:val="0"/>
              <w:snapToGrid w:val="0"/>
              <w:spacing w:line="360" w:lineRule="auto"/>
              <w:ind w:firstLine="480" w:firstLineChars="200"/>
              <w:rPr>
                <w:sz w:val="24"/>
                <w:szCs w:val="22"/>
              </w:rPr>
            </w:pPr>
            <w:r>
              <w:rPr>
                <w:sz w:val="24"/>
              </w:rPr>
              <w:t>监测统计结果表明，武南河断面水质可以满足《地表水环境质量标准》（GB3838-2002）Ⅳ类标准</w:t>
            </w:r>
            <w:r>
              <w:rPr>
                <w:sz w:val="24"/>
                <w:szCs w:val="22"/>
              </w:rPr>
              <w:t>。</w:t>
            </w:r>
          </w:p>
          <w:p>
            <w:pPr>
              <w:adjustRightInd w:val="0"/>
              <w:snapToGrid w:val="0"/>
              <w:spacing w:line="360" w:lineRule="auto"/>
              <w:ind w:firstLine="480" w:firstLineChars="200"/>
              <w:rPr>
                <w:color w:val="auto"/>
                <w:sz w:val="24"/>
              </w:rPr>
            </w:pPr>
            <w:r>
              <w:rPr>
                <w:bCs/>
                <w:sz w:val="24"/>
              </w:rPr>
              <w:t>引用数据有效性分析：本项目引用</w:t>
            </w:r>
            <w:r>
              <w:rPr>
                <w:sz w:val="24"/>
                <w:szCs w:val="22"/>
              </w:rPr>
              <w:t>江苏久诚检验检测有限公司</w:t>
            </w:r>
            <w:r>
              <w:rPr>
                <w:bCs/>
                <w:sz w:val="24"/>
              </w:rPr>
              <w:t>于2021年2月24日～2月26日</w:t>
            </w:r>
            <w:r>
              <w:rPr>
                <w:sz w:val="24"/>
              </w:rPr>
              <w:t>对武南污水处理厂排口上游500米断面和、武南污水处理厂排口断面和武南污水处理厂排口下游1500米断面的监测数据</w:t>
            </w:r>
            <w:r>
              <w:rPr>
                <w:bCs/>
                <w:sz w:val="24"/>
              </w:rPr>
              <w:t>，引用时间不超过3年，水环境引用时间有效；项目所在区域污染源未发生重大变化，可引用3年内地表水的监测数据</w:t>
            </w:r>
            <w:r>
              <w:rPr>
                <w:bCs/>
                <w:color w:val="auto"/>
                <w:sz w:val="24"/>
              </w:rPr>
              <w:t>；引用点位在项目纳污河道评价范围内，监测方法、频次符合导则要求，则地表水环境引用点位有效。</w:t>
            </w:r>
          </w:p>
          <w:p>
            <w:pPr>
              <w:adjustRightInd w:val="0"/>
              <w:snapToGrid w:val="0"/>
              <w:spacing w:line="360" w:lineRule="auto"/>
              <w:rPr>
                <w:b/>
                <w:bCs/>
                <w:color w:val="auto"/>
                <w:sz w:val="24"/>
              </w:rPr>
            </w:pPr>
            <w:r>
              <w:rPr>
                <w:b/>
                <w:bCs/>
                <w:color w:val="auto"/>
                <w:sz w:val="24"/>
              </w:rPr>
              <w:t>3、声环境质量现状</w:t>
            </w:r>
          </w:p>
          <w:p>
            <w:pPr>
              <w:adjustRightInd w:val="0"/>
              <w:snapToGrid w:val="0"/>
              <w:spacing w:line="360" w:lineRule="auto"/>
              <w:ind w:firstLine="480" w:firstLineChars="200"/>
              <w:rPr>
                <w:b/>
                <w:bCs/>
                <w:snapToGrid w:val="0"/>
                <w:color w:val="auto"/>
                <w:kern w:val="0"/>
                <w:sz w:val="24"/>
              </w:rPr>
            </w:pPr>
            <w:r>
              <w:rPr>
                <w:color w:val="auto"/>
                <w:sz w:val="24"/>
                <w:szCs w:val="22"/>
              </w:rPr>
              <w:t>本项目委托</w:t>
            </w:r>
            <w:r>
              <w:rPr>
                <w:rFonts w:hint="eastAsia"/>
                <w:color w:val="auto"/>
                <w:sz w:val="24"/>
                <w:szCs w:val="22"/>
                <w:lang w:val="en-US" w:eastAsia="zh-CN"/>
              </w:rPr>
              <w:t>江苏久诚检验检测有限公司</w:t>
            </w:r>
            <w:r>
              <w:rPr>
                <w:color w:val="auto"/>
                <w:sz w:val="24"/>
                <w:szCs w:val="22"/>
              </w:rPr>
              <w:t>于202</w:t>
            </w:r>
            <w:r>
              <w:rPr>
                <w:rFonts w:hint="eastAsia"/>
                <w:color w:val="auto"/>
                <w:sz w:val="24"/>
                <w:szCs w:val="22"/>
                <w:lang w:val="en-US" w:eastAsia="zh-CN"/>
              </w:rPr>
              <w:t>2年2月8日</w:t>
            </w:r>
            <w:r>
              <w:rPr>
                <w:color w:val="auto"/>
                <w:sz w:val="24"/>
                <w:szCs w:val="22"/>
              </w:rPr>
              <w:t>在厂界进行噪声的实测，监测数据见下表：</w:t>
            </w:r>
          </w:p>
          <w:p>
            <w:pPr>
              <w:adjustRightInd w:val="0"/>
              <w:snapToGrid w:val="0"/>
              <w:jc w:val="center"/>
              <w:rPr>
                <w:b/>
                <w:bCs/>
                <w:color w:val="auto"/>
                <w:sz w:val="24"/>
              </w:rPr>
            </w:pPr>
            <w:r>
              <w:rPr>
                <w:b/>
                <w:bCs/>
                <w:snapToGrid w:val="0"/>
                <w:color w:val="auto"/>
                <w:kern w:val="0"/>
                <w:sz w:val="24"/>
              </w:rPr>
              <w:t>表3-3  声环境质量现状</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382"/>
              <w:gridCol w:w="1544"/>
              <w:gridCol w:w="1546"/>
              <w:gridCol w:w="1544"/>
              <w:gridCol w:w="155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4" w:type="pct"/>
                  <w:gridSpan w:val="2"/>
                  <w:vAlign w:val="center"/>
                </w:tcPr>
                <w:p>
                  <w:pPr>
                    <w:adjustRightInd w:val="0"/>
                    <w:snapToGrid w:val="0"/>
                    <w:jc w:val="center"/>
                    <w:rPr>
                      <w:b/>
                      <w:bCs/>
                      <w:color w:val="auto"/>
                      <w:szCs w:val="21"/>
                    </w:rPr>
                  </w:pPr>
                  <w:r>
                    <w:rPr>
                      <w:b/>
                      <w:bCs/>
                      <w:color w:val="auto"/>
                      <w:szCs w:val="21"/>
                    </w:rPr>
                    <w:t>监测点号</w:t>
                  </w:r>
                </w:p>
              </w:tc>
              <w:tc>
                <w:tcPr>
                  <w:tcW w:w="917" w:type="pct"/>
                  <w:vAlign w:val="center"/>
                </w:tcPr>
                <w:p>
                  <w:pPr>
                    <w:adjustRightInd w:val="0"/>
                    <w:snapToGrid w:val="0"/>
                    <w:jc w:val="center"/>
                    <w:rPr>
                      <w:b/>
                      <w:bCs/>
                      <w:color w:val="auto"/>
                      <w:szCs w:val="21"/>
                    </w:rPr>
                  </w:pPr>
                  <w:r>
                    <w:rPr>
                      <w:b/>
                      <w:bCs/>
                      <w:color w:val="auto"/>
                      <w:szCs w:val="21"/>
                    </w:rPr>
                    <w:t>N1（东）</w:t>
                  </w:r>
                </w:p>
              </w:tc>
              <w:tc>
                <w:tcPr>
                  <w:tcW w:w="918" w:type="pct"/>
                  <w:vAlign w:val="center"/>
                </w:tcPr>
                <w:p>
                  <w:pPr>
                    <w:adjustRightInd w:val="0"/>
                    <w:snapToGrid w:val="0"/>
                    <w:jc w:val="center"/>
                    <w:rPr>
                      <w:b/>
                      <w:bCs/>
                      <w:color w:val="auto"/>
                      <w:szCs w:val="21"/>
                    </w:rPr>
                  </w:pPr>
                  <w:r>
                    <w:rPr>
                      <w:b/>
                      <w:bCs/>
                      <w:color w:val="auto"/>
                      <w:szCs w:val="21"/>
                    </w:rPr>
                    <w:t>N2（南）</w:t>
                  </w:r>
                </w:p>
              </w:tc>
              <w:tc>
                <w:tcPr>
                  <w:tcW w:w="917" w:type="pct"/>
                  <w:vAlign w:val="center"/>
                </w:tcPr>
                <w:p>
                  <w:pPr>
                    <w:adjustRightInd w:val="0"/>
                    <w:snapToGrid w:val="0"/>
                    <w:jc w:val="center"/>
                    <w:rPr>
                      <w:b/>
                      <w:bCs/>
                      <w:color w:val="auto"/>
                      <w:szCs w:val="21"/>
                    </w:rPr>
                  </w:pPr>
                  <w:r>
                    <w:rPr>
                      <w:b/>
                      <w:bCs/>
                      <w:color w:val="auto"/>
                      <w:szCs w:val="21"/>
                    </w:rPr>
                    <w:t>N3（西）</w:t>
                  </w:r>
                </w:p>
              </w:tc>
              <w:tc>
                <w:tcPr>
                  <w:tcW w:w="920" w:type="pct"/>
                  <w:vAlign w:val="center"/>
                </w:tcPr>
                <w:p>
                  <w:pPr>
                    <w:adjustRightInd w:val="0"/>
                    <w:snapToGrid w:val="0"/>
                    <w:jc w:val="center"/>
                    <w:rPr>
                      <w:b/>
                      <w:bCs/>
                      <w:color w:val="auto"/>
                      <w:szCs w:val="21"/>
                    </w:rPr>
                  </w:pPr>
                  <w:r>
                    <w:rPr>
                      <w:b/>
                      <w:bCs/>
                      <w:color w:val="auto"/>
                      <w:szCs w:val="21"/>
                    </w:rPr>
                    <w:t>N4（北）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3" w:type="pct"/>
                  <w:vMerge w:val="restart"/>
                  <w:vAlign w:val="center"/>
                </w:tcPr>
                <w:p>
                  <w:pPr>
                    <w:adjustRightInd w:val="0"/>
                    <w:snapToGrid w:val="0"/>
                    <w:jc w:val="center"/>
                    <w:rPr>
                      <w:rFonts w:hint="default" w:eastAsia="宋体"/>
                      <w:color w:val="auto"/>
                      <w:szCs w:val="22"/>
                      <w:lang w:val="en-US" w:eastAsia="zh-CN"/>
                    </w:rPr>
                  </w:pPr>
                  <w:r>
                    <w:rPr>
                      <w:color w:val="auto"/>
                      <w:szCs w:val="22"/>
                    </w:rPr>
                    <w:t>0</w:t>
                  </w:r>
                  <w:r>
                    <w:rPr>
                      <w:rFonts w:hint="eastAsia"/>
                      <w:color w:val="auto"/>
                      <w:szCs w:val="22"/>
                      <w:lang w:val="en-US" w:eastAsia="zh-CN"/>
                    </w:rPr>
                    <w:t>2.08</w:t>
                  </w:r>
                </w:p>
              </w:tc>
              <w:tc>
                <w:tcPr>
                  <w:tcW w:w="820" w:type="pct"/>
                  <w:vAlign w:val="center"/>
                </w:tcPr>
                <w:p>
                  <w:pPr>
                    <w:adjustRightInd w:val="0"/>
                    <w:snapToGrid w:val="0"/>
                    <w:jc w:val="center"/>
                    <w:rPr>
                      <w:color w:val="auto"/>
                      <w:szCs w:val="21"/>
                    </w:rPr>
                  </w:pPr>
                  <w:r>
                    <w:rPr>
                      <w:color w:val="auto"/>
                      <w:szCs w:val="21"/>
                    </w:rPr>
                    <w:t>昼间dB(A)</w:t>
                  </w:r>
                </w:p>
              </w:tc>
              <w:tc>
                <w:tcPr>
                  <w:tcW w:w="917" w:type="pct"/>
                  <w:vAlign w:val="center"/>
                </w:tcPr>
                <w:p>
                  <w:pPr>
                    <w:adjustRightInd w:val="0"/>
                    <w:snapToGrid w:val="0"/>
                    <w:jc w:val="center"/>
                    <w:rPr>
                      <w:rFonts w:hint="default" w:eastAsia="宋体"/>
                      <w:color w:val="auto"/>
                      <w:lang w:val="en-US" w:eastAsia="zh-CN"/>
                    </w:rPr>
                  </w:pPr>
                  <w:r>
                    <w:rPr>
                      <w:rFonts w:hint="eastAsia"/>
                      <w:color w:val="auto"/>
                      <w:lang w:val="en-US" w:eastAsia="zh-CN"/>
                    </w:rPr>
                    <w:t>56</w:t>
                  </w:r>
                </w:p>
              </w:tc>
              <w:tc>
                <w:tcPr>
                  <w:tcW w:w="918" w:type="pct"/>
                  <w:vAlign w:val="center"/>
                </w:tcPr>
                <w:p>
                  <w:pPr>
                    <w:adjustRightInd w:val="0"/>
                    <w:snapToGrid w:val="0"/>
                    <w:jc w:val="center"/>
                    <w:rPr>
                      <w:rFonts w:hint="default" w:eastAsia="宋体"/>
                      <w:color w:val="auto"/>
                      <w:lang w:val="en-US" w:eastAsia="zh-CN"/>
                    </w:rPr>
                  </w:pPr>
                  <w:r>
                    <w:rPr>
                      <w:rFonts w:hint="eastAsia"/>
                      <w:color w:val="auto"/>
                      <w:lang w:val="en-US" w:eastAsia="zh-CN"/>
                    </w:rPr>
                    <w:t>57</w:t>
                  </w:r>
                </w:p>
              </w:tc>
              <w:tc>
                <w:tcPr>
                  <w:tcW w:w="917" w:type="pct"/>
                  <w:vAlign w:val="center"/>
                </w:tcPr>
                <w:p>
                  <w:pPr>
                    <w:adjustRightInd w:val="0"/>
                    <w:snapToGrid w:val="0"/>
                    <w:jc w:val="center"/>
                    <w:rPr>
                      <w:rFonts w:hint="default" w:eastAsia="宋体"/>
                      <w:color w:val="auto"/>
                      <w:lang w:val="en-US" w:eastAsia="zh-CN"/>
                    </w:rPr>
                  </w:pPr>
                  <w:r>
                    <w:rPr>
                      <w:rFonts w:hint="eastAsia"/>
                      <w:color w:val="auto"/>
                      <w:lang w:val="en-US" w:eastAsia="zh-CN"/>
                    </w:rPr>
                    <w:t>57</w:t>
                  </w:r>
                </w:p>
              </w:tc>
              <w:tc>
                <w:tcPr>
                  <w:tcW w:w="920" w:type="pct"/>
                  <w:vAlign w:val="center"/>
                </w:tcPr>
                <w:p>
                  <w:pPr>
                    <w:adjustRightInd w:val="0"/>
                    <w:snapToGrid w:val="0"/>
                    <w:jc w:val="center"/>
                    <w:rPr>
                      <w:rFonts w:hint="default" w:eastAsia="宋体"/>
                      <w:color w:val="auto"/>
                      <w:lang w:val="en-US" w:eastAsia="zh-CN"/>
                    </w:rPr>
                  </w:pPr>
                  <w:r>
                    <w:rPr>
                      <w:rFonts w:hint="eastAsia"/>
                      <w:color w:val="auto"/>
                      <w:lang w:val="en-US" w:eastAsia="zh-CN"/>
                    </w:rPr>
                    <w:t>56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3" w:type="pct"/>
                  <w:vMerge w:val="continue"/>
                  <w:vAlign w:val="center"/>
                </w:tcPr>
                <w:p>
                  <w:pPr>
                    <w:adjustRightInd w:val="0"/>
                    <w:snapToGrid w:val="0"/>
                    <w:jc w:val="center"/>
                    <w:rPr>
                      <w:color w:val="auto"/>
                      <w:szCs w:val="22"/>
                    </w:rPr>
                  </w:pPr>
                </w:p>
              </w:tc>
              <w:tc>
                <w:tcPr>
                  <w:tcW w:w="820" w:type="pct"/>
                  <w:vAlign w:val="center"/>
                </w:tcPr>
                <w:p>
                  <w:pPr>
                    <w:adjustRightInd w:val="0"/>
                    <w:snapToGrid w:val="0"/>
                    <w:jc w:val="center"/>
                    <w:rPr>
                      <w:color w:val="auto"/>
                      <w:szCs w:val="21"/>
                    </w:rPr>
                  </w:pPr>
                  <w:r>
                    <w:rPr>
                      <w:color w:val="auto"/>
                      <w:szCs w:val="21"/>
                    </w:rPr>
                    <w:t>夜间dB(A)</w:t>
                  </w:r>
                </w:p>
              </w:tc>
              <w:tc>
                <w:tcPr>
                  <w:tcW w:w="917" w:type="pct"/>
                  <w:vAlign w:val="center"/>
                </w:tcPr>
                <w:p>
                  <w:pPr>
                    <w:adjustRightInd w:val="0"/>
                    <w:snapToGrid w:val="0"/>
                    <w:jc w:val="center"/>
                    <w:rPr>
                      <w:rFonts w:hint="default" w:eastAsia="宋体"/>
                      <w:color w:val="auto"/>
                      <w:lang w:val="en-US" w:eastAsia="zh-CN"/>
                    </w:rPr>
                  </w:pPr>
                  <w:r>
                    <w:rPr>
                      <w:rFonts w:hint="eastAsia"/>
                      <w:color w:val="auto"/>
                      <w:lang w:val="en-US" w:eastAsia="zh-CN"/>
                    </w:rPr>
                    <w:t>46</w:t>
                  </w:r>
                </w:p>
              </w:tc>
              <w:tc>
                <w:tcPr>
                  <w:tcW w:w="918" w:type="pct"/>
                  <w:vAlign w:val="center"/>
                </w:tcPr>
                <w:p>
                  <w:pPr>
                    <w:adjustRightInd w:val="0"/>
                    <w:snapToGrid w:val="0"/>
                    <w:jc w:val="center"/>
                    <w:rPr>
                      <w:rFonts w:hint="default" w:eastAsia="宋体"/>
                      <w:color w:val="auto"/>
                      <w:lang w:val="en-US" w:eastAsia="zh-CN"/>
                    </w:rPr>
                  </w:pPr>
                  <w:r>
                    <w:rPr>
                      <w:rFonts w:hint="eastAsia"/>
                      <w:color w:val="auto"/>
                      <w:lang w:val="en-US" w:eastAsia="zh-CN"/>
                    </w:rPr>
                    <w:t>46</w:t>
                  </w:r>
                </w:p>
              </w:tc>
              <w:tc>
                <w:tcPr>
                  <w:tcW w:w="917" w:type="pct"/>
                  <w:vAlign w:val="center"/>
                </w:tcPr>
                <w:p>
                  <w:pPr>
                    <w:adjustRightInd w:val="0"/>
                    <w:snapToGrid w:val="0"/>
                    <w:jc w:val="center"/>
                    <w:rPr>
                      <w:rFonts w:hint="eastAsia" w:eastAsia="宋体"/>
                      <w:color w:val="auto"/>
                      <w:lang w:eastAsia="zh-CN"/>
                    </w:rPr>
                  </w:pPr>
                  <w:r>
                    <w:rPr>
                      <w:rFonts w:hint="eastAsia"/>
                      <w:color w:val="auto"/>
                      <w:lang w:val="en-US" w:eastAsia="zh-CN"/>
                    </w:rPr>
                    <w:t>46</w:t>
                  </w:r>
                </w:p>
              </w:tc>
              <w:tc>
                <w:tcPr>
                  <w:tcW w:w="920" w:type="pct"/>
                  <w:vAlign w:val="center"/>
                </w:tcPr>
                <w:p>
                  <w:pPr>
                    <w:adjustRightInd w:val="0"/>
                    <w:snapToGrid w:val="0"/>
                    <w:jc w:val="center"/>
                    <w:rPr>
                      <w:rFonts w:hint="default" w:eastAsia="宋体"/>
                      <w:color w:val="auto"/>
                      <w:lang w:val="en-US" w:eastAsia="zh-CN"/>
                    </w:rPr>
                  </w:pPr>
                  <w:r>
                    <w:rPr>
                      <w:rFonts w:hint="eastAsia"/>
                      <w:color w:val="auto"/>
                      <w:lang w:val="en-US" w:eastAsia="zh-CN"/>
                    </w:rPr>
                    <w:t>47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4" w:type="pct"/>
                  <w:gridSpan w:val="2"/>
                  <w:vAlign w:val="center"/>
                </w:tcPr>
                <w:p>
                  <w:pPr>
                    <w:adjustRightInd w:val="0"/>
                    <w:snapToGrid w:val="0"/>
                    <w:jc w:val="center"/>
                    <w:rPr>
                      <w:color w:val="auto"/>
                      <w:szCs w:val="21"/>
                    </w:rPr>
                  </w:pPr>
                  <w:r>
                    <w:rPr>
                      <w:color w:val="auto"/>
                      <w:szCs w:val="21"/>
                    </w:rPr>
                    <w:t>噪声标准</w:t>
                  </w:r>
                </w:p>
              </w:tc>
              <w:tc>
                <w:tcPr>
                  <w:tcW w:w="3675" w:type="pct"/>
                  <w:gridSpan w:val="4"/>
                  <w:vAlign w:val="center"/>
                </w:tcPr>
                <w:p>
                  <w:pPr>
                    <w:adjustRightInd w:val="0"/>
                    <w:snapToGrid w:val="0"/>
                    <w:jc w:val="center"/>
                    <w:rPr>
                      <w:color w:val="auto"/>
                    </w:rPr>
                  </w:pPr>
                  <w:r>
                    <w:rPr>
                      <w:color w:val="auto"/>
                    </w:rPr>
                    <w:t>昼间≤60dB(A)，</w:t>
                  </w:r>
                  <w:r>
                    <w:rPr>
                      <w:color w:val="auto"/>
                      <w:szCs w:val="21"/>
                    </w:rPr>
                    <w:t>夜间</w:t>
                  </w:r>
                  <w:r>
                    <w:rPr>
                      <w:color w:val="auto"/>
                    </w:rPr>
                    <w:t>≤50</w:t>
                  </w:r>
                  <w:r>
                    <w:rPr>
                      <w:color w:val="auto"/>
                      <w:szCs w:val="21"/>
                    </w:rPr>
                    <w:t>dB(A)</w:t>
                  </w:r>
                </w:p>
              </w:tc>
            </w:tr>
          </w:tbl>
          <w:p>
            <w:pPr>
              <w:tabs>
                <w:tab w:val="left" w:pos="630"/>
              </w:tabs>
              <w:adjustRightInd w:val="0"/>
              <w:snapToGrid w:val="0"/>
              <w:spacing w:beforeLines="50" w:line="360" w:lineRule="auto"/>
              <w:ind w:firstLine="480" w:firstLineChars="200"/>
              <w:rPr>
                <w:bCs/>
                <w:color w:val="auto"/>
                <w:sz w:val="24"/>
              </w:rPr>
            </w:pPr>
            <w:r>
              <w:rPr>
                <w:bCs/>
                <w:color w:val="auto"/>
                <w:sz w:val="24"/>
              </w:rPr>
              <w:t>由上表可知，项目</w:t>
            </w:r>
            <w:r>
              <w:rPr>
                <w:color w:val="auto"/>
                <w:sz w:val="24"/>
              </w:rPr>
              <w:t>厂界</w:t>
            </w:r>
            <w:r>
              <w:rPr>
                <w:bCs/>
                <w:color w:val="auto"/>
                <w:sz w:val="24"/>
              </w:rPr>
              <w:t>噪声符合</w:t>
            </w:r>
            <w:r>
              <w:rPr>
                <w:color w:val="auto"/>
                <w:sz w:val="24"/>
              </w:rPr>
              <w:t>《声环境质量标准》（GB3096-2008）中2类标准，即</w:t>
            </w:r>
            <w:r>
              <w:rPr>
                <w:bCs/>
                <w:color w:val="auto"/>
                <w:sz w:val="24"/>
              </w:rPr>
              <w:t>昼间≤60dB(A)，夜间≤50dB(A)。</w:t>
            </w:r>
          </w:p>
          <w:p>
            <w:pPr>
              <w:spacing w:line="360" w:lineRule="auto"/>
              <w:rPr>
                <w:b/>
                <w:bCs/>
                <w:sz w:val="24"/>
              </w:rPr>
            </w:pPr>
            <w:r>
              <w:rPr>
                <w:b/>
                <w:bCs/>
                <w:sz w:val="24"/>
              </w:rPr>
              <w:t>4、生态环境现状</w:t>
            </w:r>
          </w:p>
          <w:p>
            <w:pPr>
              <w:spacing w:line="360" w:lineRule="auto"/>
              <w:ind w:firstLine="480" w:firstLineChars="200"/>
              <w:rPr>
                <w:bCs/>
                <w:sz w:val="24"/>
              </w:rPr>
            </w:pPr>
            <w:r>
              <w:rPr>
                <w:bCs/>
                <w:sz w:val="24"/>
              </w:rPr>
              <w:t>本项目利用已建成厂房，不新增用地，且厂房范围内无生态环境保护目标。根据《建设项目环境影响报告表编制技术指南（污染影响类）》（试行），无需开展生态环境现状调查。</w:t>
            </w:r>
          </w:p>
          <w:p>
            <w:pPr>
              <w:spacing w:line="360" w:lineRule="auto"/>
              <w:rPr>
                <w:b/>
                <w:bCs/>
                <w:sz w:val="24"/>
              </w:rPr>
            </w:pPr>
            <w:r>
              <w:rPr>
                <w:b/>
                <w:bCs/>
                <w:sz w:val="24"/>
              </w:rPr>
              <w:t>5、辐射</w:t>
            </w:r>
          </w:p>
          <w:p>
            <w:pPr>
              <w:spacing w:line="360" w:lineRule="auto"/>
              <w:ind w:firstLine="480" w:firstLineChars="200"/>
              <w:rPr>
                <w:bCs/>
                <w:sz w:val="24"/>
              </w:rPr>
            </w:pPr>
            <w:r>
              <w:rPr>
                <w:bCs/>
                <w:sz w:val="24"/>
              </w:rPr>
              <w:t>本项目不属于广播电台、差转台、电视塔台、卫星地球上行站、雷达等电磁辐射类项目。</w:t>
            </w:r>
          </w:p>
          <w:p>
            <w:pPr>
              <w:spacing w:line="360" w:lineRule="auto"/>
              <w:rPr>
                <w:b/>
                <w:bCs/>
                <w:sz w:val="24"/>
              </w:rPr>
            </w:pPr>
            <w:r>
              <w:rPr>
                <w:b/>
                <w:bCs/>
                <w:sz w:val="24"/>
              </w:rPr>
              <w:t>6、地下水、土壤环境质量现状</w:t>
            </w:r>
          </w:p>
          <w:p>
            <w:pPr>
              <w:tabs>
                <w:tab w:val="left" w:pos="630"/>
              </w:tabs>
              <w:adjustRightInd w:val="0"/>
              <w:snapToGrid w:val="0"/>
              <w:spacing w:line="360" w:lineRule="auto"/>
              <w:ind w:firstLine="480" w:firstLineChars="200"/>
              <w:rPr>
                <w:bCs/>
                <w:sz w:val="24"/>
              </w:rPr>
            </w:pPr>
            <w:r>
              <w:rPr>
                <w:bCs/>
                <w:sz w:val="24"/>
              </w:rPr>
              <w:t>根据《建设项目环境影响报告表编制技术指南（污染影响类）》（试行），原则上不开展地下水、土壤环境质量现状调查。本项目生产车间地面均已做硬化和防渗处理，故发生地下水、土壤环境问题的可能性较小，因此不开展现状调查。</w:t>
            </w:r>
          </w:p>
          <w:p>
            <w:pPr>
              <w:tabs>
                <w:tab w:val="left" w:pos="630"/>
              </w:tabs>
              <w:adjustRightInd w:val="0"/>
              <w:snapToGrid w:val="0"/>
              <w:spacing w:line="360" w:lineRule="auto"/>
              <w:ind w:firstLine="480" w:firstLineChars="200"/>
              <w:rPr>
                <w:bCs/>
                <w:color w:val="0000FF"/>
                <w:sz w:val="24"/>
              </w:rPr>
            </w:pPr>
          </w:p>
          <w:p>
            <w:pPr>
              <w:tabs>
                <w:tab w:val="left" w:pos="630"/>
              </w:tabs>
              <w:adjustRightInd w:val="0"/>
              <w:snapToGrid w:val="0"/>
              <w:spacing w:line="360" w:lineRule="auto"/>
              <w:ind w:firstLine="480" w:firstLineChars="200"/>
              <w:rPr>
                <w:bCs/>
                <w:color w:val="0000FF"/>
                <w:sz w:val="24"/>
              </w:rPr>
            </w:pPr>
          </w:p>
          <w:p>
            <w:pPr>
              <w:tabs>
                <w:tab w:val="left" w:pos="630"/>
              </w:tabs>
              <w:adjustRightInd w:val="0"/>
              <w:snapToGrid w:val="0"/>
              <w:spacing w:line="360" w:lineRule="auto"/>
              <w:ind w:firstLine="480" w:firstLineChars="200"/>
              <w:rPr>
                <w:bCs/>
                <w:color w:val="0000FF"/>
                <w:sz w:val="24"/>
              </w:rPr>
            </w:pPr>
          </w:p>
          <w:p>
            <w:pPr>
              <w:tabs>
                <w:tab w:val="left" w:pos="630"/>
              </w:tabs>
              <w:adjustRightInd w:val="0"/>
              <w:snapToGrid w:val="0"/>
              <w:spacing w:line="360" w:lineRule="auto"/>
              <w:rPr>
                <w:bCs/>
                <w:color w:val="0000FF"/>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1" w:hRule="atLeast"/>
          <w:jc w:val="center"/>
        </w:trPr>
        <w:tc>
          <w:tcPr>
            <w:tcW w:w="357" w:type="dxa"/>
            <w:vAlign w:val="center"/>
          </w:tcPr>
          <w:p>
            <w:pPr>
              <w:adjustRightInd w:val="0"/>
              <w:snapToGrid w:val="0"/>
              <w:jc w:val="center"/>
              <w:rPr>
                <w:kern w:val="0"/>
                <w:szCs w:val="21"/>
              </w:rPr>
            </w:pPr>
            <w:r>
              <w:rPr>
                <w:kern w:val="0"/>
                <w:szCs w:val="21"/>
              </w:rPr>
              <w:t>环境</w:t>
            </w:r>
          </w:p>
          <w:p>
            <w:pPr>
              <w:adjustRightInd w:val="0"/>
              <w:snapToGrid w:val="0"/>
              <w:jc w:val="center"/>
              <w:rPr>
                <w:kern w:val="0"/>
                <w:szCs w:val="21"/>
              </w:rPr>
            </w:pPr>
            <w:r>
              <w:rPr>
                <w:kern w:val="0"/>
                <w:szCs w:val="21"/>
              </w:rPr>
              <w:t>保护</w:t>
            </w:r>
          </w:p>
          <w:p>
            <w:pPr>
              <w:adjustRightInd w:val="0"/>
              <w:snapToGrid w:val="0"/>
              <w:jc w:val="center"/>
              <w:rPr>
                <w:color w:val="0000FF"/>
                <w:kern w:val="0"/>
                <w:szCs w:val="21"/>
              </w:rPr>
            </w:pPr>
            <w:r>
              <w:rPr>
                <w:kern w:val="0"/>
                <w:szCs w:val="21"/>
              </w:rPr>
              <w:t>目标</w:t>
            </w:r>
          </w:p>
        </w:tc>
        <w:tc>
          <w:tcPr>
            <w:tcW w:w="8633" w:type="dxa"/>
            <w:vAlign w:val="center"/>
          </w:tcPr>
          <w:p>
            <w:pPr>
              <w:adjustRightInd w:val="0"/>
              <w:snapToGrid w:val="0"/>
              <w:spacing w:line="360" w:lineRule="auto"/>
              <w:ind w:firstLine="482"/>
              <w:rPr>
                <w:sz w:val="24"/>
              </w:rPr>
            </w:pPr>
            <w:r>
              <w:rPr>
                <w:sz w:val="24"/>
              </w:rPr>
              <w:t>1、大气环境</w:t>
            </w:r>
          </w:p>
          <w:p>
            <w:pPr>
              <w:adjustRightInd w:val="0"/>
              <w:snapToGrid w:val="0"/>
              <w:spacing w:line="360" w:lineRule="auto"/>
              <w:ind w:firstLine="482"/>
              <w:rPr>
                <w:sz w:val="24"/>
              </w:rPr>
            </w:pPr>
            <w:r>
              <w:rPr>
                <w:sz w:val="24"/>
              </w:rPr>
              <w:t>项目周围主要环境保护目标见下表：</w:t>
            </w:r>
          </w:p>
          <w:p>
            <w:pPr>
              <w:autoSpaceDE w:val="0"/>
              <w:autoSpaceDN w:val="0"/>
              <w:adjustRightInd w:val="0"/>
              <w:snapToGrid w:val="0"/>
              <w:jc w:val="center"/>
              <w:rPr>
                <w:b/>
                <w:bCs/>
                <w:sz w:val="24"/>
              </w:rPr>
            </w:pPr>
            <w:r>
              <w:rPr>
                <w:b/>
                <w:bCs/>
                <w:sz w:val="24"/>
              </w:rPr>
              <w:t>表3-4  项目环境保护目标一览表</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646"/>
              <w:gridCol w:w="1066"/>
              <w:gridCol w:w="702"/>
              <w:gridCol w:w="1073"/>
              <w:gridCol w:w="1262"/>
              <w:gridCol w:w="183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93" w:type="pct"/>
                  <w:tcBorders>
                    <w:tl2br w:val="nil"/>
                    <w:tr2bl w:val="nil"/>
                  </w:tcBorders>
                  <w:vAlign w:val="center"/>
                </w:tcPr>
                <w:p>
                  <w:pPr>
                    <w:adjustRightInd w:val="0"/>
                    <w:snapToGrid w:val="0"/>
                    <w:jc w:val="center"/>
                    <w:rPr>
                      <w:b/>
                      <w:bCs/>
                      <w:szCs w:val="21"/>
                    </w:rPr>
                  </w:pPr>
                  <w:r>
                    <w:rPr>
                      <w:b/>
                      <w:bCs/>
                      <w:szCs w:val="21"/>
                    </w:rPr>
                    <w:t>环境</w:t>
                  </w:r>
                </w:p>
              </w:tc>
              <w:tc>
                <w:tcPr>
                  <w:tcW w:w="977" w:type="pct"/>
                  <w:tcBorders>
                    <w:tl2br w:val="nil"/>
                    <w:tr2bl w:val="nil"/>
                  </w:tcBorders>
                  <w:vAlign w:val="center"/>
                </w:tcPr>
                <w:p>
                  <w:pPr>
                    <w:tabs>
                      <w:tab w:val="left" w:pos="1021"/>
                    </w:tabs>
                    <w:adjustRightInd w:val="0"/>
                    <w:snapToGrid w:val="0"/>
                    <w:jc w:val="center"/>
                    <w:rPr>
                      <w:b/>
                      <w:bCs/>
                      <w:szCs w:val="21"/>
                    </w:rPr>
                  </w:pPr>
                  <w:r>
                    <w:rPr>
                      <w:b/>
                      <w:bCs/>
                      <w:szCs w:val="21"/>
                    </w:rPr>
                    <w:t>环境保护对象</w:t>
                  </w:r>
                </w:p>
              </w:tc>
              <w:tc>
                <w:tcPr>
                  <w:tcW w:w="633" w:type="pct"/>
                  <w:tcBorders>
                    <w:tl2br w:val="nil"/>
                    <w:tr2bl w:val="nil"/>
                  </w:tcBorders>
                  <w:vAlign w:val="center"/>
                </w:tcPr>
                <w:p>
                  <w:pPr>
                    <w:adjustRightInd w:val="0"/>
                    <w:snapToGrid w:val="0"/>
                    <w:jc w:val="center"/>
                    <w:rPr>
                      <w:b/>
                      <w:bCs/>
                      <w:szCs w:val="21"/>
                    </w:rPr>
                  </w:pPr>
                  <w:r>
                    <w:rPr>
                      <w:b/>
                      <w:bCs/>
                      <w:szCs w:val="21"/>
                    </w:rPr>
                    <w:t>保护内容</w:t>
                  </w:r>
                </w:p>
              </w:tc>
              <w:tc>
                <w:tcPr>
                  <w:tcW w:w="417" w:type="pct"/>
                  <w:tcBorders>
                    <w:tl2br w:val="nil"/>
                    <w:tr2bl w:val="nil"/>
                  </w:tcBorders>
                  <w:vAlign w:val="center"/>
                </w:tcPr>
                <w:p>
                  <w:pPr>
                    <w:adjustRightInd w:val="0"/>
                    <w:snapToGrid w:val="0"/>
                    <w:jc w:val="center"/>
                    <w:rPr>
                      <w:b/>
                      <w:bCs/>
                      <w:szCs w:val="21"/>
                    </w:rPr>
                  </w:pPr>
                  <w:r>
                    <w:rPr>
                      <w:b/>
                      <w:bCs/>
                      <w:szCs w:val="21"/>
                    </w:rPr>
                    <w:t>方位</w:t>
                  </w:r>
                </w:p>
              </w:tc>
              <w:tc>
                <w:tcPr>
                  <w:tcW w:w="637" w:type="pct"/>
                  <w:tcBorders>
                    <w:tl2br w:val="nil"/>
                    <w:tr2bl w:val="nil"/>
                  </w:tcBorders>
                  <w:vAlign w:val="center"/>
                </w:tcPr>
                <w:p>
                  <w:pPr>
                    <w:pStyle w:val="61"/>
                    <w:rPr>
                      <w:rFonts w:ascii="Times New Roman" w:hAnsi="Times New Roman"/>
                      <w:b/>
                      <w:bCs/>
                      <w:color w:val="auto"/>
                      <w:sz w:val="21"/>
                      <w:szCs w:val="21"/>
                    </w:rPr>
                  </w:pPr>
                  <w:r>
                    <w:rPr>
                      <w:rFonts w:ascii="Times New Roman" w:hAnsi="Times New Roman"/>
                      <w:b/>
                      <w:bCs/>
                      <w:color w:val="auto"/>
                      <w:sz w:val="21"/>
                      <w:szCs w:val="21"/>
                    </w:rPr>
                    <w:t>距离（m）</w:t>
                  </w:r>
                </w:p>
              </w:tc>
              <w:tc>
                <w:tcPr>
                  <w:tcW w:w="749" w:type="pct"/>
                  <w:tcBorders>
                    <w:tl2br w:val="nil"/>
                    <w:tr2bl w:val="nil"/>
                  </w:tcBorders>
                  <w:vAlign w:val="center"/>
                </w:tcPr>
                <w:p>
                  <w:pPr>
                    <w:adjustRightInd w:val="0"/>
                    <w:snapToGrid w:val="0"/>
                    <w:jc w:val="center"/>
                    <w:rPr>
                      <w:b/>
                      <w:bCs/>
                      <w:szCs w:val="21"/>
                    </w:rPr>
                  </w:pPr>
                  <w:r>
                    <w:rPr>
                      <w:b/>
                      <w:bCs/>
                      <w:szCs w:val="21"/>
                    </w:rPr>
                    <w:t>规模</w:t>
                  </w:r>
                </w:p>
              </w:tc>
              <w:tc>
                <w:tcPr>
                  <w:tcW w:w="1091" w:type="pct"/>
                  <w:tcBorders>
                    <w:tl2br w:val="nil"/>
                    <w:tr2bl w:val="nil"/>
                  </w:tcBorders>
                  <w:vAlign w:val="center"/>
                </w:tcPr>
                <w:p>
                  <w:pPr>
                    <w:adjustRightInd w:val="0"/>
                    <w:snapToGrid w:val="0"/>
                    <w:jc w:val="center"/>
                    <w:rPr>
                      <w:b/>
                      <w:bCs/>
                      <w:szCs w:val="21"/>
                    </w:rPr>
                  </w:pPr>
                  <w:r>
                    <w:rPr>
                      <w:b/>
                      <w:bCs/>
                      <w:szCs w:val="21"/>
                    </w:rPr>
                    <w:t>环境功能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493" w:type="pct"/>
                  <w:vMerge w:val="restart"/>
                  <w:tcBorders>
                    <w:tl2br w:val="nil"/>
                    <w:tr2bl w:val="nil"/>
                  </w:tcBorders>
                  <w:vAlign w:val="center"/>
                </w:tcPr>
                <w:p>
                  <w:pPr>
                    <w:adjustRightInd w:val="0"/>
                    <w:snapToGrid w:val="0"/>
                    <w:jc w:val="center"/>
                    <w:rPr>
                      <w:szCs w:val="21"/>
                    </w:rPr>
                  </w:pPr>
                  <w:r>
                    <w:rPr>
                      <w:szCs w:val="21"/>
                    </w:rPr>
                    <w:t>空气</w:t>
                  </w:r>
                </w:p>
                <w:p>
                  <w:pPr>
                    <w:adjustRightInd w:val="0"/>
                    <w:snapToGrid w:val="0"/>
                    <w:jc w:val="center"/>
                    <w:rPr>
                      <w:szCs w:val="21"/>
                    </w:rPr>
                  </w:pPr>
                  <w:r>
                    <w:rPr>
                      <w:szCs w:val="21"/>
                    </w:rPr>
                    <w:t>环境</w:t>
                  </w:r>
                </w:p>
              </w:tc>
              <w:tc>
                <w:tcPr>
                  <w:tcW w:w="977" w:type="pct"/>
                  <w:tcBorders>
                    <w:tl2br w:val="nil"/>
                    <w:tr2bl w:val="nil"/>
                  </w:tcBorders>
                  <w:vAlign w:val="center"/>
                </w:tcPr>
                <w:p>
                  <w:pPr>
                    <w:tabs>
                      <w:tab w:val="left" w:pos="1021"/>
                    </w:tabs>
                    <w:adjustRightInd w:val="0"/>
                    <w:snapToGrid w:val="0"/>
                    <w:jc w:val="center"/>
                    <w:rPr>
                      <w:szCs w:val="21"/>
                    </w:rPr>
                  </w:pPr>
                  <w:r>
                    <w:rPr>
                      <w:szCs w:val="21"/>
                    </w:rPr>
                    <w:t>桑园村</w:t>
                  </w:r>
                </w:p>
              </w:tc>
              <w:tc>
                <w:tcPr>
                  <w:tcW w:w="633" w:type="pct"/>
                  <w:vMerge w:val="restart"/>
                  <w:tcBorders>
                    <w:tl2br w:val="nil"/>
                    <w:tr2bl w:val="nil"/>
                  </w:tcBorders>
                  <w:vAlign w:val="center"/>
                </w:tcPr>
                <w:p>
                  <w:pPr>
                    <w:adjustRightInd w:val="0"/>
                    <w:snapToGrid w:val="0"/>
                    <w:jc w:val="center"/>
                    <w:rPr>
                      <w:szCs w:val="21"/>
                    </w:rPr>
                  </w:pPr>
                  <w:r>
                    <w:rPr>
                      <w:szCs w:val="21"/>
                    </w:rPr>
                    <w:t>居</w:t>
                  </w:r>
                </w:p>
                <w:p>
                  <w:pPr>
                    <w:adjustRightInd w:val="0"/>
                    <w:snapToGrid w:val="0"/>
                    <w:jc w:val="center"/>
                    <w:rPr>
                      <w:szCs w:val="21"/>
                    </w:rPr>
                  </w:pPr>
                  <w:r>
                    <w:rPr>
                      <w:szCs w:val="21"/>
                    </w:rPr>
                    <w:t>民</w:t>
                  </w:r>
                </w:p>
                <w:p>
                  <w:pPr>
                    <w:adjustRightInd w:val="0"/>
                    <w:snapToGrid w:val="0"/>
                    <w:jc w:val="center"/>
                    <w:rPr>
                      <w:szCs w:val="21"/>
                    </w:rPr>
                  </w:pPr>
                  <w:r>
                    <w:rPr>
                      <w:szCs w:val="21"/>
                    </w:rPr>
                    <w:t>区</w:t>
                  </w:r>
                </w:p>
              </w:tc>
              <w:tc>
                <w:tcPr>
                  <w:tcW w:w="417" w:type="pct"/>
                  <w:tcBorders>
                    <w:tl2br w:val="nil"/>
                    <w:tr2bl w:val="nil"/>
                  </w:tcBorders>
                  <w:vAlign w:val="center"/>
                </w:tcPr>
                <w:p>
                  <w:pPr>
                    <w:adjustRightInd w:val="0"/>
                    <w:snapToGrid w:val="0"/>
                    <w:jc w:val="center"/>
                    <w:rPr>
                      <w:szCs w:val="21"/>
                    </w:rPr>
                  </w:pPr>
                  <w:r>
                    <w:rPr>
                      <w:szCs w:val="21"/>
                    </w:rPr>
                    <w:t>S</w:t>
                  </w:r>
                </w:p>
              </w:tc>
              <w:tc>
                <w:tcPr>
                  <w:tcW w:w="637" w:type="pct"/>
                  <w:tcBorders>
                    <w:tl2br w:val="nil"/>
                    <w:tr2bl w:val="nil"/>
                  </w:tcBorders>
                  <w:vAlign w:val="center"/>
                </w:tcPr>
                <w:p>
                  <w:pPr>
                    <w:pStyle w:val="61"/>
                    <w:rPr>
                      <w:rFonts w:ascii="Times New Roman" w:hAnsi="Times New Roman"/>
                      <w:color w:val="auto"/>
                      <w:sz w:val="21"/>
                      <w:szCs w:val="21"/>
                    </w:rPr>
                  </w:pPr>
                  <w:r>
                    <w:rPr>
                      <w:rFonts w:ascii="Times New Roman" w:hAnsi="Times New Roman"/>
                      <w:color w:val="auto"/>
                      <w:sz w:val="21"/>
                      <w:szCs w:val="21"/>
                    </w:rPr>
                    <w:t>275</w:t>
                  </w:r>
                </w:p>
              </w:tc>
              <w:tc>
                <w:tcPr>
                  <w:tcW w:w="749" w:type="pct"/>
                  <w:tcBorders>
                    <w:tl2br w:val="nil"/>
                    <w:tr2bl w:val="nil"/>
                  </w:tcBorders>
                  <w:vAlign w:val="center"/>
                </w:tcPr>
                <w:p>
                  <w:pPr>
                    <w:adjustRightInd w:val="0"/>
                    <w:snapToGrid w:val="0"/>
                    <w:jc w:val="center"/>
                    <w:rPr>
                      <w:szCs w:val="21"/>
                    </w:rPr>
                  </w:pPr>
                  <w:r>
                    <w:rPr>
                      <w:szCs w:val="21"/>
                    </w:rPr>
                    <w:t>40户</w:t>
                  </w:r>
                </w:p>
              </w:tc>
              <w:tc>
                <w:tcPr>
                  <w:tcW w:w="1091" w:type="pct"/>
                  <w:vMerge w:val="restart"/>
                  <w:tcBorders>
                    <w:tl2br w:val="nil"/>
                    <w:tr2bl w:val="nil"/>
                  </w:tcBorders>
                  <w:vAlign w:val="center"/>
                </w:tcPr>
                <w:p>
                  <w:pPr>
                    <w:adjustRightInd w:val="0"/>
                    <w:snapToGrid w:val="0"/>
                    <w:jc w:val="center"/>
                    <w:rPr>
                      <w:szCs w:val="21"/>
                    </w:rPr>
                  </w:pPr>
                  <w:r>
                    <w:rPr>
                      <w:szCs w:val="21"/>
                    </w:rPr>
                    <w:t>《环境空气质量标准》（GB3095-2012）中二级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93" w:type="pct"/>
                  <w:vMerge w:val="continue"/>
                  <w:tcBorders>
                    <w:tl2br w:val="nil"/>
                    <w:tr2bl w:val="nil"/>
                  </w:tcBorders>
                  <w:vAlign w:val="center"/>
                </w:tcPr>
                <w:p>
                  <w:pPr>
                    <w:adjustRightInd w:val="0"/>
                    <w:snapToGrid w:val="0"/>
                    <w:jc w:val="center"/>
                    <w:rPr>
                      <w:szCs w:val="21"/>
                    </w:rPr>
                  </w:pPr>
                </w:p>
              </w:tc>
              <w:tc>
                <w:tcPr>
                  <w:tcW w:w="977" w:type="pct"/>
                  <w:tcBorders>
                    <w:tl2br w:val="nil"/>
                    <w:tr2bl w:val="nil"/>
                  </w:tcBorders>
                  <w:vAlign w:val="center"/>
                </w:tcPr>
                <w:p>
                  <w:pPr>
                    <w:tabs>
                      <w:tab w:val="left" w:pos="1021"/>
                    </w:tabs>
                    <w:adjustRightInd w:val="0"/>
                    <w:snapToGrid w:val="0"/>
                    <w:jc w:val="center"/>
                    <w:rPr>
                      <w:szCs w:val="21"/>
                    </w:rPr>
                  </w:pPr>
                  <w:r>
                    <w:rPr>
                      <w:szCs w:val="21"/>
                    </w:rPr>
                    <w:t>后庄</w:t>
                  </w:r>
                </w:p>
              </w:tc>
              <w:tc>
                <w:tcPr>
                  <w:tcW w:w="633" w:type="pct"/>
                  <w:vMerge w:val="continue"/>
                  <w:tcBorders>
                    <w:tl2br w:val="nil"/>
                    <w:tr2bl w:val="nil"/>
                  </w:tcBorders>
                  <w:vAlign w:val="center"/>
                </w:tcPr>
                <w:p>
                  <w:pPr>
                    <w:adjustRightInd w:val="0"/>
                    <w:snapToGrid w:val="0"/>
                    <w:jc w:val="center"/>
                    <w:rPr>
                      <w:szCs w:val="21"/>
                    </w:rPr>
                  </w:pPr>
                </w:p>
              </w:tc>
              <w:tc>
                <w:tcPr>
                  <w:tcW w:w="417" w:type="pct"/>
                  <w:tcBorders>
                    <w:tl2br w:val="nil"/>
                    <w:tr2bl w:val="nil"/>
                  </w:tcBorders>
                  <w:vAlign w:val="center"/>
                </w:tcPr>
                <w:p>
                  <w:pPr>
                    <w:adjustRightInd w:val="0"/>
                    <w:snapToGrid w:val="0"/>
                    <w:jc w:val="center"/>
                    <w:rPr>
                      <w:szCs w:val="21"/>
                    </w:rPr>
                  </w:pPr>
                  <w:r>
                    <w:rPr>
                      <w:szCs w:val="21"/>
                    </w:rPr>
                    <w:t>SE</w:t>
                  </w:r>
                </w:p>
              </w:tc>
              <w:tc>
                <w:tcPr>
                  <w:tcW w:w="637" w:type="pct"/>
                  <w:tcBorders>
                    <w:tl2br w:val="nil"/>
                    <w:tr2bl w:val="nil"/>
                  </w:tcBorders>
                  <w:vAlign w:val="center"/>
                </w:tcPr>
                <w:p>
                  <w:pPr>
                    <w:pStyle w:val="61"/>
                    <w:rPr>
                      <w:rFonts w:ascii="Times New Roman" w:hAnsi="Times New Roman"/>
                      <w:color w:val="auto"/>
                      <w:sz w:val="21"/>
                      <w:szCs w:val="21"/>
                    </w:rPr>
                  </w:pPr>
                  <w:r>
                    <w:rPr>
                      <w:rFonts w:ascii="Times New Roman" w:hAnsi="Times New Roman"/>
                      <w:color w:val="auto"/>
                      <w:sz w:val="21"/>
                      <w:szCs w:val="21"/>
                    </w:rPr>
                    <w:t>353</w:t>
                  </w:r>
                </w:p>
              </w:tc>
              <w:tc>
                <w:tcPr>
                  <w:tcW w:w="749" w:type="pct"/>
                  <w:tcBorders>
                    <w:tl2br w:val="nil"/>
                    <w:tr2bl w:val="nil"/>
                  </w:tcBorders>
                  <w:vAlign w:val="center"/>
                </w:tcPr>
                <w:p>
                  <w:pPr>
                    <w:adjustRightInd w:val="0"/>
                    <w:snapToGrid w:val="0"/>
                    <w:jc w:val="center"/>
                    <w:rPr>
                      <w:szCs w:val="21"/>
                    </w:rPr>
                  </w:pPr>
                  <w:r>
                    <w:rPr>
                      <w:szCs w:val="21"/>
                    </w:rPr>
                    <w:t>150户</w:t>
                  </w:r>
                </w:p>
              </w:tc>
              <w:tc>
                <w:tcPr>
                  <w:tcW w:w="1091" w:type="pct"/>
                  <w:vMerge w:val="continue"/>
                  <w:tcBorders>
                    <w:tl2br w:val="nil"/>
                    <w:tr2bl w:val="nil"/>
                  </w:tcBorders>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93" w:type="pct"/>
                  <w:vMerge w:val="continue"/>
                  <w:tcBorders>
                    <w:tl2br w:val="nil"/>
                    <w:tr2bl w:val="nil"/>
                  </w:tcBorders>
                  <w:vAlign w:val="center"/>
                </w:tcPr>
                <w:p>
                  <w:pPr>
                    <w:adjustRightInd w:val="0"/>
                    <w:snapToGrid w:val="0"/>
                    <w:jc w:val="center"/>
                    <w:rPr>
                      <w:szCs w:val="21"/>
                    </w:rPr>
                  </w:pPr>
                </w:p>
              </w:tc>
              <w:tc>
                <w:tcPr>
                  <w:tcW w:w="977" w:type="pct"/>
                  <w:tcBorders>
                    <w:tl2br w:val="nil"/>
                    <w:tr2bl w:val="nil"/>
                  </w:tcBorders>
                  <w:vAlign w:val="center"/>
                </w:tcPr>
                <w:p>
                  <w:pPr>
                    <w:tabs>
                      <w:tab w:val="left" w:pos="1021"/>
                    </w:tabs>
                    <w:adjustRightInd w:val="0"/>
                    <w:snapToGrid w:val="0"/>
                    <w:jc w:val="center"/>
                    <w:rPr>
                      <w:szCs w:val="21"/>
                    </w:rPr>
                  </w:pPr>
                  <w:r>
                    <w:rPr>
                      <w:szCs w:val="21"/>
                    </w:rPr>
                    <w:t>南庄</w:t>
                  </w:r>
                </w:p>
              </w:tc>
              <w:tc>
                <w:tcPr>
                  <w:tcW w:w="633" w:type="pct"/>
                  <w:vMerge w:val="continue"/>
                  <w:tcBorders>
                    <w:tl2br w:val="nil"/>
                    <w:tr2bl w:val="nil"/>
                  </w:tcBorders>
                  <w:vAlign w:val="center"/>
                </w:tcPr>
                <w:p>
                  <w:pPr>
                    <w:adjustRightInd w:val="0"/>
                    <w:snapToGrid w:val="0"/>
                    <w:jc w:val="center"/>
                    <w:rPr>
                      <w:szCs w:val="21"/>
                    </w:rPr>
                  </w:pPr>
                </w:p>
              </w:tc>
              <w:tc>
                <w:tcPr>
                  <w:tcW w:w="417" w:type="pct"/>
                  <w:tcBorders>
                    <w:tl2br w:val="nil"/>
                    <w:tr2bl w:val="nil"/>
                  </w:tcBorders>
                  <w:vAlign w:val="center"/>
                </w:tcPr>
                <w:p>
                  <w:pPr>
                    <w:adjustRightInd w:val="0"/>
                    <w:snapToGrid w:val="0"/>
                    <w:jc w:val="center"/>
                    <w:rPr>
                      <w:szCs w:val="21"/>
                    </w:rPr>
                  </w:pPr>
                  <w:r>
                    <w:rPr>
                      <w:szCs w:val="21"/>
                    </w:rPr>
                    <w:t>NW</w:t>
                  </w:r>
                </w:p>
              </w:tc>
              <w:tc>
                <w:tcPr>
                  <w:tcW w:w="637" w:type="pct"/>
                  <w:tcBorders>
                    <w:tl2br w:val="nil"/>
                    <w:tr2bl w:val="nil"/>
                  </w:tcBorders>
                  <w:vAlign w:val="center"/>
                </w:tcPr>
                <w:p>
                  <w:pPr>
                    <w:pStyle w:val="61"/>
                    <w:rPr>
                      <w:rFonts w:ascii="Times New Roman" w:hAnsi="Times New Roman"/>
                      <w:color w:val="auto"/>
                      <w:sz w:val="21"/>
                      <w:szCs w:val="21"/>
                    </w:rPr>
                  </w:pPr>
                  <w:r>
                    <w:rPr>
                      <w:rFonts w:ascii="Times New Roman" w:hAnsi="Times New Roman"/>
                      <w:color w:val="auto"/>
                      <w:sz w:val="21"/>
                      <w:szCs w:val="21"/>
                    </w:rPr>
                    <w:t>395</w:t>
                  </w:r>
                </w:p>
              </w:tc>
              <w:tc>
                <w:tcPr>
                  <w:tcW w:w="749" w:type="pct"/>
                  <w:tcBorders>
                    <w:tl2br w:val="nil"/>
                    <w:tr2bl w:val="nil"/>
                  </w:tcBorders>
                  <w:vAlign w:val="center"/>
                </w:tcPr>
                <w:p>
                  <w:pPr>
                    <w:adjustRightInd w:val="0"/>
                    <w:snapToGrid w:val="0"/>
                    <w:jc w:val="center"/>
                    <w:rPr>
                      <w:szCs w:val="21"/>
                    </w:rPr>
                  </w:pPr>
                  <w:r>
                    <w:rPr>
                      <w:szCs w:val="21"/>
                    </w:rPr>
                    <w:t>150户</w:t>
                  </w:r>
                </w:p>
              </w:tc>
              <w:tc>
                <w:tcPr>
                  <w:tcW w:w="1091" w:type="pct"/>
                  <w:vMerge w:val="continue"/>
                  <w:tcBorders>
                    <w:tl2br w:val="nil"/>
                    <w:tr2bl w:val="nil"/>
                  </w:tcBorders>
                  <w:vAlign w:val="center"/>
                </w:tcPr>
                <w:p>
                  <w:pPr>
                    <w:adjustRightInd w:val="0"/>
                    <w:snapToGrid w:val="0"/>
                    <w:jc w:val="center"/>
                    <w:rPr>
                      <w:szCs w:val="21"/>
                    </w:rPr>
                  </w:pPr>
                </w:p>
              </w:tc>
            </w:tr>
          </w:tbl>
          <w:p>
            <w:pPr>
              <w:tabs>
                <w:tab w:val="left" w:pos="630"/>
              </w:tabs>
              <w:adjustRightInd w:val="0"/>
              <w:snapToGrid w:val="0"/>
              <w:spacing w:line="360" w:lineRule="auto"/>
              <w:rPr>
                <w:b/>
                <w:bCs/>
                <w:szCs w:val="21"/>
              </w:rPr>
            </w:pPr>
            <w:r>
              <w:rPr>
                <w:b/>
                <w:bCs/>
                <w:szCs w:val="21"/>
              </w:rPr>
              <w:t>注：以锅炉房边界为起点</w:t>
            </w:r>
            <w:r>
              <w:rPr>
                <w:b/>
                <w:szCs w:val="21"/>
              </w:rPr>
              <w:t>。</w:t>
            </w:r>
          </w:p>
          <w:p>
            <w:pPr>
              <w:spacing w:line="360" w:lineRule="auto"/>
              <w:ind w:firstLine="480" w:firstLineChars="200"/>
              <w:rPr>
                <w:bCs/>
                <w:sz w:val="24"/>
              </w:rPr>
            </w:pPr>
            <w:r>
              <w:rPr>
                <w:bCs/>
                <w:sz w:val="24"/>
              </w:rPr>
              <w:t>2、声环境</w:t>
            </w:r>
          </w:p>
          <w:p>
            <w:pPr>
              <w:spacing w:line="360" w:lineRule="auto"/>
              <w:ind w:firstLine="480" w:firstLineChars="200"/>
              <w:rPr>
                <w:bCs/>
                <w:sz w:val="24"/>
              </w:rPr>
            </w:pPr>
            <w:r>
              <w:rPr>
                <w:bCs/>
                <w:sz w:val="24"/>
              </w:rPr>
              <w:t>本项目周边50m范围内无环境敏感点。</w:t>
            </w:r>
          </w:p>
          <w:p>
            <w:pPr>
              <w:spacing w:line="360" w:lineRule="auto"/>
              <w:ind w:firstLine="480" w:firstLineChars="200"/>
              <w:rPr>
                <w:bCs/>
                <w:sz w:val="24"/>
              </w:rPr>
            </w:pPr>
            <w:r>
              <w:rPr>
                <w:bCs/>
                <w:sz w:val="24"/>
              </w:rPr>
              <w:t>3、地下水环境</w:t>
            </w:r>
          </w:p>
          <w:p>
            <w:pPr>
              <w:spacing w:line="360" w:lineRule="auto"/>
              <w:ind w:firstLine="480" w:firstLineChars="200"/>
              <w:rPr>
                <w:bCs/>
                <w:sz w:val="24"/>
              </w:rPr>
            </w:pPr>
            <w:r>
              <w:rPr>
                <w:bCs/>
                <w:sz w:val="24"/>
              </w:rPr>
              <w:t>厂界外500m范围内无地下水集中式饮用水水源和热水、矿泉水、温泉等特殊地下水资源。</w:t>
            </w:r>
          </w:p>
          <w:p>
            <w:pPr>
              <w:adjustRightInd w:val="0"/>
              <w:snapToGrid w:val="0"/>
              <w:spacing w:line="360" w:lineRule="auto"/>
              <w:ind w:firstLine="482"/>
              <w:rPr>
                <w:bCs/>
                <w:sz w:val="24"/>
              </w:rPr>
            </w:pPr>
            <w:r>
              <w:rPr>
                <w:bCs/>
                <w:sz w:val="24"/>
              </w:rPr>
              <w:t>4、生态环境</w:t>
            </w:r>
          </w:p>
          <w:p>
            <w:pPr>
              <w:autoSpaceDE w:val="0"/>
              <w:autoSpaceDN w:val="0"/>
              <w:adjustRightInd w:val="0"/>
              <w:snapToGrid w:val="0"/>
              <w:jc w:val="center"/>
            </w:pPr>
            <w:r>
              <w:rPr>
                <w:b/>
                <w:bCs/>
                <w:sz w:val="24"/>
              </w:rPr>
              <w:t>表3-5  项目环境保护目标一览表</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550"/>
              <w:gridCol w:w="749"/>
              <w:gridCol w:w="1069"/>
              <w:gridCol w:w="1468"/>
              <w:gridCol w:w="28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29" w:type="pct"/>
                  <w:vAlign w:val="center"/>
                </w:tcPr>
                <w:p>
                  <w:pPr>
                    <w:adjustRightInd w:val="0"/>
                    <w:snapToGrid w:val="0"/>
                    <w:jc w:val="center"/>
                    <w:rPr>
                      <w:b/>
                      <w:bCs/>
                      <w:szCs w:val="21"/>
                    </w:rPr>
                  </w:pPr>
                  <w:r>
                    <w:rPr>
                      <w:b/>
                      <w:bCs/>
                      <w:szCs w:val="21"/>
                    </w:rPr>
                    <w:t>环境</w:t>
                  </w:r>
                </w:p>
              </w:tc>
              <w:tc>
                <w:tcPr>
                  <w:tcW w:w="921" w:type="pct"/>
                  <w:vAlign w:val="center"/>
                </w:tcPr>
                <w:p>
                  <w:pPr>
                    <w:adjustRightInd w:val="0"/>
                    <w:snapToGrid w:val="0"/>
                    <w:jc w:val="center"/>
                    <w:rPr>
                      <w:b/>
                      <w:bCs/>
                      <w:szCs w:val="21"/>
                    </w:rPr>
                  </w:pPr>
                  <w:r>
                    <w:rPr>
                      <w:b/>
                      <w:bCs/>
                      <w:szCs w:val="21"/>
                    </w:rPr>
                    <w:t>环境保护对象</w:t>
                  </w:r>
                </w:p>
              </w:tc>
              <w:tc>
                <w:tcPr>
                  <w:tcW w:w="445" w:type="pct"/>
                  <w:vAlign w:val="center"/>
                </w:tcPr>
                <w:p>
                  <w:pPr>
                    <w:adjustRightInd w:val="0"/>
                    <w:snapToGrid w:val="0"/>
                    <w:jc w:val="center"/>
                    <w:rPr>
                      <w:b/>
                      <w:bCs/>
                      <w:szCs w:val="21"/>
                    </w:rPr>
                  </w:pPr>
                  <w:r>
                    <w:rPr>
                      <w:b/>
                      <w:bCs/>
                      <w:szCs w:val="21"/>
                    </w:rPr>
                    <w:t>方位</w:t>
                  </w:r>
                </w:p>
              </w:tc>
              <w:tc>
                <w:tcPr>
                  <w:tcW w:w="635" w:type="pct"/>
                  <w:vAlign w:val="center"/>
                </w:tcPr>
                <w:p>
                  <w:pPr>
                    <w:adjustRightInd w:val="0"/>
                    <w:snapToGrid w:val="0"/>
                    <w:jc w:val="center"/>
                    <w:rPr>
                      <w:b/>
                      <w:bCs/>
                      <w:szCs w:val="21"/>
                    </w:rPr>
                  </w:pPr>
                  <w:r>
                    <w:rPr>
                      <w:b/>
                      <w:bCs/>
                      <w:szCs w:val="21"/>
                    </w:rPr>
                    <w:t>距离（m）</w:t>
                  </w:r>
                </w:p>
              </w:tc>
              <w:tc>
                <w:tcPr>
                  <w:tcW w:w="872" w:type="pct"/>
                  <w:vAlign w:val="center"/>
                </w:tcPr>
                <w:p>
                  <w:pPr>
                    <w:adjustRightInd w:val="0"/>
                    <w:snapToGrid w:val="0"/>
                    <w:jc w:val="center"/>
                    <w:rPr>
                      <w:b/>
                      <w:bCs/>
                      <w:szCs w:val="21"/>
                    </w:rPr>
                  </w:pPr>
                  <w:r>
                    <w:rPr>
                      <w:b/>
                      <w:bCs/>
                      <w:szCs w:val="21"/>
                    </w:rPr>
                    <w:t>规模</w:t>
                  </w:r>
                </w:p>
              </w:tc>
              <w:tc>
                <w:tcPr>
                  <w:tcW w:w="1697" w:type="pct"/>
                  <w:vAlign w:val="center"/>
                </w:tcPr>
                <w:p>
                  <w:pPr>
                    <w:adjustRightInd w:val="0"/>
                    <w:snapToGrid w:val="0"/>
                    <w:jc w:val="center"/>
                    <w:rPr>
                      <w:b/>
                      <w:bCs/>
                      <w:szCs w:val="21"/>
                    </w:rPr>
                  </w:pPr>
                  <w:r>
                    <w:rPr>
                      <w:b/>
                      <w:bCs/>
                      <w:szCs w:val="21"/>
                    </w:rPr>
                    <w:t>环境功能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29" w:type="pct"/>
                  <w:vMerge w:val="restart"/>
                  <w:vAlign w:val="center"/>
                </w:tcPr>
                <w:p>
                  <w:pPr>
                    <w:adjustRightInd w:val="0"/>
                    <w:snapToGrid w:val="0"/>
                    <w:jc w:val="center"/>
                    <w:rPr>
                      <w:szCs w:val="21"/>
                    </w:rPr>
                  </w:pPr>
                  <w:r>
                    <w:rPr>
                      <w:szCs w:val="21"/>
                    </w:rPr>
                    <w:t>生</w:t>
                  </w:r>
                </w:p>
                <w:p>
                  <w:pPr>
                    <w:adjustRightInd w:val="0"/>
                    <w:snapToGrid w:val="0"/>
                    <w:jc w:val="center"/>
                    <w:rPr>
                      <w:szCs w:val="21"/>
                    </w:rPr>
                  </w:pPr>
                  <w:r>
                    <w:rPr>
                      <w:szCs w:val="21"/>
                    </w:rPr>
                    <w:t>态</w:t>
                  </w:r>
                </w:p>
                <w:p>
                  <w:pPr>
                    <w:adjustRightInd w:val="0"/>
                    <w:snapToGrid w:val="0"/>
                    <w:jc w:val="center"/>
                    <w:rPr>
                      <w:szCs w:val="21"/>
                    </w:rPr>
                  </w:pPr>
                  <w:r>
                    <w:rPr>
                      <w:szCs w:val="21"/>
                    </w:rPr>
                    <w:t>环</w:t>
                  </w:r>
                </w:p>
                <w:p>
                  <w:pPr>
                    <w:adjustRightInd w:val="0"/>
                    <w:snapToGrid w:val="0"/>
                    <w:jc w:val="center"/>
                    <w:rPr>
                      <w:szCs w:val="21"/>
                    </w:rPr>
                  </w:pPr>
                  <w:r>
                    <w:rPr>
                      <w:szCs w:val="21"/>
                    </w:rPr>
                    <w:t>境</w:t>
                  </w:r>
                </w:p>
              </w:tc>
              <w:tc>
                <w:tcPr>
                  <w:tcW w:w="921" w:type="pct"/>
                  <w:vAlign w:val="center"/>
                </w:tcPr>
                <w:p>
                  <w:pPr>
                    <w:adjustRightInd w:val="0"/>
                    <w:snapToGrid w:val="0"/>
                    <w:jc w:val="center"/>
                    <w:rPr>
                      <w:szCs w:val="21"/>
                    </w:rPr>
                  </w:pPr>
                  <w:r>
                    <w:rPr>
                      <w:szCs w:val="21"/>
                    </w:rPr>
                    <w:t>太湖（武进区）重要保护区</w:t>
                  </w:r>
                </w:p>
              </w:tc>
              <w:tc>
                <w:tcPr>
                  <w:tcW w:w="445" w:type="pct"/>
                  <w:vAlign w:val="center"/>
                </w:tcPr>
                <w:p>
                  <w:pPr>
                    <w:adjustRightInd w:val="0"/>
                    <w:snapToGrid w:val="0"/>
                    <w:jc w:val="center"/>
                    <w:rPr>
                      <w:szCs w:val="21"/>
                    </w:rPr>
                  </w:pPr>
                  <w:r>
                    <w:rPr>
                      <w:szCs w:val="21"/>
                    </w:rPr>
                    <w:t>SE</w:t>
                  </w:r>
                </w:p>
              </w:tc>
              <w:tc>
                <w:tcPr>
                  <w:tcW w:w="635" w:type="pct"/>
                  <w:vAlign w:val="center"/>
                </w:tcPr>
                <w:p>
                  <w:pPr>
                    <w:adjustRightInd w:val="0"/>
                    <w:snapToGrid w:val="0"/>
                    <w:jc w:val="center"/>
                    <w:rPr>
                      <w:szCs w:val="21"/>
                    </w:rPr>
                  </w:pPr>
                  <w:r>
                    <w:rPr>
                      <w:szCs w:val="21"/>
                    </w:rPr>
                    <w:t>7300</w:t>
                  </w:r>
                </w:p>
              </w:tc>
              <w:tc>
                <w:tcPr>
                  <w:tcW w:w="872" w:type="pct"/>
                  <w:vAlign w:val="center"/>
                </w:tcPr>
                <w:p>
                  <w:pPr>
                    <w:adjustRightInd w:val="0"/>
                    <w:snapToGrid w:val="0"/>
                    <w:jc w:val="center"/>
                    <w:rPr>
                      <w:szCs w:val="21"/>
                    </w:rPr>
                  </w:pPr>
                  <w:r>
                    <w:rPr>
                      <w:szCs w:val="21"/>
                    </w:rPr>
                    <w:t>生态空间管控区域范围93.93km</w:t>
                  </w:r>
                  <w:r>
                    <w:rPr>
                      <w:szCs w:val="21"/>
                      <w:vertAlign w:val="superscript"/>
                    </w:rPr>
                    <w:t>2</w:t>
                  </w:r>
                </w:p>
              </w:tc>
              <w:tc>
                <w:tcPr>
                  <w:tcW w:w="1697" w:type="pct"/>
                  <w:vAlign w:val="center"/>
                </w:tcPr>
                <w:p>
                  <w:pPr>
                    <w:adjustRightInd w:val="0"/>
                    <w:snapToGrid w:val="0"/>
                    <w:jc w:val="center"/>
                    <w:rPr>
                      <w:szCs w:val="21"/>
                    </w:rPr>
                  </w:pPr>
                  <w:r>
                    <w:rPr>
                      <w:szCs w:val="21"/>
                    </w:rPr>
                    <w:t>《省政府关于印发江苏省生态空间管控区域规划的通知》(苏政发[2020]1号)湿地生态系统保护</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29" w:type="pct"/>
                  <w:vMerge w:val="continue"/>
                  <w:vAlign w:val="center"/>
                </w:tcPr>
                <w:p>
                  <w:pPr>
                    <w:adjustRightInd w:val="0"/>
                    <w:snapToGrid w:val="0"/>
                    <w:jc w:val="center"/>
                    <w:rPr>
                      <w:szCs w:val="21"/>
                    </w:rPr>
                  </w:pPr>
                </w:p>
              </w:tc>
              <w:tc>
                <w:tcPr>
                  <w:tcW w:w="921" w:type="pct"/>
                  <w:vAlign w:val="center"/>
                </w:tcPr>
                <w:p>
                  <w:pPr>
                    <w:adjustRightInd w:val="0"/>
                    <w:snapToGrid w:val="0"/>
                    <w:jc w:val="center"/>
                    <w:rPr>
                      <w:szCs w:val="21"/>
                    </w:rPr>
                  </w:pPr>
                  <w:r>
                    <w:rPr>
                      <w:szCs w:val="21"/>
                    </w:rPr>
                    <w:t>滆湖重要湿地（武进区）</w:t>
                  </w:r>
                </w:p>
              </w:tc>
              <w:tc>
                <w:tcPr>
                  <w:tcW w:w="445" w:type="pct"/>
                  <w:vAlign w:val="center"/>
                </w:tcPr>
                <w:p>
                  <w:pPr>
                    <w:adjustRightInd w:val="0"/>
                    <w:snapToGrid w:val="0"/>
                    <w:jc w:val="center"/>
                    <w:rPr>
                      <w:szCs w:val="21"/>
                    </w:rPr>
                  </w:pPr>
                  <w:r>
                    <w:rPr>
                      <w:szCs w:val="21"/>
                    </w:rPr>
                    <w:t>W</w:t>
                  </w:r>
                </w:p>
              </w:tc>
              <w:tc>
                <w:tcPr>
                  <w:tcW w:w="635" w:type="pct"/>
                  <w:vAlign w:val="center"/>
                </w:tcPr>
                <w:p>
                  <w:pPr>
                    <w:adjustRightInd w:val="0"/>
                    <w:snapToGrid w:val="0"/>
                    <w:jc w:val="center"/>
                    <w:rPr>
                      <w:szCs w:val="21"/>
                    </w:rPr>
                  </w:pPr>
                  <w:r>
                    <w:rPr>
                      <w:szCs w:val="21"/>
                    </w:rPr>
                    <w:t>9200</w:t>
                  </w:r>
                </w:p>
              </w:tc>
              <w:tc>
                <w:tcPr>
                  <w:tcW w:w="872" w:type="pct"/>
                  <w:vAlign w:val="center"/>
                </w:tcPr>
                <w:p>
                  <w:pPr>
                    <w:adjustRightInd w:val="0"/>
                    <w:snapToGrid w:val="0"/>
                    <w:jc w:val="center"/>
                    <w:rPr>
                      <w:szCs w:val="21"/>
                    </w:rPr>
                  </w:pPr>
                  <w:r>
                    <w:rPr>
                      <w:szCs w:val="21"/>
                    </w:rPr>
                    <w:t>国家级生态保护红线范围118.14km</w:t>
                  </w:r>
                  <w:r>
                    <w:rPr>
                      <w:szCs w:val="21"/>
                      <w:vertAlign w:val="superscript"/>
                    </w:rPr>
                    <w:t>2</w:t>
                  </w:r>
                  <w:r>
                    <w:rPr>
                      <w:szCs w:val="21"/>
                    </w:rPr>
                    <w:t>，生态空间管控区域范围18.47km</w:t>
                  </w:r>
                  <w:r>
                    <w:rPr>
                      <w:szCs w:val="21"/>
                      <w:vertAlign w:val="superscript"/>
                    </w:rPr>
                    <w:t>2</w:t>
                  </w:r>
                </w:p>
              </w:tc>
              <w:tc>
                <w:tcPr>
                  <w:tcW w:w="1697" w:type="pct"/>
                  <w:vAlign w:val="center"/>
                </w:tcPr>
                <w:p>
                  <w:pPr>
                    <w:adjustRightInd w:val="0"/>
                    <w:snapToGrid w:val="0"/>
                    <w:jc w:val="center"/>
                    <w:rPr>
                      <w:szCs w:val="21"/>
                    </w:rPr>
                  </w:pPr>
                  <w:r>
                    <w:rPr>
                      <w:szCs w:val="21"/>
                    </w:rPr>
                    <w:t>《省政府关于印发江苏省生态空间管控区域规划的通知》(苏政发[2020]1号)湿地生态系统保护</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29" w:type="pct"/>
                  <w:vMerge w:val="continue"/>
                  <w:vAlign w:val="center"/>
                </w:tcPr>
                <w:p>
                  <w:pPr>
                    <w:adjustRightInd w:val="0"/>
                    <w:snapToGrid w:val="0"/>
                    <w:jc w:val="center"/>
                    <w:rPr>
                      <w:szCs w:val="21"/>
                    </w:rPr>
                  </w:pPr>
                </w:p>
              </w:tc>
              <w:tc>
                <w:tcPr>
                  <w:tcW w:w="921" w:type="pct"/>
                  <w:vAlign w:val="center"/>
                </w:tcPr>
                <w:p>
                  <w:pPr>
                    <w:adjustRightInd w:val="0"/>
                    <w:snapToGrid w:val="0"/>
                    <w:jc w:val="center"/>
                    <w:rPr>
                      <w:szCs w:val="21"/>
                    </w:rPr>
                  </w:pPr>
                  <w:r>
                    <w:rPr>
                      <w:szCs w:val="21"/>
                    </w:rPr>
                    <w:t>滆湖饮用水源保护区</w:t>
                  </w:r>
                </w:p>
              </w:tc>
              <w:tc>
                <w:tcPr>
                  <w:tcW w:w="445" w:type="pct"/>
                  <w:vAlign w:val="center"/>
                </w:tcPr>
                <w:p>
                  <w:pPr>
                    <w:adjustRightInd w:val="0"/>
                    <w:snapToGrid w:val="0"/>
                    <w:jc w:val="center"/>
                    <w:rPr>
                      <w:szCs w:val="21"/>
                    </w:rPr>
                  </w:pPr>
                  <w:r>
                    <w:rPr>
                      <w:szCs w:val="21"/>
                    </w:rPr>
                    <w:t>W</w:t>
                  </w:r>
                </w:p>
              </w:tc>
              <w:tc>
                <w:tcPr>
                  <w:tcW w:w="635" w:type="pct"/>
                  <w:vAlign w:val="center"/>
                </w:tcPr>
                <w:p>
                  <w:pPr>
                    <w:adjustRightInd w:val="0"/>
                    <w:snapToGrid w:val="0"/>
                    <w:jc w:val="center"/>
                    <w:rPr>
                      <w:szCs w:val="21"/>
                    </w:rPr>
                  </w:pPr>
                  <w:r>
                    <w:rPr>
                      <w:szCs w:val="21"/>
                    </w:rPr>
                    <w:t>9200</w:t>
                  </w:r>
                </w:p>
              </w:tc>
              <w:tc>
                <w:tcPr>
                  <w:tcW w:w="872" w:type="pct"/>
                  <w:vAlign w:val="center"/>
                </w:tcPr>
                <w:p>
                  <w:pPr>
                    <w:adjustRightInd w:val="0"/>
                    <w:snapToGrid w:val="0"/>
                    <w:jc w:val="center"/>
                    <w:rPr>
                      <w:szCs w:val="21"/>
                    </w:rPr>
                  </w:pPr>
                  <w:r>
                    <w:rPr>
                      <w:szCs w:val="21"/>
                    </w:rPr>
                    <w:t>国家级生态保护红线范围24.40km</w:t>
                  </w:r>
                  <w:r>
                    <w:rPr>
                      <w:szCs w:val="21"/>
                      <w:vertAlign w:val="superscript"/>
                    </w:rPr>
                    <w:t>2</w:t>
                  </w:r>
                </w:p>
              </w:tc>
              <w:tc>
                <w:tcPr>
                  <w:tcW w:w="1697" w:type="pct"/>
                  <w:vAlign w:val="center"/>
                </w:tcPr>
                <w:p>
                  <w:pPr>
                    <w:adjustRightInd w:val="0"/>
                    <w:snapToGrid w:val="0"/>
                    <w:jc w:val="center"/>
                    <w:rPr>
                      <w:szCs w:val="21"/>
                    </w:rPr>
                  </w:pPr>
                  <w:r>
                    <w:rPr>
                      <w:szCs w:val="21"/>
                    </w:rPr>
                    <w:t>《省政府关于印发江苏省生态空间管控区域规划的通知》(苏政发[2020]1号)水源水质保护</w:t>
                  </w:r>
                </w:p>
              </w:tc>
            </w:tr>
          </w:tbl>
          <w:p>
            <w:pPr>
              <w:tabs>
                <w:tab w:val="left" w:pos="630"/>
              </w:tabs>
              <w:adjustRightInd w:val="0"/>
              <w:snapToGrid w:val="0"/>
              <w:spacing w:line="360" w:lineRule="auto"/>
              <w:rPr>
                <w:b/>
                <w:bCs/>
                <w:szCs w:val="21"/>
              </w:rPr>
            </w:pPr>
            <w:r>
              <w:rPr>
                <w:b/>
                <w:bCs/>
                <w:szCs w:val="21"/>
              </w:rPr>
              <w:t>注：以锅炉房边界为起点</w:t>
            </w:r>
            <w:r>
              <w:rPr>
                <w:b/>
                <w:szCs w:val="21"/>
              </w:rPr>
              <w:t>。</w:t>
            </w:r>
          </w:p>
          <w:p>
            <w:pPr>
              <w:adjustRightInd w:val="0"/>
              <w:snapToGrid w:val="0"/>
              <w:rPr>
                <w:color w:val="0000FF"/>
                <w:kern w:val="0"/>
                <w:szCs w:val="21"/>
              </w:rPr>
            </w:pPr>
          </w:p>
          <w:p>
            <w:pPr>
              <w:adjustRightInd w:val="0"/>
              <w:snapToGrid w:val="0"/>
              <w:rPr>
                <w:color w:val="0000FF"/>
                <w:kern w:val="0"/>
                <w:szCs w:val="21"/>
              </w:rPr>
            </w:pPr>
          </w:p>
          <w:p>
            <w:pPr>
              <w:adjustRightInd w:val="0"/>
              <w:snapToGrid w:val="0"/>
              <w:rPr>
                <w:color w:val="0000FF"/>
                <w:kern w:val="0"/>
                <w:szCs w:val="21"/>
              </w:rPr>
            </w:pPr>
          </w:p>
          <w:p>
            <w:pPr>
              <w:adjustRightInd w:val="0"/>
              <w:snapToGrid w:val="0"/>
              <w:rPr>
                <w:color w:val="0000FF"/>
                <w:kern w:val="0"/>
                <w:szCs w:val="21"/>
              </w:rPr>
            </w:pPr>
          </w:p>
          <w:p>
            <w:pPr>
              <w:adjustRightInd w:val="0"/>
              <w:snapToGrid w:val="0"/>
              <w:rPr>
                <w:color w:val="0000FF"/>
                <w:kern w:val="0"/>
                <w:szCs w:val="21"/>
              </w:rPr>
            </w:pPr>
          </w:p>
          <w:p>
            <w:pPr>
              <w:adjustRightInd w:val="0"/>
              <w:snapToGrid w:val="0"/>
              <w:rPr>
                <w:color w:val="0000FF"/>
                <w:kern w:val="0"/>
                <w:szCs w:val="21"/>
              </w:rPr>
            </w:pPr>
          </w:p>
          <w:p>
            <w:pPr>
              <w:adjustRightInd w:val="0"/>
              <w:snapToGrid w:val="0"/>
              <w:rPr>
                <w:color w:val="0000FF"/>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4" w:hRule="atLeast"/>
          <w:jc w:val="center"/>
        </w:trPr>
        <w:tc>
          <w:tcPr>
            <w:tcW w:w="357" w:type="dxa"/>
            <w:tcMar>
              <w:left w:w="28" w:type="dxa"/>
              <w:right w:w="28" w:type="dxa"/>
            </w:tcMar>
            <w:vAlign w:val="center"/>
          </w:tcPr>
          <w:p>
            <w:pPr>
              <w:adjustRightInd w:val="0"/>
              <w:snapToGrid w:val="0"/>
              <w:jc w:val="center"/>
              <w:rPr>
                <w:kern w:val="0"/>
                <w:szCs w:val="21"/>
              </w:rPr>
            </w:pPr>
            <w:r>
              <w:rPr>
                <w:kern w:val="0"/>
                <w:szCs w:val="21"/>
              </w:rPr>
              <w:t>污染</w:t>
            </w:r>
          </w:p>
          <w:p>
            <w:pPr>
              <w:adjustRightInd w:val="0"/>
              <w:snapToGrid w:val="0"/>
              <w:jc w:val="center"/>
              <w:rPr>
                <w:kern w:val="0"/>
                <w:szCs w:val="21"/>
              </w:rPr>
            </w:pPr>
            <w:r>
              <w:rPr>
                <w:kern w:val="0"/>
                <w:szCs w:val="21"/>
              </w:rPr>
              <w:t>物排</w:t>
            </w:r>
          </w:p>
          <w:p>
            <w:pPr>
              <w:adjustRightInd w:val="0"/>
              <w:snapToGrid w:val="0"/>
              <w:jc w:val="center"/>
              <w:rPr>
                <w:kern w:val="0"/>
                <w:szCs w:val="21"/>
              </w:rPr>
            </w:pPr>
            <w:r>
              <w:rPr>
                <w:kern w:val="0"/>
                <w:szCs w:val="21"/>
              </w:rPr>
              <w:t>放控</w:t>
            </w:r>
          </w:p>
          <w:p>
            <w:pPr>
              <w:adjustRightInd w:val="0"/>
              <w:snapToGrid w:val="0"/>
              <w:jc w:val="center"/>
              <w:rPr>
                <w:kern w:val="0"/>
                <w:szCs w:val="21"/>
              </w:rPr>
            </w:pPr>
            <w:r>
              <w:rPr>
                <w:kern w:val="0"/>
                <w:szCs w:val="21"/>
              </w:rPr>
              <w:t>制标</w:t>
            </w:r>
          </w:p>
          <w:p>
            <w:pPr>
              <w:adjustRightInd w:val="0"/>
              <w:snapToGrid w:val="0"/>
              <w:jc w:val="center"/>
              <w:rPr>
                <w:color w:val="0000FF"/>
                <w:kern w:val="0"/>
                <w:szCs w:val="21"/>
              </w:rPr>
            </w:pPr>
            <w:r>
              <w:rPr>
                <w:kern w:val="0"/>
                <w:szCs w:val="21"/>
              </w:rPr>
              <w:t>准</w:t>
            </w:r>
          </w:p>
        </w:tc>
        <w:tc>
          <w:tcPr>
            <w:tcW w:w="8633" w:type="dxa"/>
          </w:tcPr>
          <w:p>
            <w:pPr>
              <w:spacing w:line="360" w:lineRule="auto"/>
              <w:rPr>
                <w:spacing w:val="-3"/>
                <w:sz w:val="24"/>
              </w:rPr>
            </w:pPr>
            <w:r>
              <w:rPr>
                <w:b/>
                <w:sz w:val="24"/>
              </w:rPr>
              <w:t>1、废气排放标准</w:t>
            </w:r>
          </w:p>
          <w:p>
            <w:pPr>
              <w:spacing w:line="360" w:lineRule="auto"/>
              <w:ind w:firstLine="468" w:firstLineChars="200"/>
              <w:rPr>
                <w:spacing w:val="-3"/>
                <w:sz w:val="24"/>
              </w:rPr>
            </w:pPr>
            <w:r>
              <w:rPr>
                <w:spacing w:val="-3"/>
                <w:sz w:val="24"/>
              </w:rPr>
              <w:t>本项目排放的废气为天然气燃烧废气。其中颗粒物、二氧化硫执行《锅炉大气污染物排放标准》（GB13271-2014）中表3大气污染物特别排放限值；氮氧化物从严执行常州市政府印发</w:t>
            </w:r>
            <w:r>
              <w:rPr>
                <w:szCs w:val="21"/>
              </w:rPr>
              <w:t>的</w:t>
            </w:r>
            <w:r>
              <w:rPr>
                <w:spacing w:val="-3"/>
                <w:sz w:val="24"/>
              </w:rPr>
              <w:t>《2020年常州市打好污染防治攻坚战工作方案》（常政发（2020）29号）文件中的排放限值。具体标准值见下表：</w:t>
            </w:r>
          </w:p>
          <w:p>
            <w:pPr>
              <w:adjustRightInd w:val="0"/>
              <w:jc w:val="center"/>
              <w:rPr>
                <w:b/>
                <w:bCs/>
                <w:sz w:val="24"/>
                <w:szCs w:val="22"/>
              </w:rPr>
            </w:pPr>
            <w:r>
              <w:rPr>
                <w:b/>
                <w:bCs/>
                <w:sz w:val="24"/>
                <w:szCs w:val="22"/>
              </w:rPr>
              <w:t xml:space="preserve">表3-6  </w:t>
            </w:r>
            <w:r>
              <w:rPr>
                <w:b/>
                <w:bCs/>
                <w:spacing w:val="-3"/>
                <w:sz w:val="24"/>
              </w:rPr>
              <w:t>锅炉大气污染物排放标准  单位：</w:t>
            </w:r>
            <w:r>
              <w:rPr>
                <w:b/>
                <w:szCs w:val="21"/>
              </w:rPr>
              <w:t>mg/m</w:t>
            </w:r>
            <w:r>
              <w:rPr>
                <w:b/>
                <w:szCs w:val="21"/>
                <w:vertAlign w:val="superscript"/>
              </w:rPr>
              <w:t>3</w:t>
            </w:r>
          </w:p>
          <w:tbl>
            <w:tblPr>
              <w:tblStyle w:val="22"/>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1101"/>
              <w:gridCol w:w="1315"/>
              <w:gridCol w:w="444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20" w:type="pct"/>
                  <w:vAlign w:val="center"/>
                </w:tcPr>
                <w:p>
                  <w:pPr>
                    <w:pStyle w:val="51"/>
                    <w:adjustRightInd w:val="0"/>
                    <w:snapToGrid w:val="0"/>
                    <w:spacing w:line="240" w:lineRule="auto"/>
                    <w:rPr>
                      <w:rFonts w:ascii="Times New Roman" w:hAnsi="Times New Roman"/>
                      <w:b/>
                      <w:bCs w:val="0"/>
                      <w:szCs w:val="21"/>
                    </w:rPr>
                  </w:pPr>
                  <w:r>
                    <w:rPr>
                      <w:rFonts w:ascii="Times New Roman" w:hAnsi="Times New Roman"/>
                      <w:b/>
                      <w:bCs w:val="0"/>
                      <w:szCs w:val="21"/>
                    </w:rPr>
                    <w:t>污染物项目</w:t>
                  </w:r>
                </w:p>
              </w:tc>
              <w:tc>
                <w:tcPr>
                  <w:tcW w:w="654" w:type="pct"/>
                  <w:vAlign w:val="center"/>
                </w:tcPr>
                <w:p>
                  <w:pPr>
                    <w:pStyle w:val="51"/>
                    <w:adjustRightInd w:val="0"/>
                    <w:snapToGrid w:val="0"/>
                    <w:spacing w:line="240" w:lineRule="auto"/>
                    <w:rPr>
                      <w:rFonts w:ascii="Times New Roman" w:hAnsi="Times New Roman"/>
                      <w:b/>
                      <w:bCs w:val="0"/>
                      <w:szCs w:val="21"/>
                    </w:rPr>
                  </w:pPr>
                  <w:r>
                    <w:rPr>
                      <w:rFonts w:ascii="Times New Roman" w:hAnsi="Times New Roman"/>
                      <w:b/>
                      <w:bCs w:val="0"/>
                      <w:szCs w:val="21"/>
                    </w:rPr>
                    <w:t>燃气锅炉排放限值</w:t>
                  </w:r>
                </w:p>
              </w:tc>
              <w:tc>
                <w:tcPr>
                  <w:tcW w:w="781" w:type="pct"/>
                  <w:vAlign w:val="center"/>
                </w:tcPr>
                <w:p>
                  <w:pPr>
                    <w:pStyle w:val="51"/>
                    <w:adjustRightInd w:val="0"/>
                    <w:snapToGrid w:val="0"/>
                    <w:spacing w:line="240" w:lineRule="auto"/>
                    <w:rPr>
                      <w:rFonts w:ascii="Times New Roman" w:hAnsi="Times New Roman"/>
                      <w:b/>
                      <w:bCs w:val="0"/>
                      <w:szCs w:val="21"/>
                    </w:rPr>
                  </w:pPr>
                  <w:r>
                    <w:rPr>
                      <w:rFonts w:ascii="Times New Roman" w:hAnsi="Times New Roman"/>
                      <w:b/>
                      <w:bCs w:val="0"/>
                      <w:szCs w:val="21"/>
                    </w:rPr>
                    <w:t>污染物排放监控位置</w:t>
                  </w:r>
                </w:p>
              </w:tc>
              <w:tc>
                <w:tcPr>
                  <w:tcW w:w="2643" w:type="pct"/>
                  <w:vAlign w:val="center"/>
                </w:tcPr>
                <w:p>
                  <w:pPr>
                    <w:pStyle w:val="51"/>
                    <w:adjustRightInd w:val="0"/>
                    <w:snapToGrid w:val="0"/>
                    <w:spacing w:line="240" w:lineRule="auto"/>
                    <w:rPr>
                      <w:rFonts w:ascii="Times New Roman" w:hAnsi="Times New Roman"/>
                      <w:b/>
                      <w:bCs w:val="0"/>
                      <w:szCs w:val="21"/>
                    </w:rPr>
                  </w:pPr>
                  <w:r>
                    <w:rPr>
                      <w:rFonts w:ascii="Times New Roman" w:hAnsi="Times New Roman"/>
                      <w:b/>
                      <w:bCs w:val="0"/>
                      <w:szCs w:val="21"/>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20" w:type="pct"/>
                  <w:vAlign w:val="center"/>
                </w:tcPr>
                <w:p>
                  <w:pPr>
                    <w:pStyle w:val="51"/>
                    <w:adjustRightInd w:val="0"/>
                    <w:snapToGrid w:val="0"/>
                    <w:spacing w:line="240" w:lineRule="auto"/>
                    <w:rPr>
                      <w:rFonts w:ascii="Times New Roman" w:hAnsi="Times New Roman"/>
                      <w:szCs w:val="21"/>
                    </w:rPr>
                  </w:pPr>
                  <w:r>
                    <w:rPr>
                      <w:rFonts w:ascii="Times New Roman" w:hAnsi="Times New Roman"/>
                      <w:szCs w:val="21"/>
                    </w:rPr>
                    <w:t>烟气黑度（林格曼黑度，级）</w:t>
                  </w:r>
                </w:p>
              </w:tc>
              <w:tc>
                <w:tcPr>
                  <w:tcW w:w="654" w:type="pct"/>
                  <w:vAlign w:val="center"/>
                </w:tcPr>
                <w:p>
                  <w:pPr>
                    <w:pStyle w:val="51"/>
                    <w:adjustRightInd w:val="0"/>
                    <w:snapToGrid w:val="0"/>
                    <w:spacing w:line="240" w:lineRule="auto"/>
                    <w:rPr>
                      <w:rFonts w:ascii="Times New Roman" w:hAnsi="Times New Roman"/>
                      <w:szCs w:val="21"/>
                    </w:rPr>
                  </w:pPr>
                  <w:r>
                    <w:rPr>
                      <w:rFonts w:ascii="Times New Roman" w:hAnsi="Times New Roman"/>
                      <w:szCs w:val="21"/>
                    </w:rPr>
                    <w:t>≤1</w:t>
                  </w:r>
                </w:p>
              </w:tc>
              <w:tc>
                <w:tcPr>
                  <w:tcW w:w="781" w:type="pct"/>
                  <w:vAlign w:val="center"/>
                </w:tcPr>
                <w:p>
                  <w:pPr>
                    <w:pStyle w:val="51"/>
                    <w:adjustRightInd w:val="0"/>
                    <w:snapToGrid w:val="0"/>
                    <w:spacing w:line="240" w:lineRule="auto"/>
                    <w:rPr>
                      <w:rFonts w:ascii="Times New Roman" w:hAnsi="Times New Roman"/>
                      <w:szCs w:val="21"/>
                    </w:rPr>
                  </w:pPr>
                  <w:r>
                    <w:rPr>
                      <w:rFonts w:ascii="Times New Roman" w:hAnsi="Times New Roman"/>
                      <w:szCs w:val="21"/>
                    </w:rPr>
                    <w:t>烟囱排放口</w:t>
                  </w:r>
                </w:p>
              </w:tc>
              <w:tc>
                <w:tcPr>
                  <w:tcW w:w="2643" w:type="pct"/>
                  <w:vMerge w:val="restart"/>
                  <w:vAlign w:val="center"/>
                </w:tcPr>
                <w:p>
                  <w:pPr>
                    <w:pStyle w:val="51"/>
                    <w:adjustRightInd w:val="0"/>
                    <w:snapToGrid w:val="0"/>
                    <w:spacing w:line="240" w:lineRule="auto"/>
                    <w:rPr>
                      <w:rFonts w:ascii="Times New Roman" w:hAnsi="Times New Roman"/>
                      <w:szCs w:val="21"/>
                    </w:rPr>
                  </w:pPr>
                  <w:r>
                    <w:rPr>
                      <w:rFonts w:ascii="Times New Roman" w:hAnsi="Times New Roman"/>
                      <w:szCs w:val="21"/>
                    </w:rPr>
                    <w:t>《锅炉大气污染物排放标准》</w:t>
                  </w:r>
                </w:p>
                <w:p>
                  <w:pPr>
                    <w:pStyle w:val="51"/>
                    <w:adjustRightInd w:val="0"/>
                    <w:snapToGrid w:val="0"/>
                    <w:spacing w:line="240" w:lineRule="auto"/>
                    <w:rPr>
                      <w:rFonts w:ascii="Times New Roman" w:hAnsi="Times New Roman"/>
                      <w:szCs w:val="21"/>
                    </w:rPr>
                  </w:pPr>
                  <w:r>
                    <w:rPr>
                      <w:rFonts w:ascii="Times New Roman" w:hAnsi="Times New Roman"/>
                      <w:szCs w:val="21"/>
                    </w:rPr>
                    <w:t>（GB13271-2014）中表3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20" w:type="pct"/>
                  <w:vAlign w:val="center"/>
                </w:tcPr>
                <w:p>
                  <w:pPr>
                    <w:pStyle w:val="51"/>
                    <w:adjustRightInd w:val="0"/>
                    <w:snapToGrid w:val="0"/>
                    <w:spacing w:line="240" w:lineRule="auto"/>
                    <w:rPr>
                      <w:rFonts w:ascii="Times New Roman" w:hAnsi="Times New Roman"/>
                      <w:szCs w:val="21"/>
                    </w:rPr>
                  </w:pPr>
                  <w:r>
                    <w:rPr>
                      <w:rFonts w:ascii="Times New Roman" w:hAnsi="Times New Roman"/>
                      <w:szCs w:val="21"/>
                    </w:rPr>
                    <w:t>颗粒物</w:t>
                  </w:r>
                </w:p>
              </w:tc>
              <w:tc>
                <w:tcPr>
                  <w:tcW w:w="654" w:type="pct"/>
                  <w:vAlign w:val="center"/>
                </w:tcPr>
                <w:p>
                  <w:pPr>
                    <w:pStyle w:val="51"/>
                    <w:adjustRightInd w:val="0"/>
                    <w:snapToGrid w:val="0"/>
                    <w:spacing w:line="240" w:lineRule="auto"/>
                    <w:rPr>
                      <w:rFonts w:ascii="Times New Roman" w:hAnsi="Times New Roman"/>
                      <w:szCs w:val="21"/>
                    </w:rPr>
                  </w:pPr>
                  <w:r>
                    <w:rPr>
                      <w:rFonts w:ascii="Times New Roman" w:hAnsi="Times New Roman"/>
                      <w:szCs w:val="21"/>
                    </w:rPr>
                    <w:t>20</w:t>
                  </w:r>
                </w:p>
              </w:tc>
              <w:tc>
                <w:tcPr>
                  <w:tcW w:w="781" w:type="pct"/>
                  <w:vMerge w:val="restart"/>
                  <w:vAlign w:val="center"/>
                </w:tcPr>
                <w:p>
                  <w:pPr>
                    <w:pStyle w:val="51"/>
                    <w:adjustRightInd w:val="0"/>
                    <w:snapToGrid w:val="0"/>
                    <w:spacing w:line="240" w:lineRule="auto"/>
                    <w:rPr>
                      <w:rFonts w:ascii="Times New Roman" w:hAnsi="Times New Roman"/>
                      <w:szCs w:val="21"/>
                    </w:rPr>
                  </w:pPr>
                  <w:r>
                    <w:rPr>
                      <w:rFonts w:ascii="Times New Roman" w:hAnsi="Times New Roman"/>
                      <w:szCs w:val="21"/>
                    </w:rPr>
                    <w:t>烟囱或烟道</w:t>
                  </w:r>
                </w:p>
              </w:tc>
              <w:tc>
                <w:tcPr>
                  <w:tcW w:w="2643" w:type="pct"/>
                  <w:vMerge w:val="continue"/>
                  <w:vAlign w:val="center"/>
                </w:tcPr>
                <w:p>
                  <w:pPr>
                    <w:pStyle w:val="51"/>
                    <w:adjustRightInd w:val="0"/>
                    <w:snapToGrid w:val="0"/>
                    <w:spacing w:line="240" w:lineRule="auto"/>
                    <w:rPr>
                      <w:rFonts w:ascii="Times New Roman" w:hAnsi="Times New Roman"/>
                      <w:sz w:val="2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20" w:type="pct"/>
                  <w:vAlign w:val="center"/>
                </w:tcPr>
                <w:p>
                  <w:pPr>
                    <w:pStyle w:val="51"/>
                    <w:adjustRightInd w:val="0"/>
                    <w:snapToGrid w:val="0"/>
                    <w:spacing w:line="240" w:lineRule="auto"/>
                    <w:rPr>
                      <w:rFonts w:ascii="Times New Roman" w:hAnsi="Times New Roman"/>
                      <w:szCs w:val="21"/>
                    </w:rPr>
                  </w:pPr>
                  <w:r>
                    <w:rPr>
                      <w:rFonts w:ascii="Times New Roman" w:hAnsi="Times New Roman"/>
                      <w:szCs w:val="21"/>
                    </w:rPr>
                    <w:t>二氧化硫</w:t>
                  </w:r>
                </w:p>
              </w:tc>
              <w:tc>
                <w:tcPr>
                  <w:tcW w:w="654" w:type="pct"/>
                  <w:vAlign w:val="center"/>
                </w:tcPr>
                <w:p>
                  <w:pPr>
                    <w:pStyle w:val="51"/>
                    <w:adjustRightInd w:val="0"/>
                    <w:snapToGrid w:val="0"/>
                    <w:spacing w:line="240" w:lineRule="auto"/>
                    <w:rPr>
                      <w:rFonts w:ascii="Times New Roman" w:hAnsi="Times New Roman"/>
                      <w:szCs w:val="21"/>
                    </w:rPr>
                  </w:pPr>
                  <w:r>
                    <w:rPr>
                      <w:rFonts w:ascii="Times New Roman" w:hAnsi="Times New Roman"/>
                      <w:szCs w:val="21"/>
                    </w:rPr>
                    <w:t>50</w:t>
                  </w:r>
                </w:p>
              </w:tc>
              <w:tc>
                <w:tcPr>
                  <w:tcW w:w="781" w:type="pct"/>
                  <w:vMerge w:val="continue"/>
                  <w:vAlign w:val="center"/>
                </w:tcPr>
                <w:p>
                  <w:pPr>
                    <w:pStyle w:val="51"/>
                    <w:adjustRightInd w:val="0"/>
                    <w:snapToGrid w:val="0"/>
                    <w:spacing w:line="240" w:lineRule="auto"/>
                    <w:rPr>
                      <w:rFonts w:ascii="Times New Roman" w:hAnsi="Times New Roman"/>
                      <w:szCs w:val="21"/>
                    </w:rPr>
                  </w:pPr>
                </w:p>
              </w:tc>
              <w:tc>
                <w:tcPr>
                  <w:tcW w:w="2643" w:type="pct"/>
                  <w:vMerge w:val="continue"/>
                  <w:vAlign w:val="center"/>
                </w:tcPr>
                <w:p>
                  <w:pPr>
                    <w:pStyle w:val="51"/>
                    <w:adjustRightInd w:val="0"/>
                    <w:snapToGrid w:val="0"/>
                    <w:spacing w:line="240" w:lineRule="auto"/>
                    <w:rPr>
                      <w:rFonts w:ascii="Times New Roman" w:hAnsi="Times New Roman"/>
                      <w:sz w:val="2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20" w:type="pct"/>
                  <w:vMerge w:val="restart"/>
                  <w:vAlign w:val="center"/>
                </w:tcPr>
                <w:p>
                  <w:pPr>
                    <w:pStyle w:val="51"/>
                    <w:adjustRightInd w:val="0"/>
                    <w:snapToGrid w:val="0"/>
                    <w:spacing w:line="240" w:lineRule="auto"/>
                    <w:rPr>
                      <w:rFonts w:ascii="Times New Roman" w:hAnsi="Times New Roman"/>
                      <w:szCs w:val="21"/>
                    </w:rPr>
                  </w:pPr>
                  <w:r>
                    <w:rPr>
                      <w:rFonts w:ascii="Times New Roman" w:hAnsi="Times New Roman"/>
                      <w:szCs w:val="21"/>
                    </w:rPr>
                    <w:t>氮氧化物</w:t>
                  </w:r>
                </w:p>
              </w:tc>
              <w:tc>
                <w:tcPr>
                  <w:tcW w:w="654" w:type="pct"/>
                  <w:vAlign w:val="center"/>
                </w:tcPr>
                <w:p>
                  <w:pPr>
                    <w:pStyle w:val="51"/>
                    <w:adjustRightInd w:val="0"/>
                    <w:snapToGrid w:val="0"/>
                    <w:spacing w:line="240" w:lineRule="auto"/>
                    <w:rPr>
                      <w:rFonts w:ascii="Times New Roman" w:hAnsi="Times New Roman"/>
                      <w:szCs w:val="21"/>
                    </w:rPr>
                  </w:pPr>
                  <w:r>
                    <w:rPr>
                      <w:rFonts w:ascii="Times New Roman" w:hAnsi="Times New Roman"/>
                      <w:szCs w:val="21"/>
                    </w:rPr>
                    <w:t>150</w:t>
                  </w:r>
                </w:p>
              </w:tc>
              <w:tc>
                <w:tcPr>
                  <w:tcW w:w="781" w:type="pct"/>
                  <w:vMerge w:val="continue"/>
                  <w:vAlign w:val="center"/>
                </w:tcPr>
                <w:p>
                  <w:pPr>
                    <w:pStyle w:val="51"/>
                    <w:adjustRightInd w:val="0"/>
                    <w:snapToGrid w:val="0"/>
                    <w:spacing w:line="240" w:lineRule="auto"/>
                    <w:rPr>
                      <w:rFonts w:ascii="Times New Roman" w:hAnsi="Times New Roman"/>
                      <w:sz w:val="24"/>
                    </w:rPr>
                  </w:pPr>
                </w:p>
              </w:tc>
              <w:tc>
                <w:tcPr>
                  <w:tcW w:w="2643" w:type="pct"/>
                  <w:vMerge w:val="continue"/>
                  <w:vAlign w:val="center"/>
                </w:tcPr>
                <w:p>
                  <w:pPr>
                    <w:pStyle w:val="51"/>
                    <w:adjustRightInd w:val="0"/>
                    <w:snapToGrid w:val="0"/>
                    <w:spacing w:line="240" w:lineRule="auto"/>
                    <w:rPr>
                      <w:rFonts w:ascii="Times New Roman" w:hAnsi="Times New Roman"/>
                      <w:sz w:val="2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20" w:type="pct"/>
                  <w:vMerge w:val="continue"/>
                  <w:vAlign w:val="center"/>
                </w:tcPr>
                <w:p>
                  <w:pPr>
                    <w:pStyle w:val="51"/>
                    <w:adjustRightInd w:val="0"/>
                    <w:snapToGrid w:val="0"/>
                    <w:spacing w:line="240" w:lineRule="auto"/>
                    <w:rPr>
                      <w:rFonts w:ascii="Times New Roman" w:hAnsi="Times New Roman"/>
                      <w:szCs w:val="21"/>
                    </w:rPr>
                  </w:pPr>
                </w:p>
              </w:tc>
              <w:tc>
                <w:tcPr>
                  <w:tcW w:w="654" w:type="pct"/>
                  <w:vAlign w:val="center"/>
                </w:tcPr>
                <w:p>
                  <w:pPr>
                    <w:pStyle w:val="51"/>
                    <w:adjustRightInd w:val="0"/>
                    <w:snapToGrid w:val="0"/>
                    <w:spacing w:line="240" w:lineRule="auto"/>
                    <w:rPr>
                      <w:rFonts w:ascii="Times New Roman" w:hAnsi="Times New Roman"/>
                      <w:szCs w:val="21"/>
                    </w:rPr>
                  </w:pPr>
                  <w:r>
                    <w:rPr>
                      <w:rFonts w:ascii="Times New Roman" w:hAnsi="Times New Roman"/>
                      <w:szCs w:val="21"/>
                    </w:rPr>
                    <w:t>50</w:t>
                  </w:r>
                </w:p>
              </w:tc>
              <w:tc>
                <w:tcPr>
                  <w:tcW w:w="781" w:type="pct"/>
                  <w:vAlign w:val="center"/>
                </w:tcPr>
                <w:p>
                  <w:pPr>
                    <w:pStyle w:val="51"/>
                    <w:adjustRightInd w:val="0"/>
                    <w:snapToGrid w:val="0"/>
                    <w:spacing w:line="240" w:lineRule="auto"/>
                    <w:rPr>
                      <w:rFonts w:ascii="Times New Roman" w:hAnsi="Times New Roman"/>
                      <w:sz w:val="24"/>
                    </w:rPr>
                  </w:pPr>
                  <w:r>
                    <w:rPr>
                      <w:rFonts w:ascii="Times New Roman" w:hAnsi="Times New Roman"/>
                      <w:sz w:val="24"/>
                    </w:rPr>
                    <w:t>/</w:t>
                  </w:r>
                </w:p>
              </w:tc>
              <w:tc>
                <w:tcPr>
                  <w:tcW w:w="2643" w:type="pct"/>
                  <w:vAlign w:val="center"/>
                </w:tcPr>
                <w:p>
                  <w:pPr>
                    <w:pStyle w:val="51"/>
                    <w:adjustRightInd w:val="0"/>
                    <w:snapToGrid w:val="0"/>
                    <w:spacing w:line="240" w:lineRule="auto"/>
                    <w:rPr>
                      <w:rFonts w:ascii="Times New Roman" w:hAnsi="Times New Roman"/>
                      <w:sz w:val="24"/>
                    </w:rPr>
                  </w:pPr>
                  <w:r>
                    <w:rPr>
                      <w:rFonts w:ascii="Times New Roman" w:hAnsi="Times New Roman"/>
                      <w:szCs w:val="21"/>
                    </w:rPr>
                    <w:t>常州市政府印发的《2020年常州市打好污染防治攻坚战工作方案》（常政发（2020）29号）</w:t>
                  </w:r>
                </w:p>
              </w:tc>
            </w:tr>
          </w:tbl>
          <w:p>
            <w:pPr>
              <w:spacing w:line="360" w:lineRule="auto"/>
              <w:ind w:firstLine="420" w:firstLineChars="200"/>
              <w:rPr>
                <w:spacing w:val="-3"/>
                <w:sz w:val="24"/>
              </w:rPr>
            </w:pPr>
            <w:r>
              <w:drawing>
                <wp:anchor distT="0" distB="0" distL="114300" distR="114300" simplePos="0" relativeHeight="251659264" behindDoc="1" locked="0" layoutInCell="1" allowOverlap="1">
                  <wp:simplePos x="0" y="0"/>
                  <wp:positionH relativeFrom="column">
                    <wp:posOffset>1168400</wp:posOffset>
                  </wp:positionH>
                  <wp:positionV relativeFrom="paragraph">
                    <wp:posOffset>793750</wp:posOffset>
                  </wp:positionV>
                  <wp:extent cx="1607820" cy="626110"/>
                  <wp:effectExtent l="0" t="0" r="11430" b="2540"/>
                  <wp:wrapNone/>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6" cstate="print"/>
                          <a:stretch>
                            <a:fillRect/>
                          </a:stretch>
                        </pic:blipFill>
                        <pic:spPr>
                          <a:xfrm>
                            <a:off x="0" y="0"/>
                            <a:ext cx="1607820" cy="626110"/>
                          </a:xfrm>
                          <a:prstGeom prst="rect">
                            <a:avLst/>
                          </a:prstGeom>
                          <a:noFill/>
                          <a:ln>
                            <a:noFill/>
                          </a:ln>
                        </pic:spPr>
                      </pic:pic>
                    </a:graphicData>
                  </a:graphic>
                </wp:anchor>
              </w:drawing>
            </w:r>
            <w:r>
              <w:rPr>
                <w:spacing w:val="-3"/>
                <w:sz w:val="24"/>
              </w:rPr>
              <w:t>依据《锅炉大气污染物排放标准》（GB13271-2014）要求，实测的锅炉颗粒物、二氧化硫、氮氧化物的排放浓度，应按公式(1)折算为基准氧含量排放浓度。各类燃烧设备的基准氧含量见表3-7：</w:t>
            </w:r>
          </w:p>
          <w:p>
            <w:pPr>
              <w:adjustRightInd w:val="0"/>
            </w:pPr>
          </w:p>
          <w:p>
            <w:pPr>
              <w:adjustRightInd w:val="0"/>
              <w:ind w:firstLine="3990" w:firstLineChars="1900"/>
              <w:rPr>
                <w:b/>
                <w:bCs/>
                <w:sz w:val="24"/>
                <w:szCs w:val="22"/>
              </w:rPr>
            </w:pPr>
            <w:r>
              <w:t xml:space="preserve">          （1）</w:t>
            </w:r>
          </w:p>
          <w:p>
            <w:pPr>
              <w:adjustRightInd w:val="0"/>
              <w:jc w:val="center"/>
              <w:rPr>
                <w:b/>
                <w:bCs/>
                <w:sz w:val="24"/>
                <w:szCs w:val="22"/>
              </w:rPr>
            </w:pPr>
          </w:p>
          <w:p>
            <w:pPr>
              <w:adjustRightInd w:val="0"/>
              <w:jc w:val="center"/>
              <w:rPr>
                <w:b/>
                <w:bCs/>
                <w:sz w:val="24"/>
                <w:szCs w:val="22"/>
              </w:rPr>
            </w:pPr>
          </w:p>
          <w:p>
            <w:pPr>
              <w:adjustRightInd w:val="0"/>
              <w:snapToGrid w:val="0"/>
              <w:spacing w:line="360" w:lineRule="auto"/>
              <w:ind w:firstLine="480" w:firstLineChars="200"/>
              <w:rPr>
                <w:sz w:val="24"/>
              </w:rPr>
            </w:pPr>
            <w:r>
              <w:rPr>
                <w:sz w:val="24"/>
              </w:rPr>
              <w:t>式中：ρ——大气污染物基准氧含量排放浓度；mg/m</w:t>
            </w:r>
            <w:r>
              <w:rPr>
                <w:sz w:val="24"/>
                <w:vertAlign w:val="superscript"/>
              </w:rPr>
              <w:t>3</w:t>
            </w:r>
            <w:r>
              <w:rPr>
                <w:sz w:val="24"/>
              </w:rPr>
              <w:t>；</w:t>
            </w:r>
          </w:p>
          <w:p>
            <w:pPr>
              <w:adjustRightInd w:val="0"/>
              <w:snapToGrid w:val="0"/>
              <w:spacing w:line="360" w:lineRule="auto"/>
              <w:ind w:firstLine="1200" w:firstLineChars="500"/>
              <w:rPr>
                <w:sz w:val="24"/>
              </w:rPr>
            </w:pPr>
            <w:r>
              <w:rPr>
                <w:sz w:val="24"/>
              </w:rPr>
              <w:t>ρ’——实测的大气污染物排放浓度，mg/m</w:t>
            </w:r>
            <w:r>
              <w:rPr>
                <w:sz w:val="24"/>
                <w:vertAlign w:val="superscript"/>
              </w:rPr>
              <w:t>3</w:t>
            </w:r>
            <w:r>
              <w:rPr>
                <w:sz w:val="24"/>
              </w:rPr>
              <w:t>；</w:t>
            </w:r>
          </w:p>
          <w:p>
            <w:pPr>
              <w:pStyle w:val="8"/>
              <w:ind w:left="0" w:leftChars="0" w:right="1470" w:firstLine="1200" w:firstLineChars="500"/>
              <w:rPr>
                <w:rFonts w:ascii="Times New Roman" w:hAnsi="Times New Roman"/>
                <w:sz w:val="24"/>
              </w:rPr>
            </w:pPr>
            <w:r>
              <w:rPr>
                <w:rFonts w:ascii="Times New Roman" w:hAnsi="Times New Roman"/>
                <w:color w:val="222222"/>
                <w:sz w:val="24"/>
                <w:szCs w:val="24"/>
                <w:shd w:val="clear" w:color="auto" w:fill="FFFFFF"/>
              </w:rPr>
              <w:t>φ</w:t>
            </w:r>
            <w:r>
              <w:rPr>
                <w:rFonts w:ascii="Times New Roman" w:hAnsi="Times New Roman"/>
                <w:sz w:val="24"/>
                <w:szCs w:val="24"/>
              </w:rPr>
              <w:t>——实测的氧含</w:t>
            </w:r>
            <w:r>
              <w:rPr>
                <w:rFonts w:ascii="Times New Roman" w:hAnsi="Times New Roman"/>
                <w:sz w:val="24"/>
              </w:rPr>
              <w:t>量；</w:t>
            </w:r>
          </w:p>
          <w:p>
            <w:pPr>
              <w:pStyle w:val="8"/>
              <w:ind w:left="0" w:leftChars="0" w:right="1470" w:firstLine="1200" w:firstLineChars="500"/>
              <w:rPr>
                <w:rFonts w:ascii="Times New Roman" w:hAnsi="Times New Roman"/>
              </w:rPr>
            </w:pPr>
            <w:r>
              <w:rPr>
                <w:rFonts w:ascii="Times New Roman" w:hAnsi="Times New Roman"/>
                <w:color w:val="222222"/>
                <w:sz w:val="24"/>
                <w:szCs w:val="24"/>
                <w:shd w:val="clear" w:color="auto" w:fill="FFFFFF"/>
              </w:rPr>
              <w:t>φ</w:t>
            </w:r>
            <w:r>
              <w:rPr>
                <w:rFonts w:ascii="Times New Roman" w:hAnsi="Times New Roman"/>
                <w:sz w:val="24"/>
              </w:rPr>
              <w:t>’</w:t>
            </w:r>
            <w:r>
              <w:rPr>
                <w:rFonts w:ascii="Times New Roman" w:hAnsi="Times New Roman"/>
                <w:sz w:val="24"/>
                <w:szCs w:val="24"/>
              </w:rPr>
              <w:t>——实测的氧含</w:t>
            </w:r>
            <w:r>
              <w:rPr>
                <w:rFonts w:ascii="Times New Roman" w:hAnsi="Times New Roman"/>
                <w:sz w:val="24"/>
              </w:rPr>
              <w:t>量；</w:t>
            </w:r>
          </w:p>
          <w:p>
            <w:pPr>
              <w:adjustRightInd w:val="0"/>
              <w:jc w:val="center"/>
              <w:rPr>
                <w:b/>
                <w:bCs/>
                <w:sz w:val="24"/>
                <w:szCs w:val="22"/>
              </w:rPr>
            </w:pPr>
            <w:r>
              <w:rPr>
                <w:b/>
                <w:bCs/>
                <w:sz w:val="24"/>
                <w:szCs w:val="22"/>
              </w:rPr>
              <w:t xml:space="preserve">表3-7  </w:t>
            </w:r>
            <w:r>
              <w:rPr>
                <w:rFonts w:hint="default" w:ascii="Times New Roman" w:hAnsi="Times New Roman" w:eastAsia="宋体" w:cs="Times New Roman"/>
                <w:b/>
                <w:bCs/>
                <w:color w:val="auto"/>
                <w:spacing w:val="-3"/>
                <w:sz w:val="24"/>
              </w:rPr>
              <w:t>锅炉大气污染物</w:t>
            </w:r>
            <w:r>
              <w:rPr>
                <w:rFonts w:hint="eastAsia" w:ascii="Times New Roman" w:hAnsi="Times New Roman" w:eastAsia="宋体" w:cs="Times New Roman"/>
                <w:b/>
                <w:bCs/>
                <w:color w:val="auto"/>
                <w:spacing w:val="-3"/>
                <w:sz w:val="24"/>
                <w:lang w:val="en-US" w:eastAsia="zh-CN"/>
              </w:rPr>
              <w:t>基准含氧量</w:t>
            </w:r>
          </w:p>
          <w:tbl>
            <w:tblPr>
              <w:tblStyle w:val="22"/>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508"/>
              <w:gridCol w:w="1456"/>
              <w:gridCol w:w="44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490" w:type="pct"/>
                  <w:vAlign w:val="center"/>
                </w:tcPr>
                <w:p>
                  <w:pPr>
                    <w:pStyle w:val="51"/>
                    <w:adjustRightInd w:val="0"/>
                    <w:snapToGrid w:val="0"/>
                    <w:spacing w:line="240" w:lineRule="auto"/>
                    <w:rPr>
                      <w:rFonts w:ascii="Times New Roman" w:hAnsi="Times New Roman"/>
                      <w:b/>
                      <w:bCs w:val="0"/>
                      <w:szCs w:val="21"/>
                    </w:rPr>
                  </w:pPr>
                  <w:r>
                    <w:rPr>
                      <w:rFonts w:ascii="Times New Roman" w:hAnsi="Times New Roman"/>
                      <w:b/>
                      <w:bCs w:val="0"/>
                      <w:szCs w:val="21"/>
                    </w:rPr>
                    <w:t>锅炉类型</w:t>
                  </w:r>
                </w:p>
              </w:tc>
              <w:tc>
                <w:tcPr>
                  <w:tcW w:w="865" w:type="pct"/>
                  <w:vAlign w:val="center"/>
                </w:tcPr>
                <w:p>
                  <w:pPr>
                    <w:pStyle w:val="51"/>
                    <w:adjustRightInd w:val="0"/>
                    <w:snapToGrid w:val="0"/>
                    <w:spacing w:line="240" w:lineRule="auto"/>
                    <w:rPr>
                      <w:rFonts w:ascii="Times New Roman" w:hAnsi="Times New Roman"/>
                      <w:b/>
                      <w:bCs w:val="0"/>
                      <w:szCs w:val="21"/>
                    </w:rPr>
                  </w:pPr>
                  <w:r>
                    <w:rPr>
                      <w:rFonts w:ascii="Times New Roman" w:hAnsi="Times New Roman"/>
                      <w:b/>
                      <w:bCs w:val="0"/>
                      <w:szCs w:val="21"/>
                    </w:rPr>
                    <w:t>基准含氧量（O</w:t>
                  </w:r>
                  <w:r>
                    <w:rPr>
                      <w:rFonts w:ascii="Times New Roman" w:hAnsi="Times New Roman"/>
                      <w:b/>
                      <w:bCs w:val="0"/>
                      <w:szCs w:val="21"/>
                      <w:vertAlign w:val="subscript"/>
                    </w:rPr>
                    <w:t>2</w:t>
                  </w:r>
                  <w:r>
                    <w:rPr>
                      <w:rFonts w:ascii="Times New Roman" w:hAnsi="Times New Roman"/>
                      <w:b/>
                      <w:bCs w:val="0"/>
                      <w:szCs w:val="21"/>
                    </w:rPr>
                    <w:t>）/%</w:t>
                  </w:r>
                </w:p>
              </w:tc>
              <w:tc>
                <w:tcPr>
                  <w:tcW w:w="2643" w:type="pct"/>
                  <w:vAlign w:val="center"/>
                </w:tcPr>
                <w:p>
                  <w:pPr>
                    <w:pStyle w:val="51"/>
                    <w:adjustRightInd w:val="0"/>
                    <w:snapToGrid w:val="0"/>
                    <w:spacing w:line="240" w:lineRule="auto"/>
                    <w:rPr>
                      <w:rFonts w:ascii="Times New Roman" w:hAnsi="Times New Roman"/>
                      <w:b/>
                      <w:bCs w:val="0"/>
                      <w:szCs w:val="21"/>
                    </w:rPr>
                  </w:pPr>
                  <w:r>
                    <w:rPr>
                      <w:rFonts w:ascii="Times New Roman" w:hAnsi="Times New Roman"/>
                      <w:b/>
                      <w:bCs w:val="0"/>
                      <w:szCs w:val="21"/>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0" w:type="pct"/>
                  <w:vAlign w:val="center"/>
                </w:tcPr>
                <w:p>
                  <w:pPr>
                    <w:pStyle w:val="51"/>
                    <w:adjustRightInd w:val="0"/>
                    <w:snapToGrid w:val="0"/>
                    <w:spacing w:line="240" w:lineRule="auto"/>
                    <w:rPr>
                      <w:rFonts w:ascii="Times New Roman" w:hAnsi="Times New Roman"/>
                      <w:szCs w:val="21"/>
                    </w:rPr>
                  </w:pPr>
                  <w:r>
                    <w:rPr>
                      <w:rFonts w:ascii="Times New Roman" w:hAnsi="Times New Roman"/>
                      <w:szCs w:val="21"/>
                    </w:rPr>
                    <w:t>燃煤锅炉</w:t>
                  </w:r>
                </w:p>
              </w:tc>
              <w:tc>
                <w:tcPr>
                  <w:tcW w:w="865" w:type="pct"/>
                  <w:vAlign w:val="center"/>
                </w:tcPr>
                <w:p>
                  <w:pPr>
                    <w:pStyle w:val="51"/>
                    <w:adjustRightInd w:val="0"/>
                    <w:snapToGrid w:val="0"/>
                    <w:spacing w:line="240" w:lineRule="auto"/>
                    <w:rPr>
                      <w:rFonts w:ascii="Times New Roman" w:hAnsi="Times New Roman"/>
                      <w:szCs w:val="21"/>
                    </w:rPr>
                  </w:pPr>
                  <w:r>
                    <w:rPr>
                      <w:rFonts w:ascii="Times New Roman" w:hAnsi="Times New Roman"/>
                      <w:szCs w:val="21"/>
                    </w:rPr>
                    <w:t>9</w:t>
                  </w:r>
                </w:p>
              </w:tc>
              <w:tc>
                <w:tcPr>
                  <w:tcW w:w="2643" w:type="pct"/>
                  <w:vMerge w:val="restart"/>
                  <w:vAlign w:val="center"/>
                </w:tcPr>
                <w:p>
                  <w:pPr>
                    <w:pStyle w:val="51"/>
                    <w:adjustRightInd w:val="0"/>
                    <w:snapToGrid w:val="0"/>
                    <w:spacing w:line="240" w:lineRule="auto"/>
                    <w:rPr>
                      <w:rFonts w:ascii="Times New Roman" w:hAnsi="Times New Roman"/>
                      <w:szCs w:val="21"/>
                    </w:rPr>
                  </w:pPr>
                  <w:r>
                    <w:rPr>
                      <w:rFonts w:ascii="Times New Roman" w:hAnsi="Times New Roman"/>
                      <w:szCs w:val="21"/>
                    </w:rPr>
                    <w:t>《锅炉大气污染物排放标准》</w:t>
                  </w:r>
                </w:p>
                <w:p>
                  <w:pPr>
                    <w:pStyle w:val="51"/>
                    <w:adjustRightInd w:val="0"/>
                    <w:snapToGrid w:val="0"/>
                    <w:spacing w:line="240" w:lineRule="auto"/>
                    <w:rPr>
                      <w:rFonts w:hint="eastAsia" w:ascii="Times New Roman" w:hAnsi="Times New Roman" w:eastAsia="宋体"/>
                      <w:szCs w:val="21"/>
                      <w:lang w:val="en-US" w:eastAsia="zh-CN"/>
                    </w:rPr>
                  </w:pPr>
                  <w:r>
                    <w:rPr>
                      <w:rFonts w:ascii="Times New Roman" w:hAnsi="Times New Roman"/>
                      <w:szCs w:val="21"/>
                    </w:rPr>
                    <w:t>（GB13271-2014）中表6</w:t>
                  </w:r>
                  <w:r>
                    <w:rPr>
                      <w:rFonts w:hint="eastAsia" w:ascii="Times New Roman" w:hAnsi="Times New Roman"/>
                      <w:szCs w:val="21"/>
                      <w:lang w:val="en-US" w:eastAsia="zh-CN"/>
                    </w:rPr>
                    <w:t>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0" w:type="pct"/>
                  <w:vAlign w:val="center"/>
                </w:tcPr>
                <w:p>
                  <w:pPr>
                    <w:pStyle w:val="51"/>
                    <w:adjustRightInd w:val="0"/>
                    <w:snapToGrid w:val="0"/>
                    <w:spacing w:line="240" w:lineRule="auto"/>
                    <w:rPr>
                      <w:rFonts w:ascii="Times New Roman" w:hAnsi="Times New Roman"/>
                      <w:b/>
                      <w:bCs w:val="0"/>
                      <w:szCs w:val="21"/>
                    </w:rPr>
                  </w:pPr>
                  <w:r>
                    <w:rPr>
                      <w:rFonts w:ascii="Times New Roman" w:hAnsi="Times New Roman"/>
                      <w:b/>
                      <w:bCs w:val="0"/>
                      <w:szCs w:val="21"/>
                    </w:rPr>
                    <w:t>燃油、燃气锅炉</w:t>
                  </w:r>
                </w:p>
              </w:tc>
              <w:tc>
                <w:tcPr>
                  <w:tcW w:w="865" w:type="pct"/>
                  <w:vAlign w:val="center"/>
                </w:tcPr>
                <w:p>
                  <w:pPr>
                    <w:pStyle w:val="51"/>
                    <w:adjustRightInd w:val="0"/>
                    <w:snapToGrid w:val="0"/>
                    <w:spacing w:line="240" w:lineRule="auto"/>
                    <w:rPr>
                      <w:rFonts w:ascii="Times New Roman" w:hAnsi="Times New Roman"/>
                      <w:b/>
                      <w:bCs w:val="0"/>
                      <w:szCs w:val="21"/>
                    </w:rPr>
                  </w:pPr>
                  <w:r>
                    <w:rPr>
                      <w:rFonts w:ascii="Times New Roman" w:hAnsi="Times New Roman"/>
                      <w:b/>
                      <w:bCs w:val="0"/>
                      <w:szCs w:val="21"/>
                    </w:rPr>
                    <w:t>3.5</w:t>
                  </w:r>
                </w:p>
              </w:tc>
              <w:tc>
                <w:tcPr>
                  <w:tcW w:w="2643" w:type="pct"/>
                  <w:vMerge w:val="continue"/>
                  <w:vAlign w:val="center"/>
                </w:tcPr>
                <w:p>
                  <w:pPr>
                    <w:pStyle w:val="51"/>
                    <w:adjustRightInd w:val="0"/>
                    <w:snapToGrid w:val="0"/>
                    <w:spacing w:line="240" w:lineRule="auto"/>
                    <w:rPr>
                      <w:rFonts w:ascii="Times New Roman" w:hAnsi="Times New Roman"/>
                      <w:szCs w:val="21"/>
                    </w:rPr>
                  </w:pPr>
                </w:p>
              </w:tc>
            </w:tr>
          </w:tbl>
          <w:p>
            <w:pPr>
              <w:spacing w:line="360" w:lineRule="auto"/>
              <w:ind w:firstLine="420" w:firstLineChars="200"/>
            </w:pPr>
          </w:p>
          <w:p>
            <w:pPr>
              <w:pStyle w:val="8"/>
              <w:ind w:left="1470" w:right="1470"/>
              <w:rPr>
                <w:rFonts w:ascii="Times New Roman" w:hAnsi="Times New Roman"/>
              </w:rPr>
            </w:pPr>
          </w:p>
          <w:p>
            <w:pPr>
              <w:pStyle w:val="8"/>
              <w:ind w:left="1470" w:right="1470"/>
              <w:rPr>
                <w:rFonts w:ascii="Times New Roman" w:hAnsi="Times New Roman"/>
              </w:rPr>
            </w:pPr>
          </w:p>
          <w:p>
            <w:pPr>
              <w:pStyle w:val="8"/>
              <w:ind w:left="1470" w:right="1470"/>
              <w:rPr>
                <w:rFonts w:ascii="Times New Roman" w:hAnsi="Times New Roman"/>
              </w:rPr>
            </w:pPr>
          </w:p>
          <w:p>
            <w:pPr>
              <w:pStyle w:val="8"/>
              <w:ind w:left="1470" w:right="1470"/>
              <w:rPr>
                <w:rFonts w:ascii="Times New Roman" w:hAnsi="Times New Roman"/>
              </w:rPr>
            </w:pPr>
          </w:p>
          <w:p>
            <w:pPr>
              <w:spacing w:line="360" w:lineRule="auto"/>
              <w:rPr>
                <w:b/>
                <w:sz w:val="24"/>
              </w:rPr>
            </w:pPr>
            <w:r>
              <w:rPr>
                <w:b/>
                <w:sz w:val="24"/>
              </w:rPr>
              <w:t>2、噪声排放标准</w:t>
            </w:r>
          </w:p>
          <w:p>
            <w:pPr>
              <w:spacing w:line="360" w:lineRule="auto"/>
              <w:ind w:firstLine="480" w:firstLineChars="200"/>
              <w:rPr>
                <w:sz w:val="24"/>
              </w:rPr>
            </w:pPr>
            <w:r>
              <w:rPr>
                <w:sz w:val="24"/>
              </w:rPr>
              <w:t>项目营运期厂界噪声执行《工业企业厂界环境噪声排放标准》(GB12348-2008)中标准2类，具体标准值见下表：</w:t>
            </w:r>
          </w:p>
          <w:p>
            <w:pPr>
              <w:wordWrap w:val="0"/>
              <w:adjustRightInd w:val="0"/>
              <w:ind w:firstLine="2474" w:firstLineChars="1027"/>
              <w:jc w:val="left"/>
              <w:rPr>
                <w:b/>
                <w:bCs/>
                <w:sz w:val="24"/>
                <w:szCs w:val="22"/>
              </w:rPr>
            </w:pPr>
            <w:r>
              <w:rPr>
                <w:b/>
                <w:bCs/>
                <w:sz w:val="24"/>
                <w:szCs w:val="22"/>
              </w:rPr>
              <w:t>表3-8  营运期噪声排放标准</w:t>
            </w:r>
          </w:p>
          <w:tbl>
            <w:tblPr>
              <w:tblStyle w:val="2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2104"/>
              <w:gridCol w:w="2104"/>
              <w:gridCol w:w="21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250" w:type="pct"/>
                  <w:vAlign w:val="center"/>
                </w:tcPr>
                <w:p>
                  <w:pPr>
                    <w:adjustRightInd w:val="0"/>
                    <w:jc w:val="center"/>
                    <w:rPr>
                      <w:b/>
                      <w:bCs/>
                      <w:szCs w:val="21"/>
                    </w:rPr>
                  </w:pPr>
                  <w:r>
                    <w:rPr>
                      <w:b/>
                      <w:bCs/>
                      <w:szCs w:val="21"/>
                    </w:rPr>
                    <w:t>声环境功能类别</w:t>
                  </w:r>
                </w:p>
              </w:tc>
              <w:tc>
                <w:tcPr>
                  <w:tcW w:w="1250" w:type="pct"/>
                  <w:vAlign w:val="center"/>
                </w:tcPr>
                <w:p>
                  <w:pPr>
                    <w:adjustRightInd w:val="0"/>
                    <w:jc w:val="center"/>
                    <w:rPr>
                      <w:b/>
                      <w:bCs/>
                      <w:szCs w:val="21"/>
                    </w:rPr>
                  </w:pPr>
                  <w:r>
                    <w:rPr>
                      <w:b/>
                      <w:bCs/>
                      <w:szCs w:val="21"/>
                    </w:rPr>
                    <w:t>昼间</w:t>
                  </w:r>
                </w:p>
              </w:tc>
              <w:tc>
                <w:tcPr>
                  <w:tcW w:w="1250" w:type="pct"/>
                  <w:vAlign w:val="center"/>
                </w:tcPr>
                <w:p>
                  <w:pPr>
                    <w:adjustRightInd w:val="0"/>
                    <w:jc w:val="center"/>
                    <w:rPr>
                      <w:b/>
                      <w:bCs/>
                      <w:szCs w:val="21"/>
                    </w:rPr>
                  </w:pPr>
                  <w:r>
                    <w:rPr>
                      <w:b/>
                      <w:bCs/>
                      <w:szCs w:val="21"/>
                    </w:rPr>
                    <w:t>夜间</w:t>
                  </w:r>
                </w:p>
              </w:tc>
              <w:tc>
                <w:tcPr>
                  <w:tcW w:w="1250" w:type="pct"/>
                  <w:vAlign w:val="center"/>
                </w:tcPr>
                <w:p>
                  <w:pPr>
                    <w:adjustRightInd w:val="0"/>
                    <w:jc w:val="center"/>
                    <w:rPr>
                      <w:b/>
                      <w:bCs/>
                      <w:szCs w:val="21"/>
                    </w:rPr>
                  </w:pPr>
                  <w:r>
                    <w:rPr>
                      <w:b/>
                      <w:bCs/>
                      <w:szCs w:val="21"/>
                    </w:rPr>
                    <w:t>执行区域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250" w:type="pct"/>
                  <w:vAlign w:val="center"/>
                </w:tcPr>
                <w:p>
                  <w:pPr>
                    <w:adjustRightInd w:val="0"/>
                    <w:jc w:val="center"/>
                    <w:rPr>
                      <w:szCs w:val="21"/>
                    </w:rPr>
                  </w:pPr>
                  <w:r>
                    <w:rPr>
                      <w:szCs w:val="21"/>
                    </w:rPr>
                    <w:t>2类</w:t>
                  </w:r>
                </w:p>
              </w:tc>
              <w:tc>
                <w:tcPr>
                  <w:tcW w:w="1250" w:type="pct"/>
                  <w:vAlign w:val="center"/>
                </w:tcPr>
                <w:p>
                  <w:pPr>
                    <w:adjustRightInd w:val="0"/>
                    <w:jc w:val="center"/>
                    <w:rPr>
                      <w:szCs w:val="21"/>
                    </w:rPr>
                  </w:pPr>
                  <w:r>
                    <w:rPr>
                      <w:szCs w:val="21"/>
                    </w:rPr>
                    <w:t>≤60dB（A）</w:t>
                  </w:r>
                </w:p>
              </w:tc>
              <w:tc>
                <w:tcPr>
                  <w:tcW w:w="1250" w:type="pct"/>
                  <w:vAlign w:val="center"/>
                </w:tcPr>
                <w:p>
                  <w:pPr>
                    <w:adjustRightInd w:val="0"/>
                    <w:jc w:val="center"/>
                    <w:rPr>
                      <w:szCs w:val="21"/>
                    </w:rPr>
                  </w:pPr>
                  <w:r>
                    <w:rPr>
                      <w:szCs w:val="21"/>
                    </w:rPr>
                    <w:t>≤50dB（A）</w:t>
                  </w:r>
                </w:p>
              </w:tc>
              <w:tc>
                <w:tcPr>
                  <w:tcW w:w="1250" w:type="pct"/>
                  <w:vAlign w:val="center"/>
                </w:tcPr>
                <w:p>
                  <w:pPr>
                    <w:adjustRightInd w:val="0"/>
                    <w:jc w:val="center"/>
                    <w:rPr>
                      <w:szCs w:val="21"/>
                    </w:rPr>
                  </w:pPr>
                  <w:r>
                    <w:rPr>
                      <w:szCs w:val="21"/>
                    </w:rPr>
                    <w:t>厂房四周</w:t>
                  </w:r>
                </w:p>
              </w:tc>
            </w:tr>
          </w:tbl>
          <w:p>
            <w:pPr>
              <w:spacing w:line="360" w:lineRule="auto"/>
              <w:rPr>
                <w:b/>
                <w:sz w:val="24"/>
              </w:rPr>
            </w:pPr>
            <w:r>
              <w:rPr>
                <w:b/>
                <w:sz w:val="24"/>
              </w:rPr>
              <w:t>3、固废排放标准</w:t>
            </w:r>
          </w:p>
          <w:p>
            <w:pPr>
              <w:spacing w:line="360" w:lineRule="auto"/>
              <w:ind w:firstLine="468" w:firstLineChars="200"/>
              <w:rPr>
                <w:color w:val="0000FF"/>
                <w:spacing w:val="-3"/>
                <w:sz w:val="24"/>
              </w:rPr>
            </w:pPr>
            <w:r>
              <w:rPr>
                <w:spacing w:val="-3"/>
                <w:sz w:val="24"/>
              </w:rPr>
              <w:t>（1）危险废物：收集、储存、运输及处置执行《危险废物污染防治技术政策》（环发[2001]199号）、《危险废物收集贮存运输技术规范》（HJ2025-2012）、《省生态环境厅关于进一步加强危险废物污染防治工作的实施意见》（苏环办〔2019〕327号）、《关于印发江苏省危险废物贮存规范化管理专项整治行动方案的通知》（苏环办〔2019〕149号）、《危险废物贮存污染控制标准》（GB18597-2001）及标准修改单（环境保护部公告2013年第36号，2013年6月8日）中规范要求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9" w:hRule="atLeast"/>
          <w:jc w:val="center"/>
        </w:trPr>
        <w:tc>
          <w:tcPr>
            <w:tcW w:w="357" w:type="dxa"/>
            <w:vAlign w:val="center"/>
          </w:tcPr>
          <w:p>
            <w:pPr>
              <w:adjustRightInd w:val="0"/>
              <w:snapToGrid w:val="0"/>
              <w:jc w:val="center"/>
              <w:rPr>
                <w:kern w:val="0"/>
                <w:szCs w:val="21"/>
              </w:rPr>
            </w:pPr>
            <w:r>
              <w:rPr>
                <w:kern w:val="0"/>
                <w:szCs w:val="21"/>
              </w:rPr>
              <w:t>总量</w:t>
            </w:r>
          </w:p>
          <w:p>
            <w:pPr>
              <w:adjustRightInd w:val="0"/>
              <w:snapToGrid w:val="0"/>
              <w:jc w:val="center"/>
              <w:rPr>
                <w:kern w:val="0"/>
                <w:szCs w:val="21"/>
              </w:rPr>
            </w:pPr>
            <w:r>
              <w:rPr>
                <w:kern w:val="0"/>
                <w:szCs w:val="21"/>
              </w:rPr>
              <w:t>控制</w:t>
            </w:r>
          </w:p>
          <w:p>
            <w:pPr>
              <w:adjustRightInd w:val="0"/>
              <w:snapToGrid w:val="0"/>
              <w:jc w:val="center"/>
              <w:rPr>
                <w:kern w:val="0"/>
                <w:szCs w:val="21"/>
              </w:rPr>
            </w:pPr>
            <w:r>
              <w:rPr>
                <w:kern w:val="0"/>
                <w:szCs w:val="21"/>
              </w:rPr>
              <w:t>指标</w:t>
            </w:r>
          </w:p>
        </w:tc>
        <w:tc>
          <w:tcPr>
            <w:tcW w:w="8633" w:type="dxa"/>
          </w:tcPr>
          <w:p>
            <w:pPr>
              <w:overflowPunct w:val="0"/>
              <w:autoSpaceDE w:val="0"/>
              <w:snapToGrid w:val="0"/>
              <w:spacing w:line="360" w:lineRule="auto"/>
              <w:ind w:firstLine="482" w:firstLineChars="200"/>
              <w:rPr>
                <w:b/>
                <w:bCs/>
                <w:sz w:val="24"/>
              </w:rPr>
            </w:pPr>
            <w:r>
              <w:rPr>
                <w:b/>
                <w:bCs/>
                <w:sz w:val="24"/>
              </w:rPr>
              <w:t>1、总量控制指标</w:t>
            </w:r>
          </w:p>
          <w:p>
            <w:pPr>
              <w:overflowPunct w:val="0"/>
              <w:autoSpaceDE w:val="0"/>
              <w:snapToGrid w:val="0"/>
              <w:spacing w:line="360" w:lineRule="auto"/>
              <w:ind w:firstLine="480" w:firstLineChars="200"/>
              <w:rPr>
                <w:sz w:val="24"/>
              </w:rPr>
            </w:pPr>
            <w:r>
              <w:rPr>
                <w:sz w:val="24"/>
              </w:rPr>
              <w:t>本项目建成后污染物总量控制指标及来源途径见下表：</w:t>
            </w:r>
          </w:p>
          <w:p>
            <w:pPr>
              <w:pStyle w:val="63"/>
              <w:adjustRightInd w:val="0"/>
              <w:snapToGrid w:val="0"/>
              <w:jc w:val="center"/>
              <w:rPr>
                <w:rFonts w:ascii="Times New Roman" w:hAnsi="Times New Roman"/>
                <w:sz w:val="24"/>
              </w:rPr>
            </w:pPr>
            <w:r>
              <w:rPr>
                <w:rFonts w:ascii="Times New Roman" w:hAnsi="Times New Roman"/>
                <w:b/>
                <w:bCs/>
                <w:sz w:val="24"/>
                <w:szCs w:val="24"/>
              </w:rPr>
              <w:t>表3-9  全厂污染物排放情况一览表(t/a)</w:t>
            </w:r>
          </w:p>
          <w:tbl>
            <w:tblPr>
              <w:tblStyle w:val="22"/>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043"/>
              <w:gridCol w:w="1685"/>
              <w:gridCol w:w="794"/>
              <w:gridCol w:w="720"/>
              <w:gridCol w:w="821"/>
              <w:gridCol w:w="1108"/>
              <w:gridCol w:w="899"/>
              <w:gridCol w:w="912"/>
            </w:tblGrid>
            <w:tr>
              <w:tblPrEx>
                <w:tblCellMar>
                  <w:top w:w="0" w:type="dxa"/>
                  <w:left w:w="108" w:type="dxa"/>
                  <w:bottom w:w="0" w:type="dxa"/>
                  <w:right w:w="108" w:type="dxa"/>
                </w:tblCellMar>
              </w:tblPrEx>
              <w:trPr>
                <w:trHeight w:val="340" w:hRule="atLeast"/>
                <w:jc w:val="center"/>
              </w:trPr>
              <w:tc>
                <w:tcPr>
                  <w:tcW w:w="253" w:type="pct"/>
                  <w:vMerge w:val="restart"/>
                  <w:vAlign w:val="center"/>
                </w:tcPr>
                <w:p>
                  <w:pPr>
                    <w:adjustRightInd w:val="0"/>
                    <w:snapToGrid w:val="0"/>
                    <w:jc w:val="center"/>
                    <w:rPr>
                      <w:b/>
                      <w:bCs/>
                      <w:szCs w:val="21"/>
                    </w:rPr>
                  </w:pPr>
                  <w:r>
                    <w:rPr>
                      <w:b/>
                      <w:bCs/>
                      <w:szCs w:val="21"/>
                    </w:rPr>
                    <w:t>种类</w:t>
                  </w:r>
                </w:p>
              </w:tc>
              <w:tc>
                <w:tcPr>
                  <w:tcW w:w="620" w:type="pct"/>
                  <w:vMerge w:val="restart"/>
                  <w:vAlign w:val="center"/>
                </w:tcPr>
                <w:p>
                  <w:pPr>
                    <w:adjustRightInd w:val="0"/>
                    <w:snapToGrid w:val="0"/>
                    <w:jc w:val="center"/>
                    <w:rPr>
                      <w:b/>
                      <w:bCs/>
                      <w:szCs w:val="21"/>
                    </w:rPr>
                  </w:pPr>
                  <w:r>
                    <w:rPr>
                      <w:b/>
                      <w:bCs/>
                      <w:szCs w:val="21"/>
                    </w:rPr>
                    <w:t>污染物</w:t>
                  </w:r>
                </w:p>
              </w:tc>
              <w:tc>
                <w:tcPr>
                  <w:tcW w:w="1001" w:type="pct"/>
                  <w:vMerge w:val="restart"/>
                  <w:vAlign w:val="center"/>
                </w:tcPr>
                <w:p>
                  <w:pPr>
                    <w:adjustRightInd w:val="0"/>
                    <w:snapToGrid w:val="0"/>
                    <w:jc w:val="center"/>
                    <w:rPr>
                      <w:b/>
                      <w:bCs/>
                      <w:szCs w:val="21"/>
                    </w:rPr>
                  </w:pPr>
                  <w:r>
                    <w:rPr>
                      <w:b/>
                      <w:bCs/>
                      <w:szCs w:val="21"/>
                    </w:rPr>
                    <w:t>原有项目排放量</w:t>
                  </w:r>
                </w:p>
              </w:tc>
              <w:tc>
                <w:tcPr>
                  <w:tcW w:w="1388" w:type="pct"/>
                  <w:gridSpan w:val="3"/>
                  <w:vAlign w:val="center"/>
                </w:tcPr>
                <w:p>
                  <w:pPr>
                    <w:adjustRightInd w:val="0"/>
                    <w:snapToGrid w:val="0"/>
                    <w:jc w:val="center"/>
                    <w:rPr>
                      <w:b/>
                      <w:bCs/>
                      <w:szCs w:val="21"/>
                    </w:rPr>
                  </w:pPr>
                  <w:r>
                    <w:rPr>
                      <w:b/>
                      <w:bCs/>
                      <w:szCs w:val="21"/>
                    </w:rPr>
                    <w:t>本项目</w:t>
                  </w:r>
                </w:p>
              </w:tc>
              <w:tc>
                <w:tcPr>
                  <w:tcW w:w="658" w:type="pct"/>
                  <w:vMerge w:val="restart"/>
                  <w:vAlign w:val="center"/>
                </w:tcPr>
                <w:p>
                  <w:pPr>
                    <w:adjustRightInd w:val="0"/>
                    <w:snapToGrid w:val="0"/>
                    <w:jc w:val="center"/>
                    <w:rPr>
                      <w:b/>
                      <w:bCs/>
                      <w:szCs w:val="21"/>
                    </w:rPr>
                  </w:pPr>
                  <w:r>
                    <w:rPr>
                      <w:b/>
                      <w:bCs/>
                      <w:szCs w:val="21"/>
                    </w:rPr>
                    <w:t>“以新带老”削减量</w:t>
                  </w:r>
                </w:p>
              </w:tc>
              <w:tc>
                <w:tcPr>
                  <w:tcW w:w="534" w:type="pct"/>
                  <w:vMerge w:val="restart"/>
                  <w:vAlign w:val="center"/>
                </w:tcPr>
                <w:p>
                  <w:pPr>
                    <w:adjustRightInd w:val="0"/>
                    <w:snapToGrid w:val="0"/>
                    <w:jc w:val="center"/>
                    <w:rPr>
                      <w:b/>
                      <w:bCs/>
                      <w:szCs w:val="21"/>
                    </w:rPr>
                  </w:pPr>
                  <w:r>
                    <w:rPr>
                      <w:b/>
                      <w:bCs/>
                      <w:szCs w:val="21"/>
                    </w:rPr>
                    <w:t>全厂排放量</w:t>
                  </w:r>
                </w:p>
              </w:tc>
              <w:tc>
                <w:tcPr>
                  <w:tcW w:w="542" w:type="pct"/>
                  <w:vMerge w:val="restart"/>
                  <w:vAlign w:val="center"/>
                </w:tcPr>
                <w:p>
                  <w:pPr>
                    <w:adjustRightInd w:val="0"/>
                    <w:snapToGrid w:val="0"/>
                    <w:jc w:val="center"/>
                    <w:rPr>
                      <w:b/>
                      <w:bCs/>
                      <w:szCs w:val="21"/>
                    </w:rPr>
                  </w:pPr>
                  <w:r>
                    <w:rPr>
                      <w:rFonts w:hint="eastAsia"/>
                      <w:b/>
                      <w:bCs/>
                      <w:szCs w:val="21"/>
                      <w:lang w:val="en-US" w:eastAsia="zh-CN"/>
                    </w:rPr>
                    <w:t>改建</w:t>
                  </w:r>
                  <w:r>
                    <w:rPr>
                      <w:b/>
                      <w:bCs/>
                      <w:szCs w:val="21"/>
                    </w:rPr>
                    <w:t>前后变化量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continue"/>
                  <w:vAlign w:val="center"/>
                </w:tcPr>
                <w:p>
                  <w:pPr>
                    <w:adjustRightInd w:val="0"/>
                    <w:snapToGrid w:val="0"/>
                    <w:jc w:val="center"/>
                    <w:rPr>
                      <w:szCs w:val="21"/>
                    </w:rPr>
                  </w:pPr>
                </w:p>
              </w:tc>
              <w:tc>
                <w:tcPr>
                  <w:tcW w:w="620" w:type="pct"/>
                  <w:vMerge w:val="continue"/>
                  <w:vAlign w:val="center"/>
                </w:tcPr>
                <w:p>
                  <w:pPr>
                    <w:adjustRightInd w:val="0"/>
                    <w:snapToGrid w:val="0"/>
                    <w:jc w:val="center"/>
                    <w:rPr>
                      <w:szCs w:val="21"/>
                    </w:rPr>
                  </w:pPr>
                </w:p>
              </w:tc>
              <w:tc>
                <w:tcPr>
                  <w:tcW w:w="1001" w:type="pct"/>
                  <w:vMerge w:val="continue"/>
                  <w:vAlign w:val="center"/>
                </w:tcPr>
                <w:p>
                  <w:pPr>
                    <w:adjustRightInd w:val="0"/>
                    <w:snapToGrid w:val="0"/>
                    <w:jc w:val="center"/>
                    <w:rPr>
                      <w:b/>
                      <w:bCs/>
                      <w:szCs w:val="21"/>
                    </w:rPr>
                  </w:pPr>
                </w:p>
              </w:tc>
              <w:tc>
                <w:tcPr>
                  <w:tcW w:w="472" w:type="pct"/>
                  <w:vAlign w:val="center"/>
                </w:tcPr>
                <w:p>
                  <w:pPr>
                    <w:adjustRightInd w:val="0"/>
                    <w:snapToGrid w:val="0"/>
                    <w:jc w:val="center"/>
                    <w:rPr>
                      <w:b/>
                      <w:bCs/>
                      <w:szCs w:val="21"/>
                    </w:rPr>
                  </w:pPr>
                  <w:r>
                    <w:rPr>
                      <w:b/>
                      <w:bCs/>
                      <w:szCs w:val="21"/>
                    </w:rPr>
                    <w:t>产生量</w:t>
                  </w:r>
                </w:p>
              </w:tc>
              <w:tc>
                <w:tcPr>
                  <w:tcW w:w="428" w:type="pct"/>
                  <w:vAlign w:val="center"/>
                </w:tcPr>
                <w:p>
                  <w:pPr>
                    <w:adjustRightInd w:val="0"/>
                    <w:snapToGrid w:val="0"/>
                    <w:jc w:val="center"/>
                    <w:rPr>
                      <w:b/>
                      <w:bCs/>
                      <w:szCs w:val="21"/>
                    </w:rPr>
                  </w:pPr>
                  <w:r>
                    <w:rPr>
                      <w:b/>
                      <w:bCs/>
                      <w:szCs w:val="21"/>
                    </w:rPr>
                    <w:t>削减量</w:t>
                  </w:r>
                </w:p>
              </w:tc>
              <w:tc>
                <w:tcPr>
                  <w:tcW w:w="488" w:type="pct"/>
                  <w:vAlign w:val="center"/>
                </w:tcPr>
                <w:p>
                  <w:pPr>
                    <w:adjustRightInd w:val="0"/>
                    <w:snapToGrid w:val="0"/>
                    <w:jc w:val="center"/>
                    <w:rPr>
                      <w:b/>
                      <w:bCs/>
                      <w:szCs w:val="21"/>
                    </w:rPr>
                  </w:pPr>
                  <w:r>
                    <w:rPr>
                      <w:b/>
                      <w:bCs/>
                      <w:szCs w:val="21"/>
                    </w:rPr>
                    <w:t>排放量</w:t>
                  </w:r>
                </w:p>
              </w:tc>
              <w:tc>
                <w:tcPr>
                  <w:tcW w:w="658" w:type="pct"/>
                  <w:vMerge w:val="continue"/>
                  <w:vAlign w:val="center"/>
                </w:tcPr>
                <w:p>
                  <w:pPr>
                    <w:adjustRightInd w:val="0"/>
                    <w:snapToGrid w:val="0"/>
                    <w:jc w:val="center"/>
                    <w:rPr>
                      <w:b/>
                      <w:bCs/>
                      <w:szCs w:val="21"/>
                      <w:highlight w:val="yellow"/>
                    </w:rPr>
                  </w:pPr>
                </w:p>
              </w:tc>
              <w:tc>
                <w:tcPr>
                  <w:tcW w:w="534" w:type="pct"/>
                  <w:vMerge w:val="continue"/>
                  <w:vAlign w:val="center"/>
                </w:tcPr>
                <w:p>
                  <w:pPr>
                    <w:adjustRightInd w:val="0"/>
                    <w:snapToGrid w:val="0"/>
                    <w:jc w:val="center"/>
                    <w:rPr>
                      <w:b/>
                      <w:bCs/>
                      <w:szCs w:val="21"/>
                      <w:highlight w:val="yellow"/>
                    </w:rPr>
                  </w:pPr>
                </w:p>
              </w:tc>
              <w:tc>
                <w:tcPr>
                  <w:tcW w:w="542" w:type="pct"/>
                  <w:vMerge w:val="continue"/>
                  <w:vAlign w:val="center"/>
                </w:tcPr>
                <w:p>
                  <w:pPr>
                    <w:adjustRightInd w:val="0"/>
                    <w:snapToGrid w:val="0"/>
                    <w:jc w:val="center"/>
                    <w:rPr>
                      <w:b/>
                      <w:bCs/>
                      <w:szCs w:val="21"/>
                      <w:highlight w:val="yellow"/>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restart"/>
                  <w:vAlign w:val="center"/>
                </w:tcPr>
                <w:p>
                  <w:pPr>
                    <w:adjustRightInd w:val="0"/>
                    <w:snapToGrid w:val="0"/>
                    <w:jc w:val="center"/>
                    <w:rPr>
                      <w:szCs w:val="21"/>
                    </w:rPr>
                  </w:pPr>
                  <w:r>
                    <w:rPr>
                      <w:szCs w:val="21"/>
                    </w:rPr>
                    <w:t>废水</w:t>
                  </w:r>
                </w:p>
              </w:tc>
              <w:tc>
                <w:tcPr>
                  <w:tcW w:w="620" w:type="pct"/>
                  <w:vAlign w:val="center"/>
                </w:tcPr>
                <w:p>
                  <w:pPr>
                    <w:adjustRightInd w:val="0"/>
                    <w:snapToGrid w:val="0"/>
                    <w:jc w:val="center"/>
                    <w:rPr>
                      <w:szCs w:val="21"/>
                    </w:rPr>
                  </w:pPr>
                  <w:r>
                    <w:rPr>
                      <w:szCs w:val="21"/>
                    </w:rPr>
                    <w:t>废水量</w:t>
                  </w:r>
                </w:p>
              </w:tc>
              <w:tc>
                <w:tcPr>
                  <w:tcW w:w="1001" w:type="pct"/>
                  <w:vAlign w:val="center"/>
                </w:tcPr>
                <w:p>
                  <w:pPr>
                    <w:adjustRightInd w:val="0"/>
                    <w:snapToGrid w:val="0"/>
                    <w:jc w:val="center"/>
                    <w:rPr>
                      <w:szCs w:val="21"/>
                    </w:rPr>
                  </w:pPr>
                  <w:r>
                    <w:rPr>
                      <w:szCs w:val="21"/>
                    </w:rPr>
                    <w:t>8400</w:t>
                  </w:r>
                </w:p>
              </w:tc>
              <w:tc>
                <w:tcPr>
                  <w:tcW w:w="472" w:type="pct"/>
                  <w:vAlign w:val="center"/>
                </w:tcPr>
                <w:p>
                  <w:pPr>
                    <w:jc w:val="center"/>
                    <w:rPr>
                      <w:szCs w:val="21"/>
                    </w:rPr>
                  </w:pPr>
                  <w:r>
                    <w:rPr>
                      <w:szCs w:val="21"/>
                    </w:rPr>
                    <w:t>0</w:t>
                  </w:r>
                </w:p>
              </w:tc>
              <w:tc>
                <w:tcPr>
                  <w:tcW w:w="428" w:type="pct"/>
                  <w:vAlign w:val="center"/>
                </w:tcPr>
                <w:p>
                  <w:pPr>
                    <w:adjustRightInd w:val="0"/>
                    <w:snapToGrid w:val="0"/>
                    <w:jc w:val="center"/>
                    <w:rPr>
                      <w:szCs w:val="21"/>
                      <w:highlight w:val="yellow"/>
                    </w:rPr>
                  </w:pPr>
                  <w:r>
                    <w:rPr>
                      <w:szCs w:val="21"/>
                    </w:rPr>
                    <w:t>0</w:t>
                  </w:r>
                </w:p>
              </w:tc>
              <w:tc>
                <w:tcPr>
                  <w:tcW w:w="488" w:type="pct"/>
                  <w:vAlign w:val="center"/>
                </w:tcPr>
                <w:p>
                  <w:pPr>
                    <w:jc w:val="center"/>
                    <w:rPr>
                      <w:szCs w:val="21"/>
                    </w:rPr>
                  </w:pPr>
                  <w:r>
                    <w:rPr>
                      <w:szCs w:val="21"/>
                    </w:rPr>
                    <w:t>0</w:t>
                  </w:r>
                </w:p>
              </w:tc>
              <w:tc>
                <w:tcPr>
                  <w:tcW w:w="658" w:type="pct"/>
                  <w:vAlign w:val="center"/>
                </w:tcPr>
                <w:p>
                  <w:pPr>
                    <w:jc w:val="center"/>
                    <w:rPr>
                      <w:szCs w:val="21"/>
                    </w:rPr>
                  </w:pPr>
                  <w:r>
                    <w:rPr>
                      <w:szCs w:val="21"/>
                    </w:rPr>
                    <w:t>0</w:t>
                  </w:r>
                </w:p>
              </w:tc>
              <w:tc>
                <w:tcPr>
                  <w:tcW w:w="534" w:type="pct"/>
                  <w:vAlign w:val="center"/>
                </w:tcPr>
                <w:p>
                  <w:pPr>
                    <w:adjustRightInd w:val="0"/>
                    <w:snapToGrid w:val="0"/>
                    <w:jc w:val="center"/>
                    <w:rPr>
                      <w:szCs w:val="21"/>
                    </w:rPr>
                  </w:pPr>
                  <w:r>
                    <w:rPr>
                      <w:szCs w:val="21"/>
                    </w:rPr>
                    <w:t>8400</w:t>
                  </w:r>
                </w:p>
              </w:tc>
              <w:tc>
                <w:tcPr>
                  <w:tcW w:w="542" w:type="pct"/>
                  <w:vAlign w:val="center"/>
                </w:tcPr>
                <w:p>
                  <w:pPr>
                    <w:jc w:val="center"/>
                    <w:rPr>
                      <w:szCs w:val="21"/>
                    </w:rPr>
                  </w:pPr>
                  <w:r>
                    <w:rPr>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continue"/>
                  <w:vAlign w:val="center"/>
                </w:tcPr>
                <w:p>
                  <w:pPr>
                    <w:widowControl/>
                    <w:jc w:val="left"/>
                    <w:rPr>
                      <w:szCs w:val="21"/>
                    </w:rPr>
                  </w:pPr>
                </w:p>
              </w:tc>
              <w:tc>
                <w:tcPr>
                  <w:tcW w:w="620" w:type="pct"/>
                  <w:vAlign w:val="center"/>
                </w:tcPr>
                <w:p>
                  <w:pPr>
                    <w:adjustRightInd w:val="0"/>
                    <w:snapToGrid w:val="0"/>
                    <w:jc w:val="center"/>
                    <w:rPr>
                      <w:szCs w:val="21"/>
                    </w:rPr>
                  </w:pPr>
                  <w:r>
                    <w:rPr>
                      <w:szCs w:val="21"/>
                    </w:rPr>
                    <w:t>COD</w:t>
                  </w:r>
                </w:p>
              </w:tc>
              <w:tc>
                <w:tcPr>
                  <w:tcW w:w="1001" w:type="pct"/>
                  <w:vAlign w:val="center"/>
                </w:tcPr>
                <w:p>
                  <w:pPr>
                    <w:keepNext w:val="0"/>
                    <w:keepLines w:val="0"/>
                    <w:widowControl/>
                    <w:suppressLineNumbers w:val="0"/>
                    <w:jc w:val="center"/>
                    <w:textAlignment w:val="center"/>
                    <w:rPr>
                      <w:rFonts w:ascii="Times New Roman"/>
                      <w:szCs w:val="21"/>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472" w:type="pct"/>
                  <w:vAlign w:val="center"/>
                </w:tcPr>
                <w:p>
                  <w:pPr>
                    <w:jc w:val="center"/>
                    <w:rPr>
                      <w:szCs w:val="21"/>
                    </w:rPr>
                  </w:pPr>
                  <w:r>
                    <w:rPr>
                      <w:szCs w:val="21"/>
                    </w:rPr>
                    <w:t>0</w:t>
                  </w:r>
                </w:p>
              </w:tc>
              <w:tc>
                <w:tcPr>
                  <w:tcW w:w="428" w:type="pct"/>
                  <w:vAlign w:val="center"/>
                </w:tcPr>
                <w:p>
                  <w:pPr>
                    <w:adjustRightInd w:val="0"/>
                    <w:snapToGrid w:val="0"/>
                    <w:jc w:val="center"/>
                    <w:rPr>
                      <w:szCs w:val="21"/>
                      <w:highlight w:val="yellow"/>
                    </w:rPr>
                  </w:pPr>
                  <w:r>
                    <w:rPr>
                      <w:szCs w:val="21"/>
                    </w:rPr>
                    <w:t>0</w:t>
                  </w:r>
                </w:p>
              </w:tc>
              <w:tc>
                <w:tcPr>
                  <w:tcW w:w="488" w:type="pct"/>
                  <w:vAlign w:val="center"/>
                </w:tcPr>
                <w:p>
                  <w:pPr>
                    <w:jc w:val="center"/>
                    <w:rPr>
                      <w:szCs w:val="21"/>
                    </w:rPr>
                  </w:pPr>
                  <w:r>
                    <w:rPr>
                      <w:szCs w:val="21"/>
                    </w:rPr>
                    <w:t>0</w:t>
                  </w:r>
                </w:p>
              </w:tc>
              <w:tc>
                <w:tcPr>
                  <w:tcW w:w="658" w:type="pct"/>
                  <w:vAlign w:val="center"/>
                </w:tcPr>
                <w:p>
                  <w:pPr>
                    <w:jc w:val="center"/>
                    <w:rPr>
                      <w:rFonts w:ascii="Times New Roman"/>
                      <w:szCs w:val="21"/>
                    </w:rPr>
                  </w:pPr>
                  <w:r>
                    <w:rPr>
                      <w:szCs w:val="21"/>
                    </w:rPr>
                    <w:t>0</w:t>
                  </w:r>
                </w:p>
              </w:tc>
              <w:tc>
                <w:tcPr>
                  <w:tcW w:w="534" w:type="pct"/>
                  <w:vAlign w:val="center"/>
                </w:tcPr>
                <w:p>
                  <w:pPr>
                    <w:keepNext w:val="0"/>
                    <w:keepLines w:val="0"/>
                    <w:widowControl/>
                    <w:suppressLineNumbers w:val="0"/>
                    <w:jc w:val="center"/>
                    <w:textAlignment w:val="center"/>
                    <w:rPr>
                      <w:rFonts w:ascii="Times New Roman"/>
                      <w:kern w:val="2"/>
                      <w:szCs w:val="21"/>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542" w:type="pct"/>
                  <w:vAlign w:val="center"/>
                </w:tcPr>
                <w:p>
                  <w:pPr>
                    <w:jc w:val="center"/>
                    <w:rPr>
                      <w:szCs w:val="21"/>
                    </w:rPr>
                  </w:pPr>
                  <w:r>
                    <w:rPr>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continue"/>
                  <w:vAlign w:val="center"/>
                </w:tcPr>
                <w:p>
                  <w:pPr>
                    <w:widowControl/>
                    <w:jc w:val="left"/>
                    <w:rPr>
                      <w:szCs w:val="21"/>
                    </w:rPr>
                  </w:pPr>
                </w:p>
              </w:tc>
              <w:tc>
                <w:tcPr>
                  <w:tcW w:w="620" w:type="pct"/>
                  <w:vAlign w:val="center"/>
                </w:tcPr>
                <w:p>
                  <w:pPr>
                    <w:adjustRightInd w:val="0"/>
                    <w:snapToGrid w:val="0"/>
                    <w:jc w:val="center"/>
                    <w:rPr>
                      <w:szCs w:val="21"/>
                    </w:rPr>
                  </w:pPr>
                  <w:r>
                    <w:rPr>
                      <w:szCs w:val="21"/>
                    </w:rPr>
                    <w:t>SS</w:t>
                  </w:r>
                </w:p>
              </w:tc>
              <w:tc>
                <w:tcPr>
                  <w:tcW w:w="1001" w:type="pct"/>
                  <w:vAlign w:val="center"/>
                </w:tcPr>
                <w:p>
                  <w:pPr>
                    <w:keepNext w:val="0"/>
                    <w:keepLines w:val="0"/>
                    <w:widowControl/>
                    <w:suppressLineNumbers w:val="0"/>
                    <w:jc w:val="center"/>
                    <w:textAlignment w:val="center"/>
                    <w:rPr>
                      <w:rFonts w:ascii="Times New Roman"/>
                      <w:szCs w:val="21"/>
                    </w:rPr>
                  </w:pPr>
                  <w:r>
                    <w:rPr>
                      <w:rFonts w:hint="default" w:ascii="Times New Roman" w:hAnsi="Times New Roman" w:eastAsia="宋体" w:cs="Times New Roman"/>
                      <w:i w:val="0"/>
                      <w:iCs w:val="0"/>
                      <w:color w:val="000000"/>
                      <w:kern w:val="0"/>
                      <w:sz w:val="21"/>
                      <w:szCs w:val="21"/>
                      <w:u w:val="none"/>
                      <w:lang w:val="en-US" w:eastAsia="zh-CN" w:bidi="ar"/>
                    </w:rPr>
                    <w:t>3.36</w:t>
                  </w:r>
                </w:p>
              </w:tc>
              <w:tc>
                <w:tcPr>
                  <w:tcW w:w="472" w:type="pct"/>
                  <w:vAlign w:val="center"/>
                </w:tcPr>
                <w:p>
                  <w:pPr>
                    <w:jc w:val="center"/>
                    <w:rPr>
                      <w:szCs w:val="21"/>
                    </w:rPr>
                  </w:pPr>
                  <w:r>
                    <w:rPr>
                      <w:szCs w:val="21"/>
                    </w:rPr>
                    <w:t>0</w:t>
                  </w:r>
                </w:p>
              </w:tc>
              <w:tc>
                <w:tcPr>
                  <w:tcW w:w="428" w:type="pct"/>
                  <w:vAlign w:val="center"/>
                </w:tcPr>
                <w:p>
                  <w:pPr>
                    <w:adjustRightInd w:val="0"/>
                    <w:snapToGrid w:val="0"/>
                    <w:jc w:val="center"/>
                    <w:rPr>
                      <w:szCs w:val="21"/>
                      <w:highlight w:val="yellow"/>
                    </w:rPr>
                  </w:pPr>
                  <w:r>
                    <w:rPr>
                      <w:szCs w:val="21"/>
                    </w:rPr>
                    <w:t>0</w:t>
                  </w:r>
                </w:p>
              </w:tc>
              <w:tc>
                <w:tcPr>
                  <w:tcW w:w="488" w:type="pct"/>
                  <w:vAlign w:val="center"/>
                </w:tcPr>
                <w:p>
                  <w:pPr>
                    <w:jc w:val="center"/>
                    <w:rPr>
                      <w:szCs w:val="21"/>
                    </w:rPr>
                  </w:pPr>
                  <w:r>
                    <w:rPr>
                      <w:szCs w:val="21"/>
                    </w:rPr>
                    <w:t>0</w:t>
                  </w:r>
                </w:p>
              </w:tc>
              <w:tc>
                <w:tcPr>
                  <w:tcW w:w="658" w:type="pct"/>
                  <w:vAlign w:val="center"/>
                </w:tcPr>
                <w:p>
                  <w:pPr>
                    <w:jc w:val="center"/>
                    <w:rPr>
                      <w:rFonts w:ascii="Times New Roman"/>
                      <w:szCs w:val="21"/>
                    </w:rPr>
                  </w:pPr>
                  <w:r>
                    <w:rPr>
                      <w:szCs w:val="21"/>
                    </w:rPr>
                    <w:t>0</w:t>
                  </w:r>
                </w:p>
              </w:tc>
              <w:tc>
                <w:tcPr>
                  <w:tcW w:w="534" w:type="pct"/>
                  <w:vAlign w:val="center"/>
                </w:tcPr>
                <w:p>
                  <w:pPr>
                    <w:keepNext w:val="0"/>
                    <w:keepLines w:val="0"/>
                    <w:widowControl/>
                    <w:suppressLineNumbers w:val="0"/>
                    <w:jc w:val="center"/>
                    <w:textAlignment w:val="center"/>
                    <w:rPr>
                      <w:rFonts w:ascii="Times New Roman"/>
                      <w:kern w:val="2"/>
                      <w:szCs w:val="21"/>
                    </w:rPr>
                  </w:pPr>
                  <w:r>
                    <w:rPr>
                      <w:rFonts w:hint="default" w:ascii="Times New Roman" w:hAnsi="Times New Roman" w:eastAsia="宋体" w:cs="Times New Roman"/>
                      <w:i w:val="0"/>
                      <w:iCs w:val="0"/>
                      <w:color w:val="000000"/>
                      <w:kern w:val="0"/>
                      <w:sz w:val="21"/>
                      <w:szCs w:val="21"/>
                      <w:u w:val="none"/>
                      <w:lang w:val="en-US" w:eastAsia="zh-CN" w:bidi="ar"/>
                    </w:rPr>
                    <w:t>3.36</w:t>
                  </w:r>
                </w:p>
              </w:tc>
              <w:tc>
                <w:tcPr>
                  <w:tcW w:w="542" w:type="pct"/>
                  <w:vAlign w:val="center"/>
                </w:tcPr>
                <w:p>
                  <w:pPr>
                    <w:jc w:val="center"/>
                    <w:rPr>
                      <w:szCs w:val="21"/>
                    </w:rPr>
                  </w:pPr>
                  <w:r>
                    <w:rPr>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continue"/>
                  <w:vAlign w:val="center"/>
                </w:tcPr>
                <w:p>
                  <w:pPr>
                    <w:widowControl/>
                    <w:jc w:val="left"/>
                    <w:rPr>
                      <w:szCs w:val="21"/>
                    </w:rPr>
                  </w:pPr>
                </w:p>
              </w:tc>
              <w:tc>
                <w:tcPr>
                  <w:tcW w:w="620" w:type="pct"/>
                  <w:vAlign w:val="center"/>
                </w:tcPr>
                <w:p>
                  <w:pPr>
                    <w:adjustRightInd w:val="0"/>
                    <w:snapToGrid w:val="0"/>
                    <w:jc w:val="center"/>
                    <w:rPr>
                      <w:rFonts w:hint="eastAsia" w:eastAsia="宋体"/>
                      <w:szCs w:val="21"/>
                      <w:lang w:val="en-US" w:eastAsia="zh-CN"/>
                    </w:rPr>
                  </w:pPr>
                  <w:r>
                    <w:rPr>
                      <w:rFonts w:hint="eastAsia"/>
                      <w:szCs w:val="21"/>
                      <w:lang w:val="en-US" w:eastAsia="zh-CN"/>
                    </w:rPr>
                    <w:t>氨氮</w:t>
                  </w:r>
                </w:p>
              </w:tc>
              <w:tc>
                <w:tcPr>
                  <w:tcW w:w="1001" w:type="pct"/>
                  <w:vAlign w:val="center"/>
                </w:tcPr>
                <w:p>
                  <w:pPr>
                    <w:keepNext w:val="0"/>
                    <w:keepLines w:val="0"/>
                    <w:widowControl/>
                    <w:suppressLineNumbers w:val="0"/>
                    <w:jc w:val="center"/>
                    <w:textAlignment w:val="center"/>
                    <w:rPr>
                      <w:rFonts w:ascii="Times New Roman"/>
                      <w:snapToGrid w:val="0"/>
                      <w:color w:val="000000"/>
                      <w:kern w:val="21"/>
                      <w:szCs w:val="21"/>
                    </w:rPr>
                  </w:pPr>
                  <w:r>
                    <w:rPr>
                      <w:rFonts w:hint="default" w:ascii="Times New Roman" w:hAnsi="Times New Roman" w:eastAsia="宋体" w:cs="Times New Roman"/>
                      <w:i w:val="0"/>
                      <w:iCs w:val="0"/>
                      <w:color w:val="000000"/>
                      <w:kern w:val="0"/>
                      <w:sz w:val="21"/>
                      <w:szCs w:val="21"/>
                      <w:u w:val="none"/>
                      <w:lang w:val="en-US" w:eastAsia="zh-CN" w:bidi="ar"/>
                    </w:rPr>
                    <w:t>0.378</w:t>
                  </w:r>
                </w:p>
              </w:tc>
              <w:tc>
                <w:tcPr>
                  <w:tcW w:w="472" w:type="pct"/>
                  <w:vAlign w:val="center"/>
                </w:tcPr>
                <w:p>
                  <w:pPr>
                    <w:jc w:val="center"/>
                    <w:rPr>
                      <w:rFonts w:ascii="Times New Roman" w:hAnsi="Times New Roman" w:eastAsia="宋体" w:cs="Times New Roman"/>
                      <w:kern w:val="2"/>
                      <w:sz w:val="21"/>
                      <w:szCs w:val="21"/>
                      <w:lang w:val="en-US" w:eastAsia="zh-CN" w:bidi="ar-SA"/>
                    </w:rPr>
                  </w:pPr>
                  <w:r>
                    <w:rPr>
                      <w:szCs w:val="21"/>
                    </w:rPr>
                    <w:t>0</w:t>
                  </w:r>
                </w:p>
              </w:tc>
              <w:tc>
                <w:tcPr>
                  <w:tcW w:w="428" w:type="pct"/>
                  <w:vAlign w:val="center"/>
                </w:tcPr>
                <w:p>
                  <w:pPr>
                    <w:adjustRightInd w:val="0"/>
                    <w:snapToGrid w:val="0"/>
                    <w:jc w:val="center"/>
                    <w:rPr>
                      <w:rFonts w:ascii="Times New Roman" w:hAnsi="Times New Roman" w:eastAsia="宋体" w:cs="Times New Roman"/>
                      <w:kern w:val="2"/>
                      <w:sz w:val="21"/>
                      <w:szCs w:val="21"/>
                      <w:highlight w:val="yellow"/>
                      <w:lang w:val="en-US" w:eastAsia="zh-CN" w:bidi="ar-SA"/>
                    </w:rPr>
                  </w:pPr>
                  <w:r>
                    <w:rPr>
                      <w:szCs w:val="21"/>
                    </w:rPr>
                    <w:t>0</w:t>
                  </w:r>
                </w:p>
              </w:tc>
              <w:tc>
                <w:tcPr>
                  <w:tcW w:w="488" w:type="pct"/>
                  <w:vAlign w:val="center"/>
                </w:tcPr>
                <w:p>
                  <w:pPr>
                    <w:jc w:val="center"/>
                    <w:rPr>
                      <w:rFonts w:ascii="Times New Roman" w:hAnsi="Times New Roman" w:eastAsia="宋体" w:cs="Times New Roman"/>
                      <w:kern w:val="2"/>
                      <w:sz w:val="21"/>
                      <w:szCs w:val="21"/>
                      <w:lang w:val="en-US" w:eastAsia="zh-CN" w:bidi="ar-SA"/>
                    </w:rPr>
                  </w:pPr>
                  <w:r>
                    <w:rPr>
                      <w:szCs w:val="21"/>
                    </w:rPr>
                    <w:t>0</w:t>
                  </w:r>
                </w:p>
              </w:tc>
              <w:tc>
                <w:tcPr>
                  <w:tcW w:w="658" w:type="pct"/>
                  <w:vAlign w:val="center"/>
                </w:tcPr>
                <w:p>
                  <w:pPr>
                    <w:jc w:val="center"/>
                    <w:rPr>
                      <w:rFonts w:ascii="Times New Roman" w:hAnsi="Times New Roman" w:eastAsia="宋体" w:cs="Times New Roman"/>
                      <w:snapToGrid w:val="0"/>
                      <w:color w:val="000000"/>
                      <w:kern w:val="21"/>
                      <w:sz w:val="21"/>
                      <w:szCs w:val="21"/>
                      <w:lang w:val="en-US" w:eastAsia="zh-CN" w:bidi="ar-SA"/>
                    </w:rPr>
                  </w:pPr>
                  <w:r>
                    <w:rPr>
                      <w:rFonts w:hint="eastAsia"/>
                      <w:szCs w:val="21"/>
                      <w:lang w:val="en-US" w:eastAsia="zh-CN"/>
                    </w:rPr>
                    <w:t>0</w:t>
                  </w:r>
                </w:p>
              </w:tc>
              <w:tc>
                <w:tcPr>
                  <w:tcW w:w="534" w:type="pct"/>
                  <w:vAlign w:val="center"/>
                </w:tcPr>
                <w:p>
                  <w:pPr>
                    <w:keepNext w:val="0"/>
                    <w:keepLines w:val="0"/>
                    <w:widowControl/>
                    <w:suppressLineNumbers w:val="0"/>
                    <w:jc w:val="center"/>
                    <w:textAlignment w:val="center"/>
                    <w:rPr>
                      <w:rFonts w:ascii="Times New Roman" w:hAnsi="Times New Roman" w:eastAsia="宋体" w:cs="Times New Roman"/>
                      <w:snapToGrid w:val="0"/>
                      <w:color w:val="000000"/>
                      <w:kern w:val="21"/>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0.378</w:t>
                  </w:r>
                </w:p>
              </w:tc>
              <w:tc>
                <w:tcPr>
                  <w:tcW w:w="542" w:type="pct"/>
                  <w:vAlign w:val="center"/>
                </w:tcPr>
                <w:p>
                  <w:pPr>
                    <w:jc w:val="center"/>
                    <w:rPr>
                      <w:rFonts w:hint="eastAsia" w:eastAsia="宋体"/>
                      <w:szCs w:val="21"/>
                      <w:lang w:val="en-US" w:eastAsia="zh-CN"/>
                    </w:rPr>
                  </w:pPr>
                  <w:r>
                    <w:rPr>
                      <w:rFonts w:hint="eastAsia"/>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continue"/>
                  <w:vAlign w:val="center"/>
                </w:tcPr>
                <w:p>
                  <w:pPr>
                    <w:widowControl/>
                    <w:jc w:val="left"/>
                    <w:rPr>
                      <w:szCs w:val="21"/>
                    </w:rPr>
                  </w:pPr>
                </w:p>
              </w:tc>
              <w:tc>
                <w:tcPr>
                  <w:tcW w:w="620" w:type="pct"/>
                  <w:vAlign w:val="center"/>
                </w:tcPr>
                <w:p>
                  <w:pPr>
                    <w:adjustRightInd w:val="0"/>
                    <w:snapToGrid w:val="0"/>
                    <w:jc w:val="center"/>
                    <w:rPr>
                      <w:rFonts w:hint="eastAsia" w:eastAsia="宋体"/>
                      <w:szCs w:val="21"/>
                      <w:lang w:val="en-US" w:eastAsia="zh-CN"/>
                    </w:rPr>
                  </w:pPr>
                  <w:r>
                    <w:rPr>
                      <w:rFonts w:hint="eastAsia"/>
                      <w:szCs w:val="21"/>
                      <w:lang w:val="en-US" w:eastAsia="zh-CN"/>
                    </w:rPr>
                    <w:t>总磷</w:t>
                  </w:r>
                </w:p>
              </w:tc>
              <w:tc>
                <w:tcPr>
                  <w:tcW w:w="1001" w:type="pct"/>
                  <w:vAlign w:val="center"/>
                </w:tcPr>
                <w:p>
                  <w:pPr>
                    <w:keepNext w:val="0"/>
                    <w:keepLines w:val="0"/>
                    <w:widowControl/>
                    <w:suppressLineNumbers w:val="0"/>
                    <w:jc w:val="center"/>
                    <w:textAlignment w:val="center"/>
                    <w:rPr>
                      <w:rFonts w:ascii="Times New Roman"/>
                      <w:snapToGrid w:val="0"/>
                      <w:color w:val="000000"/>
                      <w:kern w:val="21"/>
                      <w:szCs w:val="21"/>
                    </w:rPr>
                  </w:pPr>
                  <w:r>
                    <w:rPr>
                      <w:rFonts w:hint="default" w:ascii="Times New Roman" w:hAnsi="Times New Roman" w:eastAsia="宋体" w:cs="Times New Roman"/>
                      <w:i w:val="0"/>
                      <w:iCs w:val="0"/>
                      <w:color w:val="000000"/>
                      <w:kern w:val="0"/>
                      <w:sz w:val="21"/>
                      <w:szCs w:val="21"/>
                      <w:u w:val="none"/>
                      <w:lang w:val="en-US" w:eastAsia="zh-CN" w:bidi="ar"/>
                    </w:rPr>
                    <w:t>0.0672</w:t>
                  </w:r>
                </w:p>
              </w:tc>
              <w:tc>
                <w:tcPr>
                  <w:tcW w:w="472" w:type="pct"/>
                  <w:vAlign w:val="center"/>
                </w:tcPr>
                <w:p>
                  <w:pPr>
                    <w:jc w:val="center"/>
                    <w:rPr>
                      <w:rFonts w:ascii="Times New Roman" w:hAnsi="Times New Roman" w:eastAsia="宋体" w:cs="Times New Roman"/>
                      <w:kern w:val="2"/>
                      <w:sz w:val="21"/>
                      <w:szCs w:val="21"/>
                      <w:lang w:val="en-US" w:eastAsia="zh-CN" w:bidi="ar-SA"/>
                    </w:rPr>
                  </w:pPr>
                  <w:r>
                    <w:rPr>
                      <w:szCs w:val="21"/>
                    </w:rPr>
                    <w:t>0</w:t>
                  </w:r>
                </w:p>
              </w:tc>
              <w:tc>
                <w:tcPr>
                  <w:tcW w:w="428" w:type="pct"/>
                  <w:vAlign w:val="center"/>
                </w:tcPr>
                <w:p>
                  <w:pPr>
                    <w:adjustRightInd w:val="0"/>
                    <w:snapToGrid w:val="0"/>
                    <w:jc w:val="center"/>
                    <w:rPr>
                      <w:rFonts w:ascii="Times New Roman" w:hAnsi="Times New Roman" w:eastAsia="宋体" w:cs="Times New Roman"/>
                      <w:kern w:val="2"/>
                      <w:sz w:val="21"/>
                      <w:szCs w:val="21"/>
                      <w:highlight w:val="yellow"/>
                      <w:lang w:val="en-US" w:eastAsia="zh-CN" w:bidi="ar-SA"/>
                    </w:rPr>
                  </w:pPr>
                  <w:r>
                    <w:rPr>
                      <w:szCs w:val="21"/>
                    </w:rPr>
                    <w:t>0</w:t>
                  </w:r>
                </w:p>
              </w:tc>
              <w:tc>
                <w:tcPr>
                  <w:tcW w:w="488" w:type="pct"/>
                  <w:vAlign w:val="center"/>
                </w:tcPr>
                <w:p>
                  <w:pPr>
                    <w:jc w:val="center"/>
                    <w:rPr>
                      <w:rFonts w:ascii="Times New Roman" w:hAnsi="Times New Roman" w:eastAsia="宋体" w:cs="Times New Roman"/>
                      <w:kern w:val="2"/>
                      <w:sz w:val="21"/>
                      <w:szCs w:val="21"/>
                      <w:lang w:val="en-US" w:eastAsia="zh-CN" w:bidi="ar-SA"/>
                    </w:rPr>
                  </w:pPr>
                  <w:r>
                    <w:rPr>
                      <w:szCs w:val="21"/>
                    </w:rPr>
                    <w:t>0</w:t>
                  </w:r>
                </w:p>
              </w:tc>
              <w:tc>
                <w:tcPr>
                  <w:tcW w:w="658" w:type="pct"/>
                  <w:vAlign w:val="center"/>
                </w:tcPr>
                <w:p>
                  <w:pPr>
                    <w:jc w:val="center"/>
                    <w:rPr>
                      <w:rFonts w:ascii="Times New Roman" w:hAnsi="Times New Roman" w:eastAsia="宋体" w:cs="Times New Roman"/>
                      <w:snapToGrid w:val="0"/>
                      <w:color w:val="000000"/>
                      <w:kern w:val="21"/>
                      <w:sz w:val="21"/>
                      <w:szCs w:val="21"/>
                      <w:lang w:val="en-US" w:eastAsia="zh-CN" w:bidi="ar-SA"/>
                    </w:rPr>
                  </w:pPr>
                  <w:r>
                    <w:rPr>
                      <w:rFonts w:hint="eastAsia"/>
                      <w:szCs w:val="21"/>
                      <w:lang w:val="en-US" w:eastAsia="zh-CN"/>
                    </w:rPr>
                    <w:t>0</w:t>
                  </w:r>
                </w:p>
              </w:tc>
              <w:tc>
                <w:tcPr>
                  <w:tcW w:w="534" w:type="pct"/>
                  <w:vAlign w:val="center"/>
                </w:tcPr>
                <w:p>
                  <w:pPr>
                    <w:keepNext w:val="0"/>
                    <w:keepLines w:val="0"/>
                    <w:widowControl/>
                    <w:suppressLineNumbers w:val="0"/>
                    <w:jc w:val="center"/>
                    <w:textAlignment w:val="center"/>
                    <w:rPr>
                      <w:rFonts w:ascii="Times New Roman" w:hAnsi="Times New Roman" w:eastAsia="宋体" w:cs="Times New Roman"/>
                      <w:snapToGrid w:val="0"/>
                      <w:color w:val="000000"/>
                      <w:kern w:val="21"/>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0.0672</w:t>
                  </w:r>
                </w:p>
              </w:tc>
              <w:tc>
                <w:tcPr>
                  <w:tcW w:w="542" w:type="pct"/>
                  <w:vAlign w:val="center"/>
                </w:tcPr>
                <w:p>
                  <w:pPr>
                    <w:jc w:val="center"/>
                    <w:rPr>
                      <w:rFonts w:hint="eastAsia" w:eastAsia="宋体"/>
                      <w:szCs w:val="21"/>
                      <w:lang w:val="en-US" w:eastAsia="zh-CN"/>
                    </w:rPr>
                  </w:pPr>
                  <w:r>
                    <w:rPr>
                      <w:rFonts w:hint="eastAsia"/>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continue"/>
                  <w:vAlign w:val="center"/>
                </w:tcPr>
                <w:p>
                  <w:pPr>
                    <w:widowControl/>
                    <w:jc w:val="left"/>
                    <w:rPr>
                      <w:szCs w:val="21"/>
                    </w:rPr>
                  </w:pPr>
                </w:p>
              </w:tc>
              <w:tc>
                <w:tcPr>
                  <w:tcW w:w="620" w:type="pct"/>
                  <w:vAlign w:val="center"/>
                </w:tcPr>
                <w:p>
                  <w:pPr>
                    <w:adjustRightInd w:val="0"/>
                    <w:snapToGrid w:val="0"/>
                    <w:jc w:val="center"/>
                    <w:rPr>
                      <w:rFonts w:hint="eastAsia" w:eastAsia="宋体"/>
                      <w:szCs w:val="21"/>
                      <w:lang w:val="en-US" w:eastAsia="zh-CN"/>
                    </w:rPr>
                  </w:pPr>
                  <w:r>
                    <w:rPr>
                      <w:rFonts w:hint="eastAsia"/>
                      <w:szCs w:val="21"/>
                      <w:lang w:val="en-US" w:eastAsia="zh-CN"/>
                    </w:rPr>
                    <w:t>总氮</w:t>
                  </w:r>
                </w:p>
              </w:tc>
              <w:tc>
                <w:tcPr>
                  <w:tcW w:w="1001" w:type="pct"/>
                  <w:vAlign w:val="center"/>
                </w:tcPr>
                <w:p>
                  <w:pPr>
                    <w:keepNext w:val="0"/>
                    <w:keepLines w:val="0"/>
                    <w:widowControl/>
                    <w:suppressLineNumbers w:val="0"/>
                    <w:jc w:val="center"/>
                    <w:textAlignment w:val="center"/>
                    <w:rPr>
                      <w:rFonts w:ascii="Times New Roman"/>
                      <w:snapToGrid w:val="0"/>
                      <w:color w:val="000000"/>
                      <w:kern w:val="21"/>
                      <w:szCs w:val="21"/>
                    </w:rPr>
                  </w:pPr>
                  <w:r>
                    <w:rPr>
                      <w:rFonts w:hint="default" w:ascii="Times New Roman" w:hAnsi="Times New Roman" w:eastAsia="宋体" w:cs="Times New Roman"/>
                      <w:i w:val="0"/>
                      <w:iCs w:val="0"/>
                      <w:color w:val="000000"/>
                      <w:kern w:val="0"/>
                      <w:sz w:val="21"/>
                      <w:szCs w:val="21"/>
                      <w:u w:val="none"/>
                      <w:lang w:val="en-US" w:eastAsia="zh-CN" w:bidi="ar"/>
                    </w:rPr>
                    <w:t>0.588</w:t>
                  </w:r>
                </w:p>
              </w:tc>
              <w:tc>
                <w:tcPr>
                  <w:tcW w:w="472" w:type="pct"/>
                  <w:vAlign w:val="center"/>
                </w:tcPr>
                <w:p>
                  <w:pPr>
                    <w:jc w:val="center"/>
                    <w:rPr>
                      <w:rFonts w:ascii="Times New Roman" w:hAnsi="Times New Roman" w:eastAsia="宋体" w:cs="Times New Roman"/>
                      <w:kern w:val="2"/>
                      <w:sz w:val="21"/>
                      <w:szCs w:val="21"/>
                      <w:lang w:val="en-US" w:eastAsia="zh-CN" w:bidi="ar-SA"/>
                    </w:rPr>
                  </w:pPr>
                  <w:r>
                    <w:rPr>
                      <w:szCs w:val="21"/>
                    </w:rPr>
                    <w:t>0</w:t>
                  </w:r>
                </w:p>
              </w:tc>
              <w:tc>
                <w:tcPr>
                  <w:tcW w:w="428" w:type="pct"/>
                  <w:vAlign w:val="center"/>
                </w:tcPr>
                <w:p>
                  <w:pPr>
                    <w:adjustRightInd w:val="0"/>
                    <w:snapToGrid w:val="0"/>
                    <w:jc w:val="center"/>
                    <w:rPr>
                      <w:rFonts w:ascii="Times New Roman" w:hAnsi="Times New Roman" w:eastAsia="宋体" w:cs="Times New Roman"/>
                      <w:kern w:val="2"/>
                      <w:sz w:val="21"/>
                      <w:szCs w:val="21"/>
                      <w:highlight w:val="yellow"/>
                      <w:lang w:val="en-US" w:eastAsia="zh-CN" w:bidi="ar-SA"/>
                    </w:rPr>
                  </w:pPr>
                  <w:r>
                    <w:rPr>
                      <w:szCs w:val="21"/>
                    </w:rPr>
                    <w:t>0</w:t>
                  </w:r>
                </w:p>
              </w:tc>
              <w:tc>
                <w:tcPr>
                  <w:tcW w:w="488" w:type="pct"/>
                  <w:vAlign w:val="center"/>
                </w:tcPr>
                <w:p>
                  <w:pPr>
                    <w:jc w:val="center"/>
                    <w:rPr>
                      <w:rFonts w:ascii="Times New Roman" w:hAnsi="Times New Roman" w:eastAsia="宋体" w:cs="Times New Roman"/>
                      <w:kern w:val="2"/>
                      <w:sz w:val="21"/>
                      <w:szCs w:val="21"/>
                      <w:lang w:val="en-US" w:eastAsia="zh-CN" w:bidi="ar-SA"/>
                    </w:rPr>
                  </w:pPr>
                  <w:r>
                    <w:rPr>
                      <w:szCs w:val="21"/>
                    </w:rPr>
                    <w:t>0</w:t>
                  </w:r>
                </w:p>
              </w:tc>
              <w:tc>
                <w:tcPr>
                  <w:tcW w:w="658" w:type="pct"/>
                  <w:vAlign w:val="center"/>
                </w:tcPr>
                <w:p>
                  <w:pPr>
                    <w:jc w:val="center"/>
                    <w:rPr>
                      <w:rFonts w:ascii="Times New Roman" w:hAnsi="Times New Roman" w:eastAsia="宋体" w:cs="Times New Roman"/>
                      <w:snapToGrid w:val="0"/>
                      <w:color w:val="000000"/>
                      <w:kern w:val="21"/>
                      <w:sz w:val="21"/>
                      <w:szCs w:val="21"/>
                      <w:lang w:val="en-US" w:eastAsia="zh-CN" w:bidi="ar-SA"/>
                    </w:rPr>
                  </w:pPr>
                  <w:r>
                    <w:rPr>
                      <w:rFonts w:hint="eastAsia"/>
                      <w:szCs w:val="21"/>
                      <w:lang w:val="en-US" w:eastAsia="zh-CN"/>
                    </w:rPr>
                    <w:t>0</w:t>
                  </w:r>
                </w:p>
              </w:tc>
              <w:tc>
                <w:tcPr>
                  <w:tcW w:w="534" w:type="pct"/>
                  <w:vAlign w:val="center"/>
                </w:tcPr>
                <w:p>
                  <w:pPr>
                    <w:keepNext w:val="0"/>
                    <w:keepLines w:val="0"/>
                    <w:widowControl/>
                    <w:suppressLineNumbers w:val="0"/>
                    <w:jc w:val="center"/>
                    <w:textAlignment w:val="center"/>
                    <w:rPr>
                      <w:rFonts w:ascii="Times New Roman" w:hAnsi="Times New Roman" w:eastAsia="宋体" w:cs="Times New Roman"/>
                      <w:snapToGrid w:val="0"/>
                      <w:color w:val="000000"/>
                      <w:kern w:val="21"/>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0.588</w:t>
                  </w:r>
                </w:p>
              </w:tc>
              <w:tc>
                <w:tcPr>
                  <w:tcW w:w="542" w:type="pct"/>
                  <w:vAlign w:val="center"/>
                </w:tcPr>
                <w:p>
                  <w:pPr>
                    <w:jc w:val="center"/>
                    <w:rPr>
                      <w:rFonts w:hint="eastAsia" w:eastAsia="宋体"/>
                      <w:szCs w:val="21"/>
                      <w:lang w:val="en-US" w:eastAsia="zh-CN"/>
                    </w:rPr>
                  </w:pPr>
                  <w:r>
                    <w:rPr>
                      <w:rFonts w:hint="eastAsia"/>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restart"/>
                  <w:tcBorders>
                    <w:top w:val="single" w:color="auto" w:sz="4" w:space="0"/>
                  </w:tcBorders>
                  <w:vAlign w:val="center"/>
                </w:tcPr>
                <w:p>
                  <w:pPr>
                    <w:adjustRightInd w:val="0"/>
                    <w:snapToGrid w:val="0"/>
                    <w:jc w:val="center"/>
                    <w:rPr>
                      <w:szCs w:val="21"/>
                    </w:rPr>
                  </w:pPr>
                  <w:r>
                    <w:rPr>
                      <w:szCs w:val="21"/>
                    </w:rPr>
                    <w:t>废气</w:t>
                  </w:r>
                </w:p>
              </w:tc>
              <w:tc>
                <w:tcPr>
                  <w:tcW w:w="620" w:type="pct"/>
                  <w:vAlign w:val="center"/>
                </w:tcPr>
                <w:p>
                  <w:pPr>
                    <w:adjustRightInd w:val="0"/>
                    <w:snapToGrid w:val="0"/>
                    <w:jc w:val="center"/>
                    <w:rPr>
                      <w:szCs w:val="21"/>
                    </w:rPr>
                  </w:pPr>
                  <w:r>
                    <w:rPr>
                      <w:szCs w:val="21"/>
                    </w:rPr>
                    <w:t>VOCs</w:t>
                  </w:r>
                </w:p>
              </w:tc>
              <w:tc>
                <w:tcPr>
                  <w:tcW w:w="1001" w:type="pct"/>
                  <w:vAlign w:val="center"/>
                </w:tcPr>
                <w:p>
                  <w:pPr>
                    <w:widowControl/>
                    <w:adjustRightInd w:val="0"/>
                    <w:snapToGrid w:val="0"/>
                    <w:jc w:val="center"/>
                    <w:rPr>
                      <w:szCs w:val="21"/>
                    </w:rPr>
                  </w:pPr>
                  <w:r>
                    <w:rPr>
                      <w:szCs w:val="21"/>
                    </w:rPr>
                    <w:t>1.8504</w:t>
                  </w:r>
                </w:p>
              </w:tc>
              <w:tc>
                <w:tcPr>
                  <w:tcW w:w="472" w:type="pct"/>
                  <w:vAlign w:val="center"/>
                </w:tcPr>
                <w:p>
                  <w:pPr>
                    <w:adjustRightInd w:val="0"/>
                    <w:snapToGrid w:val="0"/>
                    <w:jc w:val="center"/>
                    <w:rPr>
                      <w:szCs w:val="21"/>
                    </w:rPr>
                  </w:pPr>
                  <w:r>
                    <w:rPr>
                      <w:szCs w:val="21"/>
                    </w:rPr>
                    <w:t>0</w:t>
                  </w:r>
                </w:p>
              </w:tc>
              <w:tc>
                <w:tcPr>
                  <w:tcW w:w="428" w:type="pct"/>
                  <w:vAlign w:val="center"/>
                </w:tcPr>
                <w:p>
                  <w:pPr>
                    <w:adjustRightInd w:val="0"/>
                    <w:snapToGrid w:val="0"/>
                    <w:jc w:val="center"/>
                    <w:rPr>
                      <w:szCs w:val="21"/>
                    </w:rPr>
                  </w:pPr>
                  <w:r>
                    <w:rPr>
                      <w:szCs w:val="21"/>
                    </w:rPr>
                    <w:t>0</w:t>
                  </w:r>
                </w:p>
              </w:tc>
              <w:tc>
                <w:tcPr>
                  <w:tcW w:w="488" w:type="pct"/>
                  <w:vAlign w:val="center"/>
                </w:tcPr>
                <w:p>
                  <w:pPr>
                    <w:adjustRightInd w:val="0"/>
                    <w:snapToGrid w:val="0"/>
                    <w:jc w:val="center"/>
                    <w:rPr>
                      <w:szCs w:val="21"/>
                    </w:rPr>
                  </w:pPr>
                  <w:r>
                    <w:rPr>
                      <w:szCs w:val="21"/>
                    </w:rPr>
                    <w:t>0</w:t>
                  </w:r>
                </w:p>
              </w:tc>
              <w:tc>
                <w:tcPr>
                  <w:tcW w:w="658" w:type="pct"/>
                  <w:vAlign w:val="center"/>
                </w:tcPr>
                <w:p>
                  <w:pPr>
                    <w:jc w:val="center"/>
                    <w:rPr>
                      <w:szCs w:val="21"/>
                    </w:rPr>
                  </w:pPr>
                  <w:r>
                    <w:rPr>
                      <w:rFonts w:hint="eastAsia"/>
                      <w:szCs w:val="21"/>
                      <w:lang w:val="en-US" w:eastAsia="zh-CN"/>
                    </w:rPr>
                    <w:t>0</w:t>
                  </w:r>
                </w:p>
              </w:tc>
              <w:tc>
                <w:tcPr>
                  <w:tcW w:w="534" w:type="pct"/>
                  <w:vAlign w:val="center"/>
                </w:tcPr>
                <w:p>
                  <w:pPr>
                    <w:widowControl/>
                    <w:adjustRightInd w:val="0"/>
                    <w:snapToGrid w:val="0"/>
                    <w:jc w:val="center"/>
                    <w:rPr>
                      <w:szCs w:val="21"/>
                    </w:rPr>
                  </w:pPr>
                  <w:r>
                    <w:rPr>
                      <w:szCs w:val="21"/>
                    </w:rPr>
                    <w:t>1.8504</w:t>
                  </w:r>
                </w:p>
              </w:tc>
              <w:tc>
                <w:tcPr>
                  <w:tcW w:w="542" w:type="pct"/>
                  <w:vAlign w:val="center"/>
                </w:tcPr>
                <w:p>
                  <w:pPr>
                    <w:adjustRightInd w:val="0"/>
                    <w:snapToGrid w:val="0"/>
                    <w:jc w:val="center"/>
                    <w:rPr>
                      <w:szCs w:val="21"/>
                    </w:rPr>
                  </w:pPr>
                  <w:r>
                    <w:rPr>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continue"/>
                  <w:vAlign w:val="center"/>
                </w:tcPr>
                <w:p>
                  <w:pPr>
                    <w:adjustRightInd w:val="0"/>
                    <w:snapToGrid w:val="0"/>
                    <w:jc w:val="center"/>
                    <w:rPr>
                      <w:szCs w:val="21"/>
                    </w:rPr>
                  </w:pPr>
                </w:p>
              </w:tc>
              <w:tc>
                <w:tcPr>
                  <w:tcW w:w="620" w:type="pct"/>
                  <w:vAlign w:val="center"/>
                </w:tcPr>
                <w:p>
                  <w:pPr>
                    <w:adjustRightInd w:val="0"/>
                    <w:snapToGrid w:val="0"/>
                    <w:jc w:val="center"/>
                    <w:rPr>
                      <w:szCs w:val="21"/>
                    </w:rPr>
                  </w:pPr>
                  <w:r>
                    <w:rPr>
                      <w:szCs w:val="21"/>
                    </w:rPr>
                    <w:t>颗粒物</w:t>
                  </w:r>
                </w:p>
              </w:tc>
              <w:tc>
                <w:tcPr>
                  <w:tcW w:w="1001" w:type="pct"/>
                  <w:vAlign w:val="center"/>
                </w:tcPr>
                <w:p>
                  <w:pPr>
                    <w:widowControl/>
                    <w:adjustRightInd w:val="0"/>
                    <w:snapToGrid w:val="0"/>
                    <w:jc w:val="center"/>
                    <w:rPr>
                      <w:rFonts w:hint="eastAsia" w:eastAsia="宋体"/>
                      <w:szCs w:val="21"/>
                      <w:lang w:eastAsia="zh-CN"/>
                    </w:rPr>
                  </w:pPr>
                  <w:r>
                    <w:rPr>
                      <w:rFonts w:hint="eastAsia"/>
                      <w:szCs w:val="21"/>
                      <w:lang w:eastAsia="zh-CN"/>
                    </w:rPr>
                    <w:t>0.13344</w:t>
                  </w:r>
                </w:p>
              </w:tc>
              <w:tc>
                <w:tcPr>
                  <w:tcW w:w="472" w:type="pct"/>
                  <w:vAlign w:val="center"/>
                </w:tcPr>
                <w:p>
                  <w:pPr>
                    <w:adjustRightInd w:val="0"/>
                    <w:snapToGrid w:val="0"/>
                    <w:jc w:val="center"/>
                    <w:rPr>
                      <w:szCs w:val="21"/>
                      <w:highlight w:val="yellow"/>
                    </w:rPr>
                  </w:pPr>
                  <w:r>
                    <w:rPr>
                      <w:szCs w:val="21"/>
                    </w:rPr>
                    <w:t>0.168</w:t>
                  </w:r>
                </w:p>
              </w:tc>
              <w:tc>
                <w:tcPr>
                  <w:tcW w:w="428" w:type="pct"/>
                  <w:vAlign w:val="center"/>
                </w:tcPr>
                <w:p>
                  <w:pPr>
                    <w:adjustRightInd w:val="0"/>
                    <w:snapToGrid w:val="0"/>
                    <w:jc w:val="center"/>
                    <w:rPr>
                      <w:szCs w:val="21"/>
                      <w:highlight w:val="yellow"/>
                    </w:rPr>
                  </w:pPr>
                  <w:r>
                    <w:rPr>
                      <w:szCs w:val="21"/>
                    </w:rPr>
                    <w:t>0</w:t>
                  </w:r>
                </w:p>
              </w:tc>
              <w:tc>
                <w:tcPr>
                  <w:tcW w:w="488" w:type="pct"/>
                  <w:vAlign w:val="center"/>
                </w:tcPr>
                <w:p>
                  <w:pPr>
                    <w:adjustRightInd w:val="0"/>
                    <w:snapToGrid w:val="0"/>
                    <w:jc w:val="center"/>
                    <w:rPr>
                      <w:szCs w:val="21"/>
                      <w:highlight w:val="yellow"/>
                    </w:rPr>
                  </w:pPr>
                  <w:r>
                    <w:rPr>
                      <w:szCs w:val="21"/>
                    </w:rPr>
                    <w:t>0.168</w:t>
                  </w:r>
                </w:p>
              </w:tc>
              <w:tc>
                <w:tcPr>
                  <w:tcW w:w="658" w:type="pct"/>
                  <w:vAlign w:val="center"/>
                </w:tcPr>
                <w:p>
                  <w:pPr>
                    <w:jc w:val="center"/>
                    <w:rPr>
                      <w:rFonts w:hint="eastAsia" w:eastAsia="宋体"/>
                      <w:szCs w:val="21"/>
                      <w:lang w:eastAsia="zh-CN"/>
                    </w:rPr>
                  </w:pPr>
                  <w:r>
                    <w:rPr>
                      <w:rFonts w:hint="eastAsia"/>
                      <w:szCs w:val="21"/>
                      <w:lang w:val="en-US" w:eastAsia="zh-CN"/>
                    </w:rPr>
                    <w:t>0</w:t>
                  </w:r>
                </w:p>
              </w:tc>
              <w:tc>
                <w:tcPr>
                  <w:tcW w:w="534" w:type="pct"/>
                  <w:vAlign w:val="center"/>
                </w:tcPr>
                <w:p>
                  <w:pPr>
                    <w:widowControl/>
                    <w:adjustRightInd w:val="0"/>
                    <w:snapToGrid w:val="0"/>
                    <w:jc w:val="center"/>
                    <w:rPr>
                      <w:rFonts w:hint="eastAsia" w:eastAsia="宋体"/>
                      <w:szCs w:val="21"/>
                      <w:lang w:eastAsia="zh-CN"/>
                    </w:rPr>
                  </w:pPr>
                  <w:r>
                    <w:rPr>
                      <w:rFonts w:hint="eastAsia"/>
                      <w:szCs w:val="21"/>
                      <w:lang w:eastAsia="zh-CN"/>
                    </w:rPr>
                    <w:t>0.30144</w:t>
                  </w:r>
                </w:p>
              </w:tc>
              <w:tc>
                <w:tcPr>
                  <w:tcW w:w="542" w:type="pct"/>
                  <w:vAlign w:val="center"/>
                </w:tcPr>
                <w:p>
                  <w:pPr>
                    <w:adjustRightInd w:val="0"/>
                    <w:snapToGrid w:val="0"/>
                    <w:jc w:val="center"/>
                    <w:rPr>
                      <w:szCs w:val="21"/>
                    </w:rPr>
                  </w:pPr>
                  <w:r>
                    <w:rPr>
                      <w:szCs w:val="21"/>
                    </w:rPr>
                    <w:t>+0.168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continue"/>
                  <w:vAlign w:val="center"/>
                </w:tcPr>
                <w:p>
                  <w:pPr>
                    <w:adjustRightInd w:val="0"/>
                    <w:snapToGrid w:val="0"/>
                    <w:jc w:val="center"/>
                    <w:rPr>
                      <w:szCs w:val="21"/>
                    </w:rPr>
                  </w:pPr>
                </w:p>
              </w:tc>
              <w:tc>
                <w:tcPr>
                  <w:tcW w:w="620" w:type="pct"/>
                  <w:vAlign w:val="center"/>
                </w:tcPr>
                <w:p>
                  <w:pPr>
                    <w:adjustRightInd w:val="0"/>
                    <w:snapToGrid w:val="0"/>
                    <w:jc w:val="center"/>
                    <w:rPr>
                      <w:szCs w:val="21"/>
                    </w:rPr>
                  </w:pPr>
                  <w:r>
                    <w:rPr>
                      <w:szCs w:val="21"/>
                    </w:rPr>
                    <w:t>SO</w:t>
                  </w:r>
                  <w:r>
                    <w:rPr>
                      <w:szCs w:val="21"/>
                      <w:vertAlign w:val="subscript"/>
                    </w:rPr>
                    <w:t>2</w:t>
                  </w:r>
                </w:p>
              </w:tc>
              <w:tc>
                <w:tcPr>
                  <w:tcW w:w="1001" w:type="pct"/>
                  <w:vAlign w:val="center"/>
                </w:tcPr>
                <w:p>
                  <w:pPr>
                    <w:adjustRightInd w:val="0"/>
                    <w:snapToGrid w:val="0"/>
                    <w:jc w:val="center"/>
                    <w:rPr>
                      <w:szCs w:val="21"/>
                    </w:rPr>
                  </w:pPr>
                  <w:r>
                    <w:rPr>
                      <w:szCs w:val="21"/>
                    </w:rPr>
                    <w:t>0</w:t>
                  </w:r>
                </w:p>
              </w:tc>
              <w:tc>
                <w:tcPr>
                  <w:tcW w:w="472" w:type="pct"/>
                  <w:vAlign w:val="center"/>
                </w:tcPr>
                <w:p>
                  <w:pPr>
                    <w:adjustRightInd w:val="0"/>
                    <w:snapToGrid w:val="0"/>
                    <w:jc w:val="center"/>
                    <w:rPr>
                      <w:szCs w:val="21"/>
                    </w:rPr>
                  </w:pPr>
                  <w:r>
                    <w:rPr>
                      <w:szCs w:val="21"/>
                    </w:rPr>
                    <w:t>0.24</w:t>
                  </w:r>
                </w:p>
              </w:tc>
              <w:tc>
                <w:tcPr>
                  <w:tcW w:w="428" w:type="pct"/>
                  <w:vAlign w:val="center"/>
                </w:tcPr>
                <w:p>
                  <w:pPr>
                    <w:adjustRightInd w:val="0"/>
                    <w:snapToGrid w:val="0"/>
                    <w:jc w:val="center"/>
                    <w:rPr>
                      <w:szCs w:val="21"/>
                    </w:rPr>
                  </w:pPr>
                  <w:r>
                    <w:rPr>
                      <w:szCs w:val="21"/>
                    </w:rPr>
                    <w:t>0</w:t>
                  </w:r>
                </w:p>
              </w:tc>
              <w:tc>
                <w:tcPr>
                  <w:tcW w:w="488" w:type="pct"/>
                  <w:vAlign w:val="center"/>
                </w:tcPr>
                <w:p>
                  <w:pPr>
                    <w:adjustRightInd w:val="0"/>
                    <w:snapToGrid w:val="0"/>
                    <w:jc w:val="center"/>
                    <w:rPr>
                      <w:szCs w:val="21"/>
                    </w:rPr>
                  </w:pPr>
                  <w:r>
                    <w:rPr>
                      <w:szCs w:val="21"/>
                    </w:rPr>
                    <w:t>0.24</w:t>
                  </w:r>
                </w:p>
              </w:tc>
              <w:tc>
                <w:tcPr>
                  <w:tcW w:w="658" w:type="pct"/>
                  <w:vAlign w:val="center"/>
                </w:tcPr>
                <w:p>
                  <w:pPr>
                    <w:adjustRightInd w:val="0"/>
                    <w:snapToGrid w:val="0"/>
                    <w:jc w:val="center"/>
                    <w:rPr>
                      <w:szCs w:val="21"/>
                    </w:rPr>
                  </w:pPr>
                  <w:r>
                    <w:rPr>
                      <w:szCs w:val="21"/>
                    </w:rPr>
                    <w:t>0</w:t>
                  </w:r>
                </w:p>
              </w:tc>
              <w:tc>
                <w:tcPr>
                  <w:tcW w:w="534" w:type="pct"/>
                  <w:vAlign w:val="center"/>
                </w:tcPr>
                <w:p>
                  <w:pPr>
                    <w:adjustRightInd w:val="0"/>
                    <w:snapToGrid w:val="0"/>
                    <w:jc w:val="center"/>
                    <w:rPr>
                      <w:szCs w:val="21"/>
                    </w:rPr>
                  </w:pPr>
                  <w:r>
                    <w:rPr>
                      <w:szCs w:val="21"/>
                    </w:rPr>
                    <w:t>0.24</w:t>
                  </w:r>
                </w:p>
              </w:tc>
              <w:tc>
                <w:tcPr>
                  <w:tcW w:w="542" w:type="pct"/>
                  <w:vAlign w:val="center"/>
                </w:tcPr>
                <w:p>
                  <w:pPr>
                    <w:adjustRightInd w:val="0"/>
                    <w:snapToGrid w:val="0"/>
                    <w:jc w:val="center"/>
                    <w:rPr>
                      <w:szCs w:val="21"/>
                    </w:rPr>
                  </w:pPr>
                  <w:r>
                    <w:rPr>
                      <w:szCs w:val="21"/>
                    </w:rPr>
                    <w:t>+0.24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continue"/>
                  <w:vAlign w:val="center"/>
                </w:tcPr>
                <w:p>
                  <w:pPr>
                    <w:adjustRightInd w:val="0"/>
                    <w:snapToGrid w:val="0"/>
                    <w:jc w:val="center"/>
                    <w:rPr>
                      <w:szCs w:val="21"/>
                    </w:rPr>
                  </w:pPr>
                </w:p>
              </w:tc>
              <w:tc>
                <w:tcPr>
                  <w:tcW w:w="620" w:type="pct"/>
                  <w:vAlign w:val="center"/>
                </w:tcPr>
                <w:p>
                  <w:pPr>
                    <w:adjustRightInd w:val="0"/>
                    <w:snapToGrid w:val="0"/>
                    <w:jc w:val="center"/>
                    <w:rPr>
                      <w:szCs w:val="21"/>
                    </w:rPr>
                  </w:pPr>
                  <w:r>
                    <w:rPr>
                      <w:szCs w:val="21"/>
                    </w:rPr>
                    <w:t>NO</w:t>
                  </w:r>
                  <w:r>
                    <w:rPr>
                      <w:szCs w:val="21"/>
                      <w:vertAlign w:val="subscript"/>
                    </w:rPr>
                    <w:t>x</w:t>
                  </w:r>
                </w:p>
              </w:tc>
              <w:tc>
                <w:tcPr>
                  <w:tcW w:w="1001" w:type="pct"/>
                  <w:vAlign w:val="center"/>
                </w:tcPr>
                <w:p>
                  <w:pPr>
                    <w:adjustRightInd w:val="0"/>
                    <w:snapToGrid w:val="0"/>
                    <w:jc w:val="center"/>
                    <w:rPr>
                      <w:szCs w:val="21"/>
                    </w:rPr>
                  </w:pPr>
                  <w:r>
                    <w:rPr>
                      <w:szCs w:val="21"/>
                    </w:rPr>
                    <w:t>0</w:t>
                  </w:r>
                </w:p>
              </w:tc>
              <w:tc>
                <w:tcPr>
                  <w:tcW w:w="472" w:type="pct"/>
                  <w:vAlign w:val="center"/>
                </w:tcPr>
                <w:p>
                  <w:pPr>
                    <w:adjustRightInd w:val="0"/>
                    <w:snapToGrid w:val="0"/>
                    <w:jc w:val="center"/>
                    <w:rPr>
                      <w:szCs w:val="21"/>
                    </w:rPr>
                  </w:pPr>
                  <w:r>
                    <w:rPr>
                      <w:szCs w:val="21"/>
                    </w:rPr>
                    <w:t>0.3636</w:t>
                  </w:r>
                </w:p>
              </w:tc>
              <w:tc>
                <w:tcPr>
                  <w:tcW w:w="428" w:type="pct"/>
                  <w:vAlign w:val="center"/>
                </w:tcPr>
                <w:p>
                  <w:pPr>
                    <w:adjustRightInd w:val="0"/>
                    <w:snapToGrid w:val="0"/>
                    <w:jc w:val="center"/>
                    <w:rPr>
                      <w:szCs w:val="21"/>
                    </w:rPr>
                  </w:pPr>
                  <w:r>
                    <w:rPr>
                      <w:szCs w:val="21"/>
                    </w:rPr>
                    <w:t>0</w:t>
                  </w:r>
                </w:p>
              </w:tc>
              <w:tc>
                <w:tcPr>
                  <w:tcW w:w="488" w:type="pct"/>
                  <w:vAlign w:val="center"/>
                </w:tcPr>
                <w:p>
                  <w:pPr>
                    <w:adjustRightInd w:val="0"/>
                    <w:snapToGrid w:val="0"/>
                    <w:jc w:val="center"/>
                    <w:rPr>
                      <w:szCs w:val="21"/>
                    </w:rPr>
                  </w:pPr>
                  <w:r>
                    <w:rPr>
                      <w:szCs w:val="21"/>
                    </w:rPr>
                    <w:t>0.3636</w:t>
                  </w:r>
                </w:p>
              </w:tc>
              <w:tc>
                <w:tcPr>
                  <w:tcW w:w="658" w:type="pct"/>
                  <w:vAlign w:val="center"/>
                </w:tcPr>
                <w:p>
                  <w:pPr>
                    <w:adjustRightInd w:val="0"/>
                    <w:snapToGrid w:val="0"/>
                    <w:jc w:val="center"/>
                    <w:rPr>
                      <w:szCs w:val="21"/>
                    </w:rPr>
                  </w:pPr>
                  <w:r>
                    <w:rPr>
                      <w:szCs w:val="21"/>
                    </w:rPr>
                    <w:t>0</w:t>
                  </w:r>
                </w:p>
              </w:tc>
              <w:tc>
                <w:tcPr>
                  <w:tcW w:w="534" w:type="pct"/>
                  <w:vAlign w:val="center"/>
                </w:tcPr>
                <w:p>
                  <w:pPr>
                    <w:adjustRightInd w:val="0"/>
                    <w:snapToGrid w:val="0"/>
                    <w:jc w:val="center"/>
                    <w:rPr>
                      <w:szCs w:val="21"/>
                    </w:rPr>
                  </w:pPr>
                  <w:r>
                    <w:rPr>
                      <w:szCs w:val="21"/>
                    </w:rPr>
                    <w:t>0.3636</w:t>
                  </w:r>
                </w:p>
              </w:tc>
              <w:tc>
                <w:tcPr>
                  <w:tcW w:w="542" w:type="pct"/>
                  <w:vAlign w:val="center"/>
                </w:tcPr>
                <w:p>
                  <w:pPr>
                    <w:adjustRightInd w:val="0"/>
                    <w:snapToGrid w:val="0"/>
                    <w:jc w:val="center"/>
                    <w:rPr>
                      <w:szCs w:val="21"/>
                    </w:rPr>
                  </w:pPr>
                  <w:r>
                    <w:rPr>
                      <w:szCs w:val="21"/>
                    </w:rPr>
                    <w:t>+0.3636</w:t>
                  </w:r>
                </w:p>
              </w:tc>
            </w:tr>
          </w:tbl>
          <w:p>
            <w:pPr>
              <w:overflowPunct w:val="0"/>
              <w:autoSpaceDE w:val="0"/>
              <w:snapToGrid w:val="0"/>
              <w:spacing w:line="360" w:lineRule="auto"/>
              <w:ind w:firstLine="482" w:firstLineChars="200"/>
              <w:rPr>
                <w:b/>
                <w:bCs/>
                <w:sz w:val="24"/>
              </w:rPr>
            </w:pPr>
            <w:r>
              <w:rPr>
                <w:b/>
                <w:bCs/>
                <w:sz w:val="24"/>
              </w:rPr>
              <w:t>2、总量平衡方案</w:t>
            </w:r>
          </w:p>
          <w:p>
            <w:pPr>
              <w:overflowPunct w:val="0"/>
              <w:autoSpaceDE w:val="0"/>
              <w:snapToGrid w:val="0"/>
              <w:spacing w:line="360" w:lineRule="auto"/>
              <w:ind w:firstLine="480" w:firstLineChars="200"/>
              <w:rPr>
                <w:sz w:val="24"/>
              </w:rPr>
            </w:pPr>
            <w:r>
              <w:rPr>
                <w:sz w:val="24"/>
              </w:rPr>
              <w:t>废水：本项目不新增废水。</w:t>
            </w:r>
          </w:p>
          <w:p>
            <w:pPr>
              <w:spacing w:line="360" w:lineRule="auto"/>
              <w:ind w:firstLine="480" w:firstLineChars="200"/>
              <w:rPr>
                <w:sz w:val="24"/>
              </w:rPr>
            </w:pPr>
            <w:r>
              <w:rPr>
                <w:sz w:val="24"/>
              </w:rPr>
              <w:t>废气：颗粒物0.168t/a、二氧化硫0.24t/a、氮氧化物0.3636t/a，总量在武进区内平衡，根据《市政府办公室关于印发&lt;常州市建设项目主要污染物排放总量指标审核及管理实施细则&gt;的通知》（常政办发[2015]104号），颗粒物、二氧化硫、氮氧化物应实行现役源2倍削减量替代或关闭类项目1.5倍削减量替代。</w:t>
            </w:r>
          </w:p>
          <w:p>
            <w:pPr>
              <w:spacing w:line="360" w:lineRule="auto"/>
              <w:ind w:firstLine="480" w:firstLineChars="200"/>
              <w:rPr>
                <w:szCs w:val="21"/>
              </w:rPr>
            </w:pPr>
            <w:r>
              <w:rPr>
                <w:sz w:val="24"/>
              </w:rPr>
              <w:t>固废：本项目产生的固体废物均进行合理处置，实现固体废物零排放，无需申请总量。</w:t>
            </w:r>
          </w:p>
        </w:tc>
      </w:tr>
    </w:tbl>
    <w:p>
      <w:pPr>
        <w:pStyle w:val="18"/>
        <w:spacing w:before="0" w:beforeAutospacing="0" w:after="0" w:afterAutospacing="0"/>
        <w:jc w:val="center"/>
        <w:outlineLvl w:val="0"/>
        <w:rPr>
          <w:rFonts w:ascii="Times New Roman" w:hAnsi="Times New Roman"/>
          <w:snapToGrid w:val="0"/>
          <w:color w:val="0000FF"/>
          <w:sz w:val="30"/>
          <w:szCs w:val="30"/>
        </w:rPr>
      </w:pPr>
      <w:r>
        <w:rPr>
          <w:rFonts w:ascii="Times New Roman" w:hAnsi="Times New Roman"/>
          <w:snapToGrid w:val="0"/>
          <w:color w:val="0000FF"/>
          <w:sz w:val="36"/>
          <w:szCs w:val="36"/>
        </w:rPr>
        <w:br w:type="page"/>
      </w:r>
      <w:r>
        <w:rPr>
          <w:rFonts w:ascii="Times New Roman" w:hAnsi="Times New Roman"/>
          <w:snapToGrid w:val="0"/>
          <w:sz w:val="30"/>
          <w:szCs w:val="30"/>
        </w:rPr>
        <w:t>四、主要环境影响和保护措施</w:t>
      </w:r>
    </w:p>
    <w:tbl>
      <w:tblPr>
        <w:tblStyle w:val="21"/>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8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360" w:type="dxa"/>
            <w:tcMar>
              <w:left w:w="28" w:type="dxa"/>
              <w:right w:w="28" w:type="dxa"/>
            </w:tcMar>
            <w:vAlign w:val="center"/>
          </w:tcPr>
          <w:p>
            <w:pPr>
              <w:pStyle w:val="18"/>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施工</w:t>
            </w:r>
          </w:p>
          <w:p>
            <w:pPr>
              <w:pStyle w:val="18"/>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期环</w:t>
            </w:r>
          </w:p>
          <w:p>
            <w:pPr>
              <w:pStyle w:val="18"/>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境保</w:t>
            </w:r>
          </w:p>
          <w:p>
            <w:pPr>
              <w:pStyle w:val="18"/>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护措</w:t>
            </w:r>
          </w:p>
          <w:p>
            <w:pPr>
              <w:pStyle w:val="18"/>
              <w:adjustRightInd w:val="0"/>
              <w:snapToGrid w:val="0"/>
              <w:spacing w:before="0" w:beforeAutospacing="0" w:after="0" w:afterAutospacing="0"/>
              <w:jc w:val="center"/>
              <w:rPr>
                <w:rFonts w:ascii="Times New Roman" w:hAnsi="Times New Roman"/>
                <w:bCs/>
                <w:kern w:val="2"/>
                <w:sz w:val="21"/>
                <w:szCs w:val="21"/>
              </w:rPr>
            </w:pPr>
            <w:r>
              <w:rPr>
                <w:rFonts w:ascii="Times New Roman" w:hAnsi="Times New Roman"/>
                <w:kern w:val="2"/>
                <w:sz w:val="21"/>
                <w:szCs w:val="21"/>
              </w:rPr>
              <w:t>施</w:t>
            </w:r>
          </w:p>
        </w:tc>
        <w:tc>
          <w:tcPr>
            <w:tcW w:w="8621" w:type="dxa"/>
            <w:vAlign w:val="center"/>
          </w:tcPr>
          <w:p>
            <w:pPr>
              <w:adjustRightInd w:val="0"/>
              <w:snapToGrid w:val="0"/>
              <w:ind w:firstLine="480" w:firstLineChars="200"/>
              <w:rPr>
                <w:bCs/>
                <w:spacing w:val="-10"/>
                <w:szCs w:val="21"/>
              </w:rPr>
            </w:pPr>
            <w:r>
              <w:rPr>
                <w:sz w:val="24"/>
              </w:rPr>
              <w:t>本项目</w:t>
            </w:r>
            <w:r>
              <w:rPr>
                <w:bCs/>
                <w:sz w:val="24"/>
              </w:rPr>
              <w:t>在原有锅炉房内安装燃气锅炉</w:t>
            </w:r>
            <w:r>
              <w:rPr>
                <w:sz w:val="24"/>
              </w:rPr>
              <w:t>，不涉及新建厂房，仅需将设备安装到位。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4" w:hRule="atLeast"/>
          <w:jc w:val="center"/>
        </w:trPr>
        <w:tc>
          <w:tcPr>
            <w:tcW w:w="360" w:type="dxa"/>
            <w:tcMar>
              <w:left w:w="28" w:type="dxa"/>
              <w:right w:w="28" w:type="dxa"/>
            </w:tcMar>
            <w:vAlign w:val="center"/>
          </w:tcPr>
          <w:p>
            <w:pPr>
              <w:adjustRightInd w:val="0"/>
              <w:snapToGrid w:val="0"/>
              <w:jc w:val="center"/>
              <w:rPr>
                <w:bCs/>
                <w:szCs w:val="21"/>
              </w:rPr>
            </w:pPr>
            <w:r>
              <w:rPr>
                <w:bCs/>
                <w:szCs w:val="21"/>
              </w:rPr>
              <w:t>运营</w:t>
            </w:r>
          </w:p>
          <w:p>
            <w:pPr>
              <w:adjustRightInd w:val="0"/>
              <w:snapToGrid w:val="0"/>
              <w:jc w:val="center"/>
              <w:rPr>
                <w:bCs/>
                <w:szCs w:val="21"/>
              </w:rPr>
            </w:pPr>
            <w:r>
              <w:rPr>
                <w:bCs/>
                <w:szCs w:val="21"/>
              </w:rPr>
              <w:t>期环</w:t>
            </w:r>
          </w:p>
          <w:p>
            <w:pPr>
              <w:adjustRightInd w:val="0"/>
              <w:snapToGrid w:val="0"/>
              <w:jc w:val="center"/>
              <w:rPr>
                <w:bCs/>
                <w:szCs w:val="21"/>
              </w:rPr>
            </w:pPr>
            <w:r>
              <w:rPr>
                <w:bCs/>
                <w:szCs w:val="21"/>
              </w:rPr>
              <w:t>境影</w:t>
            </w:r>
          </w:p>
          <w:p>
            <w:pPr>
              <w:adjustRightInd w:val="0"/>
              <w:snapToGrid w:val="0"/>
              <w:jc w:val="center"/>
              <w:rPr>
                <w:bCs/>
                <w:szCs w:val="21"/>
              </w:rPr>
            </w:pPr>
            <w:r>
              <w:rPr>
                <w:bCs/>
                <w:szCs w:val="21"/>
              </w:rPr>
              <w:t>响和</w:t>
            </w:r>
          </w:p>
          <w:p>
            <w:pPr>
              <w:adjustRightInd w:val="0"/>
              <w:snapToGrid w:val="0"/>
              <w:jc w:val="center"/>
              <w:rPr>
                <w:bCs/>
                <w:szCs w:val="21"/>
              </w:rPr>
            </w:pPr>
            <w:r>
              <w:rPr>
                <w:bCs/>
                <w:szCs w:val="21"/>
              </w:rPr>
              <w:t>保护</w:t>
            </w:r>
          </w:p>
          <w:p>
            <w:pPr>
              <w:adjustRightInd w:val="0"/>
              <w:snapToGrid w:val="0"/>
              <w:jc w:val="center"/>
              <w:rPr>
                <w:bCs/>
                <w:color w:val="0000FF"/>
                <w:szCs w:val="21"/>
              </w:rPr>
            </w:pPr>
            <w:r>
              <w:rPr>
                <w:bCs/>
                <w:szCs w:val="21"/>
              </w:rPr>
              <w:t>措施</w:t>
            </w:r>
          </w:p>
        </w:tc>
        <w:tc>
          <w:tcPr>
            <w:tcW w:w="8621" w:type="dxa"/>
          </w:tcPr>
          <w:p>
            <w:pPr>
              <w:adjustRightInd w:val="0"/>
              <w:snapToGrid w:val="0"/>
              <w:spacing w:line="360" w:lineRule="auto"/>
              <w:rPr>
                <w:b/>
                <w:bCs/>
                <w:sz w:val="24"/>
              </w:rPr>
            </w:pPr>
            <w:r>
              <w:rPr>
                <w:b/>
                <w:bCs/>
                <w:sz w:val="24"/>
              </w:rPr>
              <w:t>1、废气</w:t>
            </w:r>
          </w:p>
          <w:p>
            <w:pPr>
              <w:adjustRightInd w:val="0"/>
              <w:snapToGrid w:val="0"/>
              <w:spacing w:line="360" w:lineRule="auto"/>
              <w:ind w:firstLine="480" w:firstLineChars="200"/>
              <w:rPr>
                <w:sz w:val="24"/>
              </w:rPr>
            </w:pPr>
            <w:r>
              <w:rPr>
                <w:sz w:val="24"/>
              </w:rPr>
              <w:t>（1）产污环节分析</w:t>
            </w:r>
          </w:p>
          <w:p>
            <w:pPr>
              <w:snapToGrid w:val="0"/>
              <w:spacing w:line="360" w:lineRule="auto"/>
              <w:ind w:firstLine="480" w:firstLineChars="200"/>
              <w:rPr>
                <w:sz w:val="24"/>
              </w:rPr>
            </w:pPr>
            <w:r>
              <w:rPr>
                <w:sz w:val="24"/>
              </w:rPr>
              <w:t>本项目废气为燃气锅炉产生的废气，燃气锅炉以天然气为燃料，天然气燃烧废气的主要成分为颗粒物、二氧化硫和氮氧化物。根据《第二次工业污染源产排污系数手册-工业锅炉（热力生产和供应行业）行业系数手册》中的产排污系数，计算项目废气产生总量及氮氧化物的产生量；根据《环境影响评价工程师职业资格登记培训教材-社会区域类》P123表4-12产排污系数计算颗粒物产生量；根据《排污许可证申请与核发技术规范 锅炉》(HJ953—2018)表F.3燃气工业锅炉的废气产排污系数计算二氧化硫的产生量。污染物产排污系数见表4-1：</w:t>
            </w:r>
          </w:p>
          <w:p>
            <w:pPr>
              <w:adjustRightInd w:val="0"/>
              <w:snapToGrid w:val="0"/>
              <w:jc w:val="center"/>
              <w:rPr>
                <w:b/>
                <w:sz w:val="24"/>
              </w:rPr>
            </w:pPr>
            <w:r>
              <w:rPr>
                <w:b/>
                <w:sz w:val="24"/>
              </w:rPr>
              <w:t>表4-1  燃气工业锅炉的废气产排污系数</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740"/>
              <w:gridCol w:w="1399"/>
              <w:gridCol w:w="1640"/>
              <w:gridCol w:w="1072"/>
              <w:gridCol w:w="1086"/>
              <w:gridCol w:w="24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99" w:hRule="atLeast"/>
                <w:jc w:val="center"/>
              </w:trPr>
              <w:tc>
                <w:tcPr>
                  <w:tcW w:w="440" w:type="pct"/>
                  <w:tcBorders>
                    <w:top w:val="single" w:color="auto" w:sz="12" w:space="0"/>
                    <w:left w:val="nil"/>
                    <w:bottom w:val="single" w:color="auto" w:sz="4" w:space="0"/>
                    <w:right w:val="single" w:color="auto" w:sz="4" w:space="0"/>
                  </w:tcBorders>
                  <w:vAlign w:val="center"/>
                </w:tcPr>
                <w:p>
                  <w:pPr>
                    <w:pStyle w:val="64"/>
                    <w:rPr>
                      <w:rFonts w:ascii="Times New Roman" w:hAnsi="Times New Roman" w:eastAsia="宋体"/>
                      <w:b/>
                      <w:sz w:val="21"/>
                      <w:szCs w:val="21"/>
                    </w:rPr>
                  </w:pPr>
                  <w:r>
                    <w:rPr>
                      <w:rFonts w:ascii="Times New Roman" w:hAnsi="Times New Roman" w:eastAsia="宋体"/>
                      <w:b/>
                      <w:sz w:val="21"/>
                      <w:szCs w:val="21"/>
                    </w:rPr>
                    <w:t>污染物指标</w:t>
                  </w:r>
                </w:p>
              </w:tc>
              <w:tc>
                <w:tcPr>
                  <w:tcW w:w="832" w:type="pct"/>
                  <w:tcBorders>
                    <w:top w:val="single" w:color="auto" w:sz="12" w:space="0"/>
                    <w:left w:val="single" w:color="auto" w:sz="4" w:space="0"/>
                    <w:bottom w:val="single" w:color="auto" w:sz="4" w:space="0"/>
                    <w:right w:val="single" w:color="auto" w:sz="4" w:space="0"/>
                  </w:tcBorders>
                  <w:vAlign w:val="center"/>
                </w:tcPr>
                <w:p>
                  <w:pPr>
                    <w:pStyle w:val="64"/>
                    <w:rPr>
                      <w:rFonts w:ascii="Times New Roman" w:hAnsi="Times New Roman" w:eastAsia="宋体"/>
                      <w:b/>
                      <w:sz w:val="21"/>
                      <w:szCs w:val="21"/>
                    </w:rPr>
                  </w:pPr>
                  <w:r>
                    <w:rPr>
                      <w:rFonts w:ascii="Times New Roman" w:hAnsi="Times New Roman" w:eastAsia="宋体"/>
                      <w:b/>
                      <w:sz w:val="21"/>
                      <w:szCs w:val="21"/>
                    </w:rPr>
                    <w:t>单位</w:t>
                  </w:r>
                </w:p>
              </w:tc>
              <w:tc>
                <w:tcPr>
                  <w:tcW w:w="975" w:type="pct"/>
                  <w:tcBorders>
                    <w:top w:val="single" w:color="auto" w:sz="12" w:space="0"/>
                    <w:left w:val="single" w:color="auto" w:sz="4" w:space="0"/>
                    <w:bottom w:val="single" w:color="auto" w:sz="4" w:space="0"/>
                    <w:right w:val="single" w:color="auto" w:sz="4" w:space="0"/>
                  </w:tcBorders>
                  <w:vAlign w:val="center"/>
                </w:tcPr>
                <w:p>
                  <w:pPr>
                    <w:pStyle w:val="64"/>
                    <w:rPr>
                      <w:rFonts w:ascii="Times New Roman" w:hAnsi="Times New Roman" w:eastAsia="宋体"/>
                      <w:b/>
                      <w:sz w:val="21"/>
                      <w:szCs w:val="21"/>
                    </w:rPr>
                  </w:pPr>
                  <w:r>
                    <w:rPr>
                      <w:rFonts w:ascii="Times New Roman" w:hAnsi="Times New Roman" w:eastAsia="宋体"/>
                      <w:b/>
                      <w:sz w:val="21"/>
                      <w:szCs w:val="21"/>
                    </w:rPr>
                    <w:t>产污系数</w:t>
                  </w:r>
                </w:p>
              </w:tc>
              <w:tc>
                <w:tcPr>
                  <w:tcW w:w="638" w:type="pct"/>
                  <w:tcBorders>
                    <w:top w:val="single" w:color="auto" w:sz="12" w:space="0"/>
                    <w:left w:val="single" w:color="auto" w:sz="4" w:space="0"/>
                    <w:bottom w:val="single" w:color="auto" w:sz="4" w:space="0"/>
                    <w:right w:val="single" w:color="auto" w:sz="4" w:space="0"/>
                  </w:tcBorders>
                  <w:vAlign w:val="center"/>
                </w:tcPr>
                <w:p>
                  <w:pPr>
                    <w:pStyle w:val="64"/>
                    <w:rPr>
                      <w:rFonts w:ascii="Times New Roman" w:hAnsi="Times New Roman" w:eastAsia="宋体"/>
                      <w:b/>
                      <w:sz w:val="21"/>
                      <w:szCs w:val="21"/>
                    </w:rPr>
                  </w:pPr>
                  <w:r>
                    <w:rPr>
                      <w:rFonts w:ascii="Times New Roman" w:hAnsi="Times New Roman" w:eastAsia="宋体"/>
                      <w:b/>
                      <w:sz w:val="21"/>
                      <w:szCs w:val="21"/>
                    </w:rPr>
                    <w:t>末端治理技术名称</w:t>
                  </w:r>
                </w:p>
              </w:tc>
              <w:tc>
                <w:tcPr>
                  <w:tcW w:w="646" w:type="pct"/>
                  <w:tcBorders>
                    <w:top w:val="single" w:color="auto" w:sz="12" w:space="0"/>
                    <w:left w:val="single" w:color="auto" w:sz="4" w:space="0"/>
                    <w:bottom w:val="single" w:color="auto" w:sz="4" w:space="0"/>
                    <w:right w:val="nil"/>
                  </w:tcBorders>
                  <w:vAlign w:val="center"/>
                </w:tcPr>
                <w:p>
                  <w:pPr>
                    <w:pStyle w:val="64"/>
                    <w:rPr>
                      <w:rFonts w:ascii="Times New Roman" w:hAnsi="Times New Roman" w:eastAsia="宋体"/>
                      <w:b/>
                      <w:sz w:val="21"/>
                      <w:szCs w:val="21"/>
                    </w:rPr>
                  </w:pPr>
                  <w:r>
                    <w:rPr>
                      <w:rFonts w:ascii="Times New Roman" w:hAnsi="Times New Roman" w:eastAsia="宋体"/>
                      <w:b/>
                      <w:sz w:val="21"/>
                      <w:szCs w:val="21"/>
                    </w:rPr>
                    <w:t>排污系数</w:t>
                  </w:r>
                </w:p>
              </w:tc>
              <w:tc>
                <w:tcPr>
                  <w:tcW w:w="1466" w:type="pct"/>
                  <w:tcBorders>
                    <w:top w:val="single" w:color="auto" w:sz="12" w:space="0"/>
                    <w:left w:val="single" w:color="auto" w:sz="4" w:space="0"/>
                    <w:bottom w:val="single" w:color="auto" w:sz="4" w:space="0"/>
                    <w:right w:val="nil"/>
                  </w:tcBorders>
                  <w:vAlign w:val="center"/>
                </w:tcPr>
                <w:p>
                  <w:pPr>
                    <w:pStyle w:val="64"/>
                    <w:rPr>
                      <w:rFonts w:ascii="Times New Roman" w:hAnsi="Times New Roman" w:eastAsia="宋体"/>
                      <w:b/>
                      <w:sz w:val="21"/>
                      <w:szCs w:val="21"/>
                    </w:rPr>
                  </w:pPr>
                  <w:r>
                    <w:rPr>
                      <w:rFonts w:ascii="Times New Roman" w:hAnsi="Times New Roman" w:eastAsia="宋体"/>
                      <w:b/>
                      <w:sz w:val="21"/>
                      <w:szCs w:val="21"/>
                    </w:rPr>
                    <w:t>数据来源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13" w:hRule="atLeast"/>
                <w:jc w:val="center"/>
              </w:trPr>
              <w:tc>
                <w:tcPr>
                  <w:tcW w:w="440" w:type="pct"/>
                  <w:tcBorders>
                    <w:top w:val="single" w:color="auto" w:sz="4" w:space="0"/>
                    <w:left w:val="nil"/>
                    <w:right w:val="single" w:color="auto" w:sz="4" w:space="0"/>
                  </w:tcBorders>
                  <w:vAlign w:val="center"/>
                </w:tcPr>
                <w:p>
                  <w:pPr>
                    <w:adjustRightInd w:val="0"/>
                    <w:snapToGrid w:val="0"/>
                    <w:jc w:val="center"/>
                    <w:rPr>
                      <w:szCs w:val="21"/>
                    </w:rPr>
                  </w:pPr>
                  <w:r>
                    <w:rPr>
                      <w:szCs w:val="21"/>
                    </w:rPr>
                    <w:t>工业废气量</w:t>
                  </w:r>
                </w:p>
              </w:tc>
              <w:tc>
                <w:tcPr>
                  <w:tcW w:w="832" w:type="pct"/>
                  <w:tcBorders>
                    <w:top w:val="single" w:color="auto" w:sz="4" w:space="0"/>
                    <w:left w:val="single" w:color="auto" w:sz="4" w:space="0"/>
                    <w:right w:val="single" w:color="auto" w:sz="4" w:space="0"/>
                  </w:tcBorders>
                  <w:vAlign w:val="center"/>
                </w:tcPr>
                <w:p>
                  <w:pPr>
                    <w:pStyle w:val="5"/>
                    <w:adjustRightInd w:val="0"/>
                    <w:snapToGrid w:val="0"/>
                    <w:ind w:firstLine="0"/>
                    <w:jc w:val="center"/>
                    <w:rPr>
                      <w:rFonts w:ascii="Times New Roman" w:hAnsi="Times New Roman"/>
                      <w:szCs w:val="21"/>
                    </w:rPr>
                  </w:pPr>
                  <w:r>
                    <w:rPr>
                      <w:rFonts w:ascii="Times New Roman" w:hAnsi="Times New Roman"/>
                      <w:szCs w:val="21"/>
                    </w:rPr>
                    <w:t>标立方米/万立方米-原料</w:t>
                  </w:r>
                </w:p>
              </w:tc>
              <w:tc>
                <w:tcPr>
                  <w:tcW w:w="975" w:type="pct"/>
                  <w:tcBorders>
                    <w:top w:val="single" w:color="auto" w:sz="4" w:space="0"/>
                    <w:left w:val="single" w:color="auto" w:sz="4" w:space="0"/>
                    <w:right w:val="single" w:color="auto" w:sz="4" w:space="0"/>
                  </w:tcBorders>
                  <w:vAlign w:val="center"/>
                </w:tcPr>
                <w:p>
                  <w:pPr>
                    <w:pStyle w:val="5"/>
                    <w:adjustRightInd w:val="0"/>
                    <w:snapToGrid w:val="0"/>
                    <w:ind w:firstLine="0"/>
                    <w:jc w:val="center"/>
                    <w:rPr>
                      <w:rFonts w:ascii="Times New Roman" w:hAnsi="Times New Roman"/>
                      <w:b/>
                      <w:bCs/>
                      <w:szCs w:val="21"/>
                    </w:rPr>
                  </w:pPr>
                  <w:r>
                    <w:rPr>
                      <w:rFonts w:ascii="Times New Roman" w:hAnsi="Times New Roman"/>
                      <w:b/>
                      <w:bCs/>
                      <w:szCs w:val="21"/>
                    </w:rPr>
                    <w:t>107753</w:t>
                  </w:r>
                </w:p>
              </w:tc>
              <w:tc>
                <w:tcPr>
                  <w:tcW w:w="638" w:type="pct"/>
                  <w:tcBorders>
                    <w:top w:val="single" w:color="auto" w:sz="4" w:space="0"/>
                    <w:left w:val="single" w:color="auto" w:sz="4" w:space="0"/>
                    <w:right w:val="single" w:color="auto" w:sz="4" w:space="0"/>
                  </w:tcBorders>
                  <w:vAlign w:val="center"/>
                </w:tcPr>
                <w:p>
                  <w:pPr>
                    <w:pStyle w:val="5"/>
                    <w:adjustRightInd w:val="0"/>
                    <w:snapToGrid w:val="0"/>
                    <w:ind w:firstLine="0"/>
                    <w:jc w:val="center"/>
                    <w:rPr>
                      <w:rFonts w:ascii="Times New Roman" w:hAnsi="Times New Roman"/>
                      <w:b/>
                      <w:bCs/>
                      <w:szCs w:val="21"/>
                    </w:rPr>
                  </w:pPr>
                  <w:r>
                    <w:rPr>
                      <w:rFonts w:ascii="Times New Roman" w:hAnsi="Times New Roman"/>
                      <w:b/>
                      <w:bCs/>
                      <w:szCs w:val="21"/>
                    </w:rPr>
                    <w:t>直排</w:t>
                  </w:r>
                </w:p>
              </w:tc>
              <w:tc>
                <w:tcPr>
                  <w:tcW w:w="646" w:type="pct"/>
                  <w:tcBorders>
                    <w:top w:val="single" w:color="auto" w:sz="4" w:space="0"/>
                    <w:left w:val="single" w:color="auto" w:sz="4" w:space="0"/>
                    <w:bottom w:val="single" w:color="auto" w:sz="4" w:space="0"/>
                    <w:right w:val="nil"/>
                  </w:tcBorders>
                  <w:vAlign w:val="center"/>
                </w:tcPr>
                <w:p>
                  <w:pPr>
                    <w:pStyle w:val="5"/>
                    <w:adjustRightInd w:val="0"/>
                    <w:snapToGrid w:val="0"/>
                    <w:ind w:firstLine="0"/>
                    <w:jc w:val="center"/>
                    <w:rPr>
                      <w:rFonts w:ascii="Times New Roman" w:hAnsi="Times New Roman"/>
                      <w:b/>
                      <w:bCs/>
                      <w:szCs w:val="21"/>
                    </w:rPr>
                  </w:pPr>
                  <w:r>
                    <w:rPr>
                      <w:rFonts w:ascii="Times New Roman" w:hAnsi="Times New Roman"/>
                      <w:b/>
                      <w:bCs/>
                      <w:szCs w:val="21"/>
                    </w:rPr>
                    <w:t>107753</w:t>
                  </w:r>
                </w:p>
              </w:tc>
              <w:tc>
                <w:tcPr>
                  <w:tcW w:w="1466" w:type="pct"/>
                  <w:vMerge w:val="restart"/>
                  <w:tcBorders>
                    <w:top w:val="single" w:color="auto" w:sz="4" w:space="0"/>
                    <w:left w:val="single" w:color="auto" w:sz="4" w:space="0"/>
                    <w:right w:val="nil"/>
                  </w:tcBorders>
                  <w:vAlign w:val="center"/>
                </w:tcPr>
                <w:p>
                  <w:pPr>
                    <w:pStyle w:val="5"/>
                    <w:adjustRightInd w:val="0"/>
                    <w:snapToGrid w:val="0"/>
                    <w:ind w:firstLine="0"/>
                    <w:jc w:val="center"/>
                    <w:rPr>
                      <w:rFonts w:ascii="Times New Roman" w:hAnsi="Times New Roman"/>
                      <w:szCs w:val="21"/>
                    </w:rPr>
                  </w:pPr>
                  <w:r>
                    <w:rPr>
                      <w:rFonts w:ascii="Times New Roman" w:hAnsi="Times New Roman"/>
                      <w:szCs w:val="21"/>
                    </w:rPr>
                    <w:t>第二次全国污染源普查产排污核算系数手册-4430工业锅炉（热力生产和供应行业）产污系数表-燃气工业锅炉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13" w:hRule="atLeast"/>
                <w:jc w:val="center"/>
              </w:trPr>
              <w:tc>
                <w:tcPr>
                  <w:tcW w:w="440" w:type="pct"/>
                  <w:vMerge w:val="restart"/>
                  <w:tcBorders>
                    <w:top w:val="single" w:color="auto" w:sz="4" w:space="0"/>
                    <w:left w:val="nil"/>
                    <w:right w:val="single" w:color="auto" w:sz="4" w:space="0"/>
                  </w:tcBorders>
                  <w:vAlign w:val="center"/>
                </w:tcPr>
                <w:p>
                  <w:pPr>
                    <w:adjustRightInd w:val="0"/>
                    <w:snapToGrid w:val="0"/>
                    <w:jc w:val="center"/>
                    <w:rPr>
                      <w:szCs w:val="21"/>
                    </w:rPr>
                  </w:pPr>
                  <w:r>
                    <w:rPr>
                      <w:szCs w:val="21"/>
                    </w:rPr>
                    <w:t>氮氧化物</w:t>
                  </w:r>
                </w:p>
              </w:tc>
              <w:tc>
                <w:tcPr>
                  <w:tcW w:w="832" w:type="pct"/>
                  <w:vMerge w:val="restart"/>
                  <w:tcBorders>
                    <w:top w:val="single" w:color="auto" w:sz="4" w:space="0"/>
                    <w:left w:val="single" w:color="auto" w:sz="4" w:space="0"/>
                    <w:right w:val="single" w:color="auto" w:sz="4" w:space="0"/>
                  </w:tcBorders>
                  <w:vAlign w:val="center"/>
                </w:tcPr>
                <w:p>
                  <w:pPr>
                    <w:pStyle w:val="5"/>
                    <w:adjustRightInd w:val="0"/>
                    <w:snapToGrid w:val="0"/>
                    <w:ind w:firstLine="0"/>
                    <w:jc w:val="center"/>
                    <w:rPr>
                      <w:rFonts w:ascii="Times New Roman" w:hAnsi="Times New Roman"/>
                      <w:szCs w:val="21"/>
                    </w:rPr>
                  </w:pPr>
                  <w:r>
                    <w:rPr>
                      <w:rFonts w:ascii="Times New Roman" w:hAnsi="Times New Roman"/>
                      <w:szCs w:val="21"/>
                    </w:rPr>
                    <w:t>千克/万立方米-原料</w:t>
                  </w:r>
                </w:p>
              </w:tc>
              <w:tc>
                <w:tcPr>
                  <w:tcW w:w="975" w:type="pct"/>
                  <w:tcBorders>
                    <w:top w:val="single" w:color="auto" w:sz="4" w:space="0"/>
                    <w:left w:val="single" w:color="auto" w:sz="4" w:space="0"/>
                    <w:right w:val="single" w:color="auto" w:sz="4" w:space="0"/>
                  </w:tcBorders>
                  <w:vAlign w:val="center"/>
                </w:tcPr>
                <w:p>
                  <w:pPr>
                    <w:pStyle w:val="5"/>
                    <w:adjustRightInd w:val="0"/>
                    <w:snapToGrid w:val="0"/>
                    <w:ind w:firstLine="0"/>
                    <w:jc w:val="center"/>
                    <w:rPr>
                      <w:rFonts w:ascii="Times New Roman" w:hAnsi="Times New Roman"/>
                      <w:szCs w:val="21"/>
                    </w:rPr>
                  </w:pPr>
                  <w:r>
                    <w:rPr>
                      <w:rFonts w:ascii="Times New Roman" w:hAnsi="Times New Roman"/>
                      <w:szCs w:val="21"/>
                    </w:rPr>
                    <w:t>15.87（低氮燃烧-国内一般）</w:t>
                  </w:r>
                  <w:r>
                    <w:rPr>
                      <w:rFonts w:ascii="Times New Roman" w:hAnsi="Times New Roman"/>
                      <w:szCs w:val="21"/>
                      <w:vertAlign w:val="superscript"/>
                    </w:rPr>
                    <w:t>①</w:t>
                  </w:r>
                </w:p>
              </w:tc>
              <w:tc>
                <w:tcPr>
                  <w:tcW w:w="638" w:type="pct"/>
                  <w:tcBorders>
                    <w:top w:val="single" w:color="auto" w:sz="4" w:space="0"/>
                    <w:left w:val="single" w:color="auto" w:sz="4" w:space="0"/>
                    <w:right w:val="single" w:color="auto" w:sz="4" w:space="0"/>
                  </w:tcBorders>
                  <w:vAlign w:val="center"/>
                </w:tcPr>
                <w:p>
                  <w:pPr>
                    <w:pStyle w:val="5"/>
                    <w:adjustRightInd w:val="0"/>
                    <w:snapToGrid w:val="0"/>
                    <w:ind w:firstLine="0"/>
                    <w:jc w:val="center"/>
                    <w:rPr>
                      <w:rFonts w:ascii="Times New Roman" w:hAnsi="Times New Roman"/>
                      <w:szCs w:val="21"/>
                    </w:rPr>
                  </w:pPr>
                  <w:r>
                    <w:rPr>
                      <w:rFonts w:ascii="Times New Roman" w:hAnsi="Times New Roman"/>
                      <w:szCs w:val="21"/>
                    </w:rPr>
                    <w:t>直排</w:t>
                  </w:r>
                </w:p>
              </w:tc>
              <w:tc>
                <w:tcPr>
                  <w:tcW w:w="646" w:type="pct"/>
                  <w:tcBorders>
                    <w:top w:val="single" w:color="auto" w:sz="4" w:space="0"/>
                    <w:left w:val="single" w:color="auto" w:sz="4" w:space="0"/>
                    <w:bottom w:val="single" w:color="auto" w:sz="4" w:space="0"/>
                    <w:right w:val="nil"/>
                  </w:tcBorders>
                  <w:vAlign w:val="center"/>
                </w:tcPr>
                <w:p>
                  <w:pPr>
                    <w:pStyle w:val="5"/>
                    <w:adjustRightInd w:val="0"/>
                    <w:snapToGrid w:val="0"/>
                    <w:ind w:firstLine="0"/>
                    <w:jc w:val="center"/>
                    <w:rPr>
                      <w:rFonts w:ascii="Times New Roman" w:hAnsi="Times New Roman"/>
                      <w:szCs w:val="21"/>
                    </w:rPr>
                  </w:pPr>
                  <w:r>
                    <w:rPr>
                      <w:rFonts w:ascii="Times New Roman" w:hAnsi="Times New Roman"/>
                      <w:szCs w:val="21"/>
                    </w:rPr>
                    <w:t>15.87</w:t>
                  </w:r>
                </w:p>
              </w:tc>
              <w:tc>
                <w:tcPr>
                  <w:tcW w:w="1466" w:type="pct"/>
                  <w:vMerge w:val="continue"/>
                  <w:tcBorders>
                    <w:left w:val="single" w:color="auto" w:sz="4" w:space="0"/>
                    <w:right w:val="nil"/>
                  </w:tcBorders>
                  <w:vAlign w:val="center"/>
                </w:tcPr>
                <w:p>
                  <w:pPr>
                    <w:pStyle w:val="5"/>
                    <w:adjustRightInd w:val="0"/>
                    <w:snapToGrid w:val="0"/>
                    <w:ind w:firstLine="0"/>
                    <w:jc w:val="center"/>
                    <w:rPr>
                      <w:rFonts w:ascii="Times New Roman" w:hAnsi="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48" w:hRule="atLeast"/>
                <w:jc w:val="center"/>
              </w:trPr>
              <w:tc>
                <w:tcPr>
                  <w:tcW w:w="440" w:type="pct"/>
                  <w:vMerge w:val="continue"/>
                  <w:tcBorders>
                    <w:left w:val="nil"/>
                    <w:right w:val="single" w:color="auto" w:sz="4" w:space="0"/>
                  </w:tcBorders>
                  <w:vAlign w:val="center"/>
                </w:tcPr>
                <w:p>
                  <w:pPr>
                    <w:adjustRightInd w:val="0"/>
                    <w:snapToGrid w:val="0"/>
                    <w:jc w:val="center"/>
                    <w:rPr>
                      <w:szCs w:val="21"/>
                    </w:rPr>
                  </w:pPr>
                </w:p>
              </w:tc>
              <w:tc>
                <w:tcPr>
                  <w:tcW w:w="832" w:type="pct"/>
                  <w:vMerge w:val="continue"/>
                  <w:tcBorders>
                    <w:left w:val="single" w:color="auto" w:sz="4" w:space="0"/>
                    <w:right w:val="single" w:color="auto" w:sz="4" w:space="0"/>
                  </w:tcBorders>
                  <w:vAlign w:val="center"/>
                </w:tcPr>
                <w:p>
                  <w:pPr>
                    <w:pStyle w:val="5"/>
                    <w:adjustRightInd w:val="0"/>
                    <w:snapToGrid w:val="0"/>
                    <w:ind w:firstLine="0"/>
                    <w:jc w:val="center"/>
                    <w:rPr>
                      <w:rFonts w:ascii="Times New Roman" w:hAnsi="Times New Roman"/>
                      <w:szCs w:val="21"/>
                    </w:rPr>
                  </w:pPr>
                </w:p>
              </w:tc>
              <w:tc>
                <w:tcPr>
                  <w:tcW w:w="975"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ind w:firstLine="0"/>
                    <w:jc w:val="center"/>
                    <w:rPr>
                      <w:rFonts w:ascii="Times New Roman" w:hAnsi="Times New Roman"/>
                      <w:szCs w:val="21"/>
                    </w:rPr>
                  </w:pPr>
                  <w:r>
                    <w:rPr>
                      <w:rFonts w:ascii="Times New Roman" w:hAnsi="Times New Roman"/>
                      <w:szCs w:val="21"/>
                    </w:rPr>
                    <w:t>6.97（低氮燃烧-国内领先）</w:t>
                  </w:r>
                  <w:r>
                    <w:rPr>
                      <w:rFonts w:ascii="Times New Roman" w:hAnsi="Times New Roman"/>
                      <w:szCs w:val="21"/>
                      <w:vertAlign w:val="superscript"/>
                    </w:rPr>
                    <w:t>①</w:t>
                  </w:r>
                </w:p>
              </w:tc>
              <w:tc>
                <w:tcPr>
                  <w:tcW w:w="638"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ind w:firstLine="0"/>
                    <w:jc w:val="center"/>
                    <w:rPr>
                      <w:rFonts w:ascii="Times New Roman" w:hAnsi="Times New Roman"/>
                      <w:szCs w:val="21"/>
                    </w:rPr>
                  </w:pPr>
                  <w:r>
                    <w:rPr>
                      <w:rFonts w:ascii="Times New Roman" w:hAnsi="Times New Roman"/>
                      <w:szCs w:val="21"/>
                    </w:rPr>
                    <w:t>直排</w:t>
                  </w:r>
                </w:p>
              </w:tc>
              <w:tc>
                <w:tcPr>
                  <w:tcW w:w="646" w:type="pct"/>
                  <w:tcBorders>
                    <w:top w:val="single" w:color="auto" w:sz="4" w:space="0"/>
                    <w:left w:val="single" w:color="auto" w:sz="4" w:space="0"/>
                    <w:bottom w:val="single" w:color="auto" w:sz="4" w:space="0"/>
                    <w:right w:val="nil"/>
                  </w:tcBorders>
                  <w:vAlign w:val="center"/>
                </w:tcPr>
                <w:p>
                  <w:pPr>
                    <w:pStyle w:val="5"/>
                    <w:adjustRightInd w:val="0"/>
                    <w:snapToGrid w:val="0"/>
                    <w:ind w:firstLine="0"/>
                    <w:jc w:val="center"/>
                    <w:rPr>
                      <w:rFonts w:ascii="Times New Roman" w:hAnsi="Times New Roman"/>
                      <w:szCs w:val="21"/>
                    </w:rPr>
                  </w:pPr>
                  <w:r>
                    <w:rPr>
                      <w:rFonts w:ascii="Times New Roman" w:hAnsi="Times New Roman"/>
                      <w:szCs w:val="21"/>
                    </w:rPr>
                    <w:t>6.97</w:t>
                  </w:r>
                </w:p>
              </w:tc>
              <w:tc>
                <w:tcPr>
                  <w:tcW w:w="1466" w:type="pct"/>
                  <w:vMerge w:val="continue"/>
                  <w:tcBorders>
                    <w:left w:val="single" w:color="auto" w:sz="4" w:space="0"/>
                    <w:right w:val="nil"/>
                  </w:tcBorders>
                  <w:vAlign w:val="center"/>
                </w:tcPr>
                <w:p>
                  <w:pPr>
                    <w:pStyle w:val="5"/>
                    <w:adjustRightInd w:val="0"/>
                    <w:snapToGrid w:val="0"/>
                    <w:ind w:firstLine="0"/>
                    <w:jc w:val="center"/>
                    <w:rPr>
                      <w:rFonts w:ascii="Times New Roman" w:hAnsi="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48" w:hRule="atLeast"/>
                <w:jc w:val="center"/>
              </w:trPr>
              <w:tc>
                <w:tcPr>
                  <w:tcW w:w="440" w:type="pct"/>
                  <w:vMerge w:val="continue"/>
                  <w:tcBorders>
                    <w:left w:val="nil"/>
                    <w:right w:val="single" w:color="auto" w:sz="4" w:space="0"/>
                  </w:tcBorders>
                  <w:vAlign w:val="center"/>
                </w:tcPr>
                <w:p>
                  <w:pPr>
                    <w:adjustRightInd w:val="0"/>
                    <w:snapToGrid w:val="0"/>
                    <w:jc w:val="center"/>
                    <w:rPr>
                      <w:szCs w:val="21"/>
                    </w:rPr>
                  </w:pPr>
                </w:p>
              </w:tc>
              <w:tc>
                <w:tcPr>
                  <w:tcW w:w="832" w:type="pct"/>
                  <w:vMerge w:val="continue"/>
                  <w:tcBorders>
                    <w:left w:val="single" w:color="auto" w:sz="4" w:space="0"/>
                    <w:bottom w:val="single" w:color="auto" w:sz="4" w:space="0"/>
                    <w:right w:val="single" w:color="auto" w:sz="4" w:space="0"/>
                  </w:tcBorders>
                  <w:vAlign w:val="center"/>
                </w:tcPr>
                <w:p>
                  <w:pPr>
                    <w:pStyle w:val="5"/>
                    <w:adjustRightInd w:val="0"/>
                    <w:snapToGrid w:val="0"/>
                    <w:ind w:firstLine="0"/>
                    <w:jc w:val="center"/>
                    <w:rPr>
                      <w:rFonts w:ascii="Times New Roman" w:hAnsi="Times New Roman"/>
                      <w:szCs w:val="21"/>
                    </w:rPr>
                  </w:pPr>
                </w:p>
              </w:tc>
              <w:tc>
                <w:tcPr>
                  <w:tcW w:w="975"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ind w:firstLine="0"/>
                    <w:jc w:val="center"/>
                    <w:rPr>
                      <w:rFonts w:ascii="Times New Roman" w:hAnsi="Times New Roman"/>
                      <w:b/>
                      <w:bCs/>
                      <w:szCs w:val="21"/>
                    </w:rPr>
                  </w:pPr>
                  <w:r>
                    <w:rPr>
                      <w:rFonts w:ascii="Times New Roman" w:hAnsi="Times New Roman"/>
                      <w:b/>
                      <w:bCs/>
                      <w:szCs w:val="21"/>
                    </w:rPr>
                    <w:t>3.03（低氮燃烧-国际领先）</w:t>
                  </w:r>
                  <w:r>
                    <w:rPr>
                      <w:rFonts w:ascii="Times New Roman" w:hAnsi="Times New Roman"/>
                      <w:b/>
                      <w:bCs/>
                      <w:szCs w:val="21"/>
                      <w:vertAlign w:val="superscript"/>
                    </w:rPr>
                    <w:t>①</w:t>
                  </w:r>
                </w:p>
              </w:tc>
              <w:tc>
                <w:tcPr>
                  <w:tcW w:w="638"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ind w:firstLine="0"/>
                    <w:jc w:val="center"/>
                    <w:rPr>
                      <w:rFonts w:ascii="Times New Roman" w:hAnsi="Times New Roman"/>
                      <w:b/>
                      <w:bCs/>
                      <w:szCs w:val="21"/>
                    </w:rPr>
                  </w:pPr>
                  <w:r>
                    <w:rPr>
                      <w:rFonts w:ascii="Times New Roman" w:hAnsi="Times New Roman"/>
                      <w:b/>
                      <w:bCs/>
                      <w:szCs w:val="21"/>
                    </w:rPr>
                    <w:t>直排</w:t>
                  </w:r>
                </w:p>
              </w:tc>
              <w:tc>
                <w:tcPr>
                  <w:tcW w:w="646" w:type="pct"/>
                  <w:tcBorders>
                    <w:top w:val="single" w:color="auto" w:sz="4" w:space="0"/>
                    <w:left w:val="single" w:color="auto" w:sz="4" w:space="0"/>
                    <w:bottom w:val="single" w:color="auto" w:sz="4" w:space="0"/>
                    <w:right w:val="nil"/>
                  </w:tcBorders>
                  <w:vAlign w:val="center"/>
                </w:tcPr>
                <w:p>
                  <w:pPr>
                    <w:pStyle w:val="5"/>
                    <w:adjustRightInd w:val="0"/>
                    <w:snapToGrid w:val="0"/>
                    <w:ind w:firstLine="0"/>
                    <w:jc w:val="center"/>
                    <w:rPr>
                      <w:rFonts w:ascii="Times New Roman" w:hAnsi="Times New Roman"/>
                      <w:b/>
                      <w:bCs/>
                      <w:szCs w:val="21"/>
                    </w:rPr>
                  </w:pPr>
                  <w:r>
                    <w:rPr>
                      <w:rFonts w:ascii="Times New Roman" w:hAnsi="Times New Roman"/>
                      <w:b/>
                      <w:bCs/>
                      <w:szCs w:val="21"/>
                    </w:rPr>
                    <w:t>3.03</w:t>
                  </w:r>
                </w:p>
              </w:tc>
              <w:tc>
                <w:tcPr>
                  <w:tcW w:w="1466" w:type="pct"/>
                  <w:vMerge w:val="continue"/>
                  <w:tcBorders>
                    <w:left w:val="single" w:color="auto" w:sz="4" w:space="0"/>
                    <w:bottom w:val="single" w:color="auto" w:sz="4" w:space="0"/>
                    <w:right w:val="nil"/>
                  </w:tcBorders>
                  <w:vAlign w:val="center"/>
                </w:tcPr>
                <w:p>
                  <w:pPr>
                    <w:pStyle w:val="5"/>
                    <w:adjustRightInd w:val="0"/>
                    <w:snapToGrid w:val="0"/>
                    <w:ind w:firstLine="0"/>
                    <w:jc w:val="center"/>
                    <w:rPr>
                      <w:rFonts w:ascii="Times New Roman" w:hAnsi="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48" w:hRule="atLeast"/>
                <w:jc w:val="center"/>
              </w:trPr>
              <w:tc>
                <w:tcPr>
                  <w:tcW w:w="440" w:type="pct"/>
                  <w:tcBorders>
                    <w:top w:val="single" w:color="auto" w:sz="4" w:space="0"/>
                    <w:left w:val="nil"/>
                    <w:right w:val="single" w:color="auto" w:sz="4" w:space="0"/>
                  </w:tcBorders>
                  <w:vAlign w:val="center"/>
                </w:tcPr>
                <w:p>
                  <w:pPr>
                    <w:adjustRightInd w:val="0"/>
                    <w:snapToGrid w:val="0"/>
                    <w:jc w:val="center"/>
                    <w:rPr>
                      <w:szCs w:val="21"/>
                    </w:rPr>
                  </w:pPr>
                  <w:r>
                    <w:rPr>
                      <w:szCs w:val="21"/>
                    </w:rPr>
                    <w:t>颗粒物</w:t>
                  </w:r>
                </w:p>
              </w:tc>
              <w:tc>
                <w:tcPr>
                  <w:tcW w:w="832"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ind w:firstLine="0"/>
                    <w:jc w:val="center"/>
                    <w:rPr>
                      <w:rFonts w:ascii="Times New Roman" w:hAnsi="Times New Roman"/>
                      <w:szCs w:val="21"/>
                    </w:rPr>
                  </w:pPr>
                  <w:r>
                    <w:rPr>
                      <w:rFonts w:ascii="Times New Roman" w:hAnsi="Times New Roman"/>
                      <w:szCs w:val="21"/>
                    </w:rPr>
                    <w:t>千克/万立方米-原料</w:t>
                  </w:r>
                </w:p>
              </w:tc>
              <w:tc>
                <w:tcPr>
                  <w:tcW w:w="975"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ind w:firstLine="0"/>
                    <w:jc w:val="center"/>
                    <w:rPr>
                      <w:rFonts w:ascii="Times New Roman" w:hAnsi="Times New Roman"/>
                      <w:b/>
                      <w:bCs/>
                      <w:szCs w:val="21"/>
                    </w:rPr>
                  </w:pPr>
                  <w:r>
                    <w:rPr>
                      <w:rFonts w:ascii="Times New Roman" w:hAnsi="Times New Roman"/>
                      <w:b/>
                      <w:bCs/>
                      <w:szCs w:val="21"/>
                    </w:rPr>
                    <w:t>1.4</w:t>
                  </w:r>
                </w:p>
              </w:tc>
              <w:tc>
                <w:tcPr>
                  <w:tcW w:w="638"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ind w:firstLine="0"/>
                    <w:jc w:val="center"/>
                    <w:rPr>
                      <w:rFonts w:ascii="Times New Roman" w:hAnsi="Times New Roman"/>
                      <w:b/>
                      <w:bCs/>
                      <w:szCs w:val="21"/>
                    </w:rPr>
                  </w:pPr>
                  <w:r>
                    <w:rPr>
                      <w:rFonts w:ascii="Times New Roman" w:hAnsi="Times New Roman"/>
                      <w:b/>
                      <w:bCs/>
                      <w:szCs w:val="21"/>
                    </w:rPr>
                    <w:t>直排</w:t>
                  </w:r>
                </w:p>
              </w:tc>
              <w:tc>
                <w:tcPr>
                  <w:tcW w:w="646" w:type="pct"/>
                  <w:tcBorders>
                    <w:top w:val="single" w:color="auto" w:sz="4" w:space="0"/>
                    <w:left w:val="single" w:color="auto" w:sz="4" w:space="0"/>
                    <w:bottom w:val="single" w:color="auto" w:sz="4" w:space="0"/>
                    <w:right w:val="nil"/>
                  </w:tcBorders>
                  <w:vAlign w:val="center"/>
                </w:tcPr>
                <w:p>
                  <w:pPr>
                    <w:pStyle w:val="5"/>
                    <w:adjustRightInd w:val="0"/>
                    <w:snapToGrid w:val="0"/>
                    <w:ind w:firstLine="0"/>
                    <w:jc w:val="center"/>
                    <w:rPr>
                      <w:rFonts w:ascii="Times New Roman" w:hAnsi="Times New Roman"/>
                      <w:b/>
                      <w:bCs/>
                      <w:szCs w:val="21"/>
                    </w:rPr>
                  </w:pPr>
                  <w:r>
                    <w:rPr>
                      <w:rFonts w:ascii="Times New Roman" w:hAnsi="Times New Roman"/>
                      <w:b/>
                      <w:bCs/>
                      <w:szCs w:val="21"/>
                    </w:rPr>
                    <w:t>1.4</w:t>
                  </w:r>
                </w:p>
              </w:tc>
              <w:tc>
                <w:tcPr>
                  <w:tcW w:w="1466" w:type="pct"/>
                  <w:tcBorders>
                    <w:top w:val="single" w:color="auto" w:sz="4" w:space="0"/>
                    <w:left w:val="single" w:color="auto" w:sz="4" w:space="0"/>
                    <w:right w:val="nil"/>
                  </w:tcBorders>
                  <w:vAlign w:val="center"/>
                </w:tcPr>
                <w:p>
                  <w:pPr>
                    <w:pStyle w:val="5"/>
                    <w:adjustRightInd w:val="0"/>
                    <w:snapToGrid w:val="0"/>
                    <w:ind w:firstLine="0"/>
                    <w:jc w:val="center"/>
                    <w:rPr>
                      <w:rFonts w:ascii="Times New Roman" w:hAnsi="Times New Roman"/>
                      <w:szCs w:val="21"/>
                    </w:rPr>
                  </w:pPr>
                  <w:r>
                    <w:rPr>
                      <w:rFonts w:ascii="Times New Roman" w:hAnsi="Times New Roman"/>
                    </w:rPr>
                    <w:t>《环境影响评价工程师职业资格登记培训教材-社会区域类》P123表4-12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40" w:type="pct"/>
                  <w:tcBorders>
                    <w:top w:val="single" w:color="auto" w:sz="4" w:space="0"/>
                    <w:left w:val="nil"/>
                    <w:bottom w:val="single" w:color="auto" w:sz="4" w:space="0"/>
                    <w:right w:val="single" w:color="auto" w:sz="4" w:space="0"/>
                  </w:tcBorders>
                  <w:vAlign w:val="center"/>
                </w:tcPr>
                <w:p>
                  <w:pPr>
                    <w:adjustRightInd w:val="0"/>
                    <w:snapToGrid w:val="0"/>
                    <w:jc w:val="center"/>
                    <w:rPr>
                      <w:szCs w:val="21"/>
                    </w:rPr>
                  </w:pPr>
                  <w:r>
                    <w:rPr>
                      <w:szCs w:val="21"/>
                    </w:rPr>
                    <w:t>二氧化硫</w:t>
                  </w:r>
                </w:p>
              </w:tc>
              <w:tc>
                <w:tcPr>
                  <w:tcW w:w="832"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ind w:firstLine="0"/>
                    <w:jc w:val="center"/>
                    <w:rPr>
                      <w:rFonts w:ascii="Times New Roman" w:hAnsi="Times New Roman"/>
                      <w:szCs w:val="21"/>
                    </w:rPr>
                  </w:pPr>
                  <w:r>
                    <w:rPr>
                      <w:rFonts w:ascii="Times New Roman" w:hAnsi="Times New Roman"/>
                      <w:szCs w:val="21"/>
                    </w:rPr>
                    <w:t>千克/万立方米-原料</w:t>
                  </w:r>
                </w:p>
              </w:tc>
              <w:tc>
                <w:tcPr>
                  <w:tcW w:w="975"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ind w:firstLine="0"/>
                    <w:jc w:val="center"/>
                    <w:rPr>
                      <w:rFonts w:ascii="Times New Roman" w:hAnsi="Times New Roman"/>
                      <w:b/>
                      <w:bCs/>
                      <w:szCs w:val="21"/>
                    </w:rPr>
                  </w:pPr>
                  <w:r>
                    <w:rPr>
                      <w:rFonts w:ascii="Times New Roman" w:hAnsi="Times New Roman"/>
                      <w:b/>
                      <w:bCs/>
                      <w:szCs w:val="21"/>
                    </w:rPr>
                    <w:t>0.02S</w:t>
                  </w:r>
                  <w:r>
                    <w:rPr>
                      <w:rFonts w:ascii="Times New Roman" w:hAnsi="Times New Roman"/>
                      <w:b/>
                      <w:bCs/>
                      <w:szCs w:val="21"/>
                      <w:vertAlign w:val="superscript"/>
                    </w:rPr>
                    <w:t>②</w:t>
                  </w:r>
                </w:p>
              </w:tc>
              <w:tc>
                <w:tcPr>
                  <w:tcW w:w="638"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ind w:firstLine="0"/>
                    <w:jc w:val="center"/>
                    <w:rPr>
                      <w:rFonts w:ascii="Times New Roman" w:hAnsi="Times New Roman"/>
                      <w:b/>
                      <w:bCs/>
                      <w:szCs w:val="21"/>
                    </w:rPr>
                  </w:pPr>
                  <w:r>
                    <w:rPr>
                      <w:rFonts w:ascii="Times New Roman" w:hAnsi="Times New Roman"/>
                      <w:b/>
                      <w:bCs/>
                      <w:szCs w:val="21"/>
                    </w:rPr>
                    <w:t>直排</w:t>
                  </w:r>
                </w:p>
              </w:tc>
              <w:tc>
                <w:tcPr>
                  <w:tcW w:w="646" w:type="pct"/>
                  <w:tcBorders>
                    <w:top w:val="single" w:color="auto" w:sz="4" w:space="0"/>
                    <w:left w:val="single" w:color="auto" w:sz="4" w:space="0"/>
                    <w:bottom w:val="single" w:color="auto" w:sz="4" w:space="0"/>
                    <w:right w:val="nil"/>
                  </w:tcBorders>
                  <w:vAlign w:val="center"/>
                </w:tcPr>
                <w:p>
                  <w:pPr>
                    <w:pStyle w:val="5"/>
                    <w:adjustRightInd w:val="0"/>
                    <w:snapToGrid w:val="0"/>
                    <w:ind w:firstLine="0"/>
                    <w:jc w:val="center"/>
                    <w:rPr>
                      <w:rFonts w:ascii="Times New Roman" w:hAnsi="Times New Roman"/>
                      <w:b/>
                      <w:bCs/>
                      <w:szCs w:val="21"/>
                    </w:rPr>
                  </w:pPr>
                  <w:r>
                    <w:rPr>
                      <w:rFonts w:ascii="Times New Roman" w:hAnsi="Times New Roman"/>
                      <w:b/>
                      <w:bCs/>
                      <w:szCs w:val="21"/>
                    </w:rPr>
                    <w:t>0.02S</w:t>
                  </w:r>
                </w:p>
              </w:tc>
              <w:tc>
                <w:tcPr>
                  <w:tcW w:w="1466" w:type="pct"/>
                  <w:tcBorders>
                    <w:left w:val="single" w:color="auto" w:sz="4" w:space="0"/>
                    <w:bottom w:val="single" w:color="auto" w:sz="4" w:space="0"/>
                    <w:right w:val="nil"/>
                  </w:tcBorders>
                  <w:vAlign w:val="center"/>
                </w:tcPr>
                <w:p>
                  <w:pPr>
                    <w:pStyle w:val="5"/>
                    <w:adjustRightInd w:val="0"/>
                    <w:snapToGrid w:val="0"/>
                    <w:ind w:firstLine="0"/>
                    <w:jc w:val="center"/>
                    <w:rPr>
                      <w:rFonts w:ascii="Times New Roman" w:hAnsi="Times New Roman"/>
                      <w:szCs w:val="21"/>
                    </w:rPr>
                  </w:pPr>
                  <w:r>
                    <w:rPr>
                      <w:rFonts w:ascii="Times New Roman" w:hAnsi="Times New Roman"/>
                      <w:szCs w:val="21"/>
                    </w:rPr>
                    <w:t>《排污许可证申请与核发技术规范 锅炉》(HJ953—2018)表F.3</w:t>
                  </w:r>
                </w:p>
              </w:tc>
            </w:tr>
          </w:tbl>
          <w:p>
            <w:pPr>
              <w:adjustRightInd w:val="0"/>
              <w:snapToGrid w:val="0"/>
              <w:rPr>
                <w:szCs w:val="21"/>
              </w:rPr>
            </w:pPr>
            <w:r>
              <w:rPr>
                <w:b/>
                <w:bCs/>
                <w:szCs w:val="21"/>
              </w:rPr>
              <w:t>注：</w:t>
            </w:r>
            <w:r>
              <w:rPr>
                <w:szCs w:val="21"/>
              </w:rPr>
              <w:t>①低氮燃烧-国际领先技术的天然气锅炉设计NO</w:t>
            </w:r>
            <w:r>
              <w:rPr>
                <w:szCs w:val="21"/>
                <w:vertAlign w:val="subscript"/>
              </w:rPr>
              <w:t>X</w:t>
            </w:r>
            <w:r>
              <w:rPr>
                <w:szCs w:val="21"/>
              </w:rPr>
              <w:t>排放控制要求一般小于60mg/m</w:t>
            </w:r>
            <w:r>
              <w:rPr>
                <w:szCs w:val="21"/>
                <w:vertAlign w:val="superscript"/>
              </w:rPr>
              <w:t>3</w:t>
            </w:r>
            <w:r>
              <w:rPr>
                <w:szCs w:val="21"/>
              </w:rPr>
              <w:t>（@3.5%O</w:t>
            </w:r>
            <w:r>
              <w:rPr>
                <w:szCs w:val="21"/>
                <w:vertAlign w:val="subscript"/>
              </w:rPr>
              <w:t>2</w:t>
            </w:r>
            <w:r>
              <w:rPr>
                <w:szCs w:val="21"/>
              </w:rPr>
              <w:t>）；低氮燃烧-国内领先技术的天然气锅炉设计NO</w:t>
            </w:r>
            <w:r>
              <w:rPr>
                <w:szCs w:val="21"/>
                <w:vertAlign w:val="subscript"/>
              </w:rPr>
              <w:t>X</w:t>
            </w:r>
            <w:r>
              <w:rPr>
                <w:szCs w:val="21"/>
              </w:rPr>
              <w:t>排放控制要求一般介于60mg/m</w:t>
            </w:r>
            <w:r>
              <w:rPr>
                <w:szCs w:val="21"/>
                <w:vertAlign w:val="superscript"/>
              </w:rPr>
              <w:t>3</w:t>
            </w:r>
            <w:r>
              <w:rPr>
                <w:szCs w:val="21"/>
              </w:rPr>
              <w:t>（@3.5%O</w:t>
            </w:r>
            <w:r>
              <w:rPr>
                <w:szCs w:val="21"/>
                <w:vertAlign w:val="subscript"/>
              </w:rPr>
              <w:t>2</w:t>
            </w:r>
            <w:r>
              <w:rPr>
                <w:szCs w:val="21"/>
              </w:rPr>
              <w:t>）~100mg/m</w:t>
            </w:r>
            <w:r>
              <w:rPr>
                <w:szCs w:val="21"/>
                <w:vertAlign w:val="superscript"/>
              </w:rPr>
              <w:t>3</w:t>
            </w:r>
            <w:r>
              <w:rPr>
                <w:szCs w:val="21"/>
              </w:rPr>
              <w:t>（@3.5%O</w:t>
            </w:r>
            <w:r>
              <w:rPr>
                <w:szCs w:val="21"/>
                <w:vertAlign w:val="subscript"/>
              </w:rPr>
              <w:t>2</w:t>
            </w:r>
            <w:r>
              <w:rPr>
                <w:szCs w:val="21"/>
              </w:rPr>
              <w:t>）；低氮燃烧-国内一般技术的天然气锅炉设计NO</w:t>
            </w:r>
            <w:r>
              <w:rPr>
                <w:szCs w:val="21"/>
                <w:vertAlign w:val="subscript"/>
              </w:rPr>
              <w:t>X</w:t>
            </w:r>
            <w:r>
              <w:rPr>
                <w:szCs w:val="21"/>
              </w:rPr>
              <w:t>排放控制要求一般介于100mg/m</w:t>
            </w:r>
            <w:r>
              <w:rPr>
                <w:szCs w:val="21"/>
                <w:vertAlign w:val="superscript"/>
              </w:rPr>
              <w:t>3</w:t>
            </w:r>
            <w:r>
              <w:rPr>
                <w:szCs w:val="21"/>
              </w:rPr>
              <w:t>（@3.5%O</w:t>
            </w:r>
            <w:r>
              <w:rPr>
                <w:szCs w:val="21"/>
                <w:vertAlign w:val="subscript"/>
              </w:rPr>
              <w:t>2</w:t>
            </w:r>
            <w:r>
              <w:rPr>
                <w:szCs w:val="21"/>
              </w:rPr>
              <w:t>）~100mg/m</w:t>
            </w:r>
            <w:r>
              <w:rPr>
                <w:szCs w:val="21"/>
                <w:vertAlign w:val="superscript"/>
              </w:rPr>
              <w:t>3</w:t>
            </w:r>
            <w:r>
              <w:rPr>
                <w:szCs w:val="21"/>
              </w:rPr>
              <w:t>（@3.5%O</w:t>
            </w:r>
            <w:r>
              <w:rPr>
                <w:szCs w:val="21"/>
                <w:vertAlign w:val="subscript"/>
              </w:rPr>
              <w:t>2</w:t>
            </w:r>
            <w:r>
              <w:rPr>
                <w:szCs w:val="21"/>
              </w:rPr>
              <w:t>）。</w:t>
            </w:r>
            <w:r>
              <w:rPr>
                <w:b/>
                <w:bCs/>
                <w:szCs w:val="21"/>
                <w:highlight w:val="none"/>
              </w:rPr>
              <w:t>根据企业提供的监测</w:t>
            </w:r>
            <w:r>
              <w:rPr>
                <w:rFonts w:hint="eastAsia"/>
                <w:b/>
                <w:bCs/>
                <w:szCs w:val="21"/>
                <w:highlight w:val="none"/>
                <w:lang w:val="en-US" w:eastAsia="zh-CN"/>
              </w:rPr>
              <w:t>报告（附件10，2021国泰监测江（委）托字第（07155）号）</w:t>
            </w:r>
            <w:r>
              <w:rPr>
                <w:b/>
                <w:bCs/>
                <w:szCs w:val="21"/>
                <w:highlight w:val="none"/>
              </w:rPr>
              <w:t>，</w:t>
            </w:r>
            <w:r>
              <w:rPr>
                <w:rFonts w:hint="eastAsia"/>
                <w:b/>
                <w:bCs/>
                <w:szCs w:val="21"/>
                <w:highlight w:val="none"/>
                <w:lang w:val="en-US" w:eastAsia="zh-CN"/>
              </w:rPr>
              <w:t>燃气锅炉</w:t>
            </w:r>
            <w:r>
              <w:rPr>
                <w:b/>
                <w:bCs/>
                <w:szCs w:val="21"/>
                <w:highlight w:val="none"/>
              </w:rPr>
              <w:t>排气筒氮氧化物的排放浓度为43mg/m</w:t>
            </w:r>
            <w:r>
              <w:rPr>
                <w:b/>
                <w:bCs/>
                <w:szCs w:val="21"/>
                <w:highlight w:val="none"/>
                <w:vertAlign w:val="superscript"/>
              </w:rPr>
              <w:t>3</w:t>
            </w:r>
            <w:r>
              <w:rPr>
                <w:b/>
                <w:bCs/>
                <w:szCs w:val="21"/>
                <w:highlight w:val="none"/>
              </w:rPr>
              <w:t>（@3.5%O</w:t>
            </w:r>
            <w:r>
              <w:rPr>
                <w:b/>
                <w:bCs/>
                <w:szCs w:val="21"/>
                <w:highlight w:val="none"/>
                <w:vertAlign w:val="subscript"/>
              </w:rPr>
              <w:t>2</w:t>
            </w:r>
            <w:r>
              <w:rPr>
                <w:b/>
                <w:bCs/>
                <w:szCs w:val="21"/>
                <w:highlight w:val="none"/>
              </w:rPr>
              <w:t>），因此本项目</w:t>
            </w:r>
            <w:r>
              <w:rPr>
                <w:b/>
                <w:bCs/>
                <w:szCs w:val="21"/>
              </w:rPr>
              <w:t>适用“低氮燃烧-国际领先”产污系数。</w:t>
            </w:r>
          </w:p>
          <w:p>
            <w:pPr>
              <w:adjustRightInd w:val="0"/>
              <w:snapToGrid w:val="0"/>
              <w:rPr>
                <w:szCs w:val="21"/>
              </w:rPr>
            </w:pPr>
            <w:r>
              <w:rPr>
                <w:szCs w:val="21"/>
              </w:rPr>
              <w:t>②产排污系数表中二氧化硫的产排污系数是以含硫量(S)的形式表示的，其中含硫量(S)是指燃气硫分含量，单位为毫克/立方米。</w:t>
            </w:r>
            <w:r>
              <w:rPr>
                <w:b/>
                <w:bCs/>
                <w:szCs w:val="21"/>
              </w:rPr>
              <w:t>根据《天然气》(GB17820-2018)表1要求，天然气中总硫含量应≤100mg/m</w:t>
            </w:r>
            <w:r>
              <w:rPr>
                <w:b/>
                <w:bCs/>
                <w:szCs w:val="21"/>
                <w:vertAlign w:val="superscript"/>
              </w:rPr>
              <w:t>3</w:t>
            </w:r>
            <w:r>
              <w:rPr>
                <w:b/>
                <w:bCs/>
                <w:szCs w:val="21"/>
              </w:rPr>
              <w:t>，本项目天然气含硫量取最大值计算，即含硫量为100mg/m</w:t>
            </w:r>
            <w:r>
              <w:rPr>
                <w:b/>
                <w:bCs/>
                <w:szCs w:val="21"/>
                <w:vertAlign w:val="superscript"/>
              </w:rPr>
              <w:t>3</w:t>
            </w:r>
            <w:r>
              <w:rPr>
                <w:b/>
                <w:bCs/>
                <w:szCs w:val="21"/>
              </w:rPr>
              <w:t>。</w:t>
            </w:r>
          </w:p>
          <w:p>
            <w:pPr>
              <w:adjustRightInd w:val="0"/>
              <w:snapToGrid w:val="0"/>
              <w:spacing w:line="360" w:lineRule="auto"/>
              <w:ind w:firstLine="480" w:firstLineChars="200"/>
              <w:rPr>
                <w:sz w:val="24"/>
              </w:rPr>
            </w:pPr>
            <w:r>
              <w:rPr>
                <w:sz w:val="24"/>
              </w:rPr>
              <w:t>根据企业提供的资料，本项目全年天然气用量为120万m</w:t>
            </w:r>
            <w:r>
              <w:rPr>
                <w:sz w:val="24"/>
                <w:vertAlign w:val="superscript"/>
              </w:rPr>
              <w:t>3</w:t>
            </w:r>
            <w:r>
              <w:rPr>
                <w:sz w:val="24"/>
              </w:rPr>
              <w:t>，燃气锅炉年工作约9个月（即年工作6480h），依据表4-1的产排污系数，排放量等于产生量，则本项目工业废气年排放量为1293.036万立方米、氮氧化物年排放量为0.3636吨、颗粒物年排放量0.168吨、二氧化硫年排放量0.24吨。</w:t>
            </w:r>
          </w:p>
          <w:p>
            <w:pPr>
              <w:adjustRightInd w:val="0"/>
              <w:snapToGrid w:val="0"/>
              <w:spacing w:line="360" w:lineRule="auto"/>
              <w:ind w:firstLine="480" w:firstLineChars="200"/>
              <w:rPr>
                <w:bCs/>
                <w:sz w:val="24"/>
              </w:rPr>
            </w:pPr>
            <w:r>
              <w:rPr>
                <w:bCs/>
                <w:sz w:val="24"/>
              </w:rPr>
              <w:t>根据污染物浓度计算公式：</w:t>
            </w:r>
          </w:p>
          <w:p>
            <w:pPr>
              <w:pStyle w:val="8"/>
              <w:ind w:left="1470" w:right="1470"/>
              <w:rPr>
                <w:rFonts w:ascii="Times New Roman" w:hAnsi="Times New Roman"/>
              </w:rPr>
            </w:pPr>
            <m:oMathPara>
              <m:oMath>
                <m:r>
                  <m:rPr/>
                  <w:rPr>
                    <w:rFonts w:ascii="Cambria Math" w:hAnsi="Cambria Math"/>
                  </w:rPr>
                  <m:t>C=</m:t>
                </m:r>
                <m:f>
                  <m:fPr>
                    <m:ctrlPr>
                      <w:rPr>
                        <w:rFonts w:ascii="Cambria Math" w:hAnsi="Cambria Math"/>
                        <w:i/>
                      </w:rPr>
                    </m:ctrlPr>
                  </m:fPr>
                  <m:num>
                    <m:r>
                      <m:rPr/>
                      <w:rPr>
                        <w:rFonts w:ascii="Cambria Math" w:hAnsi="Cambria Math"/>
                      </w:rPr>
                      <m:t>G</m:t>
                    </m:r>
                    <m:ctrlPr>
                      <w:rPr>
                        <w:rFonts w:ascii="Cambria Math" w:hAnsi="Cambria Math"/>
                        <w:i/>
                      </w:rPr>
                    </m:ctrlPr>
                  </m:num>
                  <m:den>
                    <m:r>
                      <m:rPr/>
                      <w:rPr>
                        <w:rFonts w:ascii="Cambria Math" w:hAnsi="Cambria Math"/>
                      </w:rPr>
                      <m:t>W</m:t>
                    </m:r>
                    <m:ctrlPr>
                      <w:rPr>
                        <w:rFonts w:ascii="Cambria Math" w:hAnsi="Cambria Math"/>
                        <w:i/>
                      </w:rPr>
                    </m:ctrlPr>
                  </m:den>
                </m:f>
              </m:oMath>
            </m:oMathPara>
          </w:p>
          <w:p>
            <w:pPr>
              <w:pStyle w:val="8"/>
              <w:ind w:left="0" w:leftChars="0" w:right="1470"/>
              <w:rPr>
                <w:rFonts w:ascii="Times New Roman" w:hAnsi="Times New Roman"/>
              </w:rPr>
            </w:pPr>
            <w:r>
              <w:rPr>
                <w:rFonts w:ascii="Times New Roman" w:hAnsi="Times New Roman"/>
              </w:rPr>
              <w:t>式中：C——污染物排放浓度，mg/m</w:t>
            </w:r>
            <w:r>
              <w:rPr>
                <w:rFonts w:ascii="Times New Roman" w:hAnsi="Times New Roman"/>
                <w:vertAlign w:val="superscript"/>
              </w:rPr>
              <w:t>3</w:t>
            </w:r>
            <w:r>
              <w:rPr>
                <w:rFonts w:ascii="Times New Roman" w:hAnsi="Times New Roman"/>
              </w:rPr>
              <w:t>；</w:t>
            </w:r>
          </w:p>
          <w:p>
            <w:pPr>
              <w:pStyle w:val="8"/>
              <w:ind w:left="0" w:leftChars="0" w:right="1470" w:firstLine="630" w:firstLineChars="300"/>
              <w:rPr>
                <w:rFonts w:ascii="Times New Roman" w:hAnsi="Times New Roman"/>
              </w:rPr>
            </w:pPr>
            <w:r>
              <w:rPr>
                <w:rFonts w:ascii="Times New Roman" w:hAnsi="Times New Roman"/>
              </w:rPr>
              <w:t>G——污染物年排放量，mg/a；</w:t>
            </w:r>
          </w:p>
          <w:p>
            <w:pPr>
              <w:pStyle w:val="8"/>
              <w:ind w:left="0" w:leftChars="0" w:right="1470" w:firstLine="630" w:firstLineChars="300"/>
              <w:rPr>
                <w:rFonts w:ascii="Times New Roman" w:hAnsi="Times New Roman"/>
              </w:rPr>
            </w:pPr>
            <w:r>
              <w:rPr>
                <w:rFonts w:ascii="Times New Roman" w:hAnsi="Times New Roman"/>
              </w:rPr>
              <w:t>W——污染源工业废气年排放量，m</w:t>
            </w:r>
            <w:r>
              <w:rPr>
                <w:rFonts w:ascii="Times New Roman" w:hAnsi="Times New Roman"/>
                <w:vertAlign w:val="superscript"/>
              </w:rPr>
              <w:t>3</w:t>
            </w:r>
            <w:r>
              <w:rPr>
                <w:rFonts w:ascii="Times New Roman" w:hAnsi="Times New Roman"/>
              </w:rPr>
              <w:t>/a；</w:t>
            </w:r>
          </w:p>
          <w:p>
            <w:pPr>
              <w:pStyle w:val="8"/>
              <w:ind w:left="0" w:leftChars="0" w:right="1470" w:firstLine="480" w:firstLineChars="200"/>
              <w:rPr>
                <w:rFonts w:ascii="Times New Roman" w:hAnsi="Times New Roman"/>
                <w:sz w:val="24"/>
                <w:szCs w:val="24"/>
              </w:rPr>
            </w:pPr>
            <w:r>
              <w:rPr>
                <w:rFonts w:ascii="Times New Roman" w:hAnsi="Times New Roman"/>
                <w:sz w:val="24"/>
                <w:szCs w:val="24"/>
              </w:rPr>
              <w:t>经计算，本项目有组织废气排放情况见下表：</w:t>
            </w:r>
          </w:p>
          <w:p>
            <w:pPr>
              <w:adjustRightInd w:val="0"/>
              <w:snapToGrid w:val="0"/>
              <w:jc w:val="center"/>
              <w:rPr>
                <w:b/>
                <w:sz w:val="24"/>
              </w:rPr>
            </w:pPr>
            <w:r>
              <w:rPr>
                <w:b/>
                <w:sz w:val="24"/>
              </w:rPr>
              <w:t>表4-</w:t>
            </w:r>
            <w:r>
              <w:rPr>
                <w:rFonts w:hint="eastAsia"/>
                <w:b/>
                <w:sz w:val="24"/>
                <w:lang w:val="en-US" w:eastAsia="zh-CN"/>
              </w:rPr>
              <w:t>2</w:t>
            </w:r>
            <w:r>
              <w:rPr>
                <w:b/>
                <w:sz w:val="24"/>
              </w:rPr>
              <w:t xml:space="preserve">  本项目有组织废气排放情况表</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061"/>
              <w:gridCol w:w="787"/>
              <w:gridCol w:w="1100"/>
              <w:gridCol w:w="1465"/>
              <w:gridCol w:w="1322"/>
              <w:gridCol w:w="1440"/>
              <w:gridCol w:w="122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31" w:type="pct"/>
                  <w:vMerge w:val="restart"/>
                  <w:tcBorders>
                    <w:top w:val="single" w:color="auto" w:sz="12" w:space="0"/>
                    <w:left w:val="nil"/>
                    <w:bottom w:val="single" w:color="auto" w:sz="4" w:space="0"/>
                    <w:right w:val="single" w:color="auto" w:sz="4" w:space="0"/>
                  </w:tcBorders>
                  <w:vAlign w:val="center"/>
                </w:tcPr>
                <w:p>
                  <w:pPr>
                    <w:pStyle w:val="64"/>
                    <w:rPr>
                      <w:rFonts w:ascii="Times New Roman" w:hAnsi="Times New Roman" w:eastAsia="宋体"/>
                      <w:b/>
                      <w:sz w:val="21"/>
                      <w:szCs w:val="21"/>
                    </w:rPr>
                  </w:pPr>
                  <w:r>
                    <w:rPr>
                      <w:rFonts w:ascii="Times New Roman" w:hAnsi="Times New Roman" w:eastAsia="宋体"/>
                      <w:b/>
                      <w:sz w:val="21"/>
                      <w:szCs w:val="21"/>
                    </w:rPr>
                    <w:t>所在车间</w:t>
                  </w:r>
                </w:p>
              </w:tc>
              <w:tc>
                <w:tcPr>
                  <w:tcW w:w="468" w:type="pct"/>
                  <w:vMerge w:val="restart"/>
                  <w:tcBorders>
                    <w:top w:val="single" w:color="auto" w:sz="12" w:space="0"/>
                    <w:left w:val="single" w:color="auto" w:sz="4" w:space="0"/>
                    <w:bottom w:val="single" w:color="auto" w:sz="4" w:space="0"/>
                    <w:right w:val="single" w:color="auto" w:sz="4" w:space="0"/>
                  </w:tcBorders>
                  <w:vAlign w:val="center"/>
                </w:tcPr>
                <w:p>
                  <w:pPr>
                    <w:pStyle w:val="64"/>
                    <w:rPr>
                      <w:rFonts w:ascii="Times New Roman" w:hAnsi="Times New Roman" w:eastAsia="宋体"/>
                      <w:b/>
                      <w:sz w:val="21"/>
                      <w:szCs w:val="21"/>
                    </w:rPr>
                  </w:pPr>
                  <w:r>
                    <w:rPr>
                      <w:rFonts w:ascii="Times New Roman" w:hAnsi="Times New Roman" w:eastAsia="宋体"/>
                      <w:b/>
                      <w:sz w:val="21"/>
                      <w:szCs w:val="21"/>
                    </w:rPr>
                    <w:t>排气筒编号</w:t>
                  </w:r>
                </w:p>
              </w:tc>
              <w:tc>
                <w:tcPr>
                  <w:tcW w:w="654" w:type="pct"/>
                  <w:vMerge w:val="restart"/>
                  <w:tcBorders>
                    <w:top w:val="single" w:color="auto" w:sz="12" w:space="0"/>
                    <w:left w:val="single" w:color="auto" w:sz="4" w:space="0"/>
                    <w:bottom w:val="single" w:color="auto" w:sz="4" w:space="0"/>
                    <w:right w:val="single" w:color="auto" w:sz="4" w:space="0"/>
                  </w:tcBorders>
                  <w:vAlign w:val="center"/>
                </w:tcPr>
                <w:p>
                  <w:pPr>
                    <w:pStyle w:val="64"/>
                    <w:rPr>
                      <w:rFonts w:ascii="Times New Roman" w:hAnsi="Times New Roman" w:eastAsia="宋体"/>
                      <w:b/>
                      <w:sz w:val="21"/>
                      <w:szCs w:val="21"/>
                    </w:rPr>
                  </w:pPr>
                  <w:r>
                    <w:rPr>
                      <w:rFonts w:ascii="Times New Roman" w:hAnsi="Times New Roman" w:eastAsia="宋体"/>
                      <w:b/>
                      <w:sz w:val="21"/>
                      <w:szCs w:val="21"/>
                    </w:rPr>
                    <w:t>污染源名称</w:t>
                  </w:r>
                </w:p>
              </w:tc>
              <w:tc>
                <w:tcPr>
                  <w:tcW w:w="3245" w:type="pct"/>
                  <w:gridSpan w:val="4"/>
                  <w:tcBorders>
                    <w:top w:val="single" w:color="auto" w:sz="12" w:space="0"/>
                    <w:left w:val="single" w:color="auto" w:sz="4" w:space="0"/>
                    <w:bottom w:val="single" w:color="auto" w:sz="4" w:space="0"/>
                    <w:right w:val="nil"/>
                  </w:tcBorders>
                  <w:vAlign w:val="center"/>
                </w:tcPr>
                <w:p>
                  <w:pPr>
                    <w:pStyle w:val="64"/>
                    <w:rPr>
                      <w:rFonts w:ascii="Times New Roman" w:hAnsi="Times New Roman" w:eastAsia="宋体"/>
                      <w:b/>
                      <w:sz w:val="21"/>
                      <w:szCs w:val="21"/>
                    </w:rPr>
                  </w:pPr>
                  <w:r>
                    <w:rPr>
                      <w:rFonts w:ascii="Times New Roman" w:hAnsi="Times New Roman" w:eastAsia="宋体"/>
                      <w:b/>
                      <w:sz w:val="21"/>
                      <w:szCs w:val="21"/>
                    </w:rPr>
                    <w:t>污染物排放情况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31" w:type="pct"/>
                  <w:vMerge w:val="continue"/>
                  <w:tcBorders>
                    <w:top w:val="single" w:color="auto" w:sz="12" w:space="0"/>
                    <w:left w:val="nil"/>
                    <w:bottom w:val="single" w:color="auto" w:sz="4" w:space="0"/>
                    <w:right w:val="single" w:color="auto" w:sz="4" w:space="0"/>
                  </w:tcBorders>
                  <w:vAlign w:val="center"/>
                </w:tcPr>
                <w:p>
                  <w:pPr>
                    <w:widowControl/>
                    <w:jc w:val="left"/>
                    <w:rPr>
                      <w:b/>
                      <w:kern w:val="44"/>
                      <w:szCs w:val="21"/>
                    </w:rPr>
                  </w:pPr>
                </w:p>
              </w:tc>
              <w:tc>
                <w:tcPr>
                  <w:tcW w:w="468" w:type="pct"/>
                  <w:vMerge w:val="continue"/>
                  <w:tcBorders>
                    <w:top w:val="single" w:color="auto" w:sz="12" w:space="0"/>
                    <w:left w:val="single" w:color="auto" w:sz="4" w:space="0"/>
                    <w:bottom w:val="single" w:color="auto" w:sz="4" w:space="0"/>
                    <w:right w:val="single" w:color="auto" w:sz="4" w:space="0"/>
                  </w:tcBorders>
                  <w:vAlign w:val="center"/>
                </w:tcPr>
                <w:p>
                  <w:pPr>
                    <w:widowControl/>
                    <w:jc w:val="left"/>
                    <w:rPr>
                      <w:b/>
                      <w:kern w:val="44"/>
                      <w:szCs w:val="21"/>
                    </w:rPr>
                  </w:pPr>
                </w:p>
              </w:tc>
              <w:tc>
                <w:tcPr>
                  <w:tcW w:w="654" w:type="pct"/>
                  <w:vMerge w:val="continue"/>
                  <w:tcBorders>
                    <w:top w:val="single" w:color="auto" w:sz="12" w:space="0"/>
                    <w:left w:val="single" w:color="auto" w:sz="4" w:space="0"/>
                    <w:bottom w:val="single" w:color="auto" w:sz="4" w:space="0"/>
                    <w:right w:val="single" w:color="auto" w:sz="4" w:space="0"/>
                  </w:tcBorders>
                  <w:vAlign w:val="center"/>
                </w:tcPr>
                <w:p>
                  <w:pPr>
                    <w:widowControl/>
                    <w:jc w:val="left"/>
                    <w:rPr>
                      <w:b/>
                      <w:kern w:val="44"/>
                      <w:szCs w:val="21"/>
                    </w:rPr>
                  </w:pPr>
                </w:p>
              </w:tc>
              <w:tc>
                <w:tcPr>
                  <w:tcW w:w="871" w:type="pct"/>
                  <w:tcBorders>
                    <w:top w:val="single" w:color="auto" w:sz="4" w:space="0"/>
                    <w:left w:val="single" w:color="auto" w:sz="4" w:space="0"/>
                    <w:bottom w:val="single" w:color="auto" w:sz="4" w:space="0"/>
                    <w:right w:val="single" w:color="auto" w:sz="4" w:space="0"/>
                  </w:tcBorders>
                  <w:vAlign w:val="center"/>
                </w:tcPr>
                <w:p>
                  <w:pPr>
                    <w:pStyle w:val="64"/>
                    <w:rPr>
                      <w:rFonts w:ascii="Times New Roman" w:hAnsi="Times New Roman" w:eastAsia="宋体"/>
                      <w:b/>
                      <w:sz w:val="21"/>
                      <w:szCs w:val="21"/>
                    </w:rPr>
                  </w:pPr>
                  <w:r>
                    <w:rPr>
                      <w:rFonts w:ascii="Times New Roman" w:hAnsi="Times New Roman" w:eastAsia="宋体"/>
                      <w:b/>
                      <w:sz w:val="21"/>
                      <w:szCs w:val="21"/>
                    </w:rPr>
                    <w:t>污染物名称</w:t>
                  </w:r>
                </w:p>
              </w:tc>
              <w:tc>
                <w:tcPr>
                  <w:tcW w:w="787" w:type="pct"/>
                  <w:tcBorders>
                    <w:top w:val="single" w:color="auto" w:sz="4" w:space="0"/>
                    <w:left w:val="single" w:color="auto" w:sz="4" w:space="0"/>
                    <w:bottom w:val="single" w:color="auto" w:sz="4" w:space="0"/>
                    <w:right w:val="single" w:color="auto" w:sz="4" w:space="0"/>
                  </w:tcBorders>
                  <w:vAlign w:val="center"/>
                </w:tcPr>
                <w:p>
                  <w:pPr>
                    <w:pStyle w:val="64"/>
                    <w:rPr>
                      <w:rFonts w:ascii="Times New Roman" w:hAnsi="Times New Roman" w:eastAsia="宋体"/>
                      <w:b/>
                      <w:sz w:val="21"/>
                      <w:szCs w:val="21"/>
                    </w:rPr>
                  </w:pPr>
                  <w:r>
                    <w:rPr>
                      <w:rFonts w:ascii="Times New Roman" w:hAnsi="Times New Roman" w:eastAsia="宋体"/>
                      <w:b/>
                      <w:sz w:val="21"/>
                      <w:szCs w:val="21"/>
                    </w:rPr>
                    <w:t>浓度mg/m</w:t>
                  </w:r>
                  <w:r>
                    <w:rPr>
                      <w:rFonts w:ascii="Times New Roman" w:hAnsi="Times New Roman" w:eastAsia="宋体"/>
                      <w:b/>
                      <w:sz w:val="21"/>
                      <w:szCs w:val="21"/>
                      <w:vertAlign w:val="superscript"/>
                    </w:rPr>
                    <w:t>3</w:t>
                  </w:r>
                </w:p>
              </w:tc>
              <w:tc>
                <w:tcPr>
                  <w:tcW w:w="857" w:type="pct"/>
                  <w:tcBorders>
                    <w:top w:val="single" w:color="auto" w:sz="4" w:space="0"/>
                    <w:left w:val="single" w:color="auto" w:sz="4" w:space="0"/>
                    <w:bottom w:val="single" w:color="auto" w:sz="4" w:space="0"/>
                    <w:right w:val="single" w:color="auto" w:sz="4" w:space="0"/>
                  </w:tcBorders>
                  <w:vAlign w:val="center"/>
                </w:tcPr>
                <w:p>
                  <w:pPr>
                    <w:snapToGrid w:val="0"/>
                    <w:jc w:val="center"/>
                    <w:rPr>
                      <w:b/>
                      <w:szCs w:val="21"/>
                    </w:rPr>
                  </w:pPr>
                  <w:r>
                    <w:rPr>
                      <w:b/>
                      <w:szCs w:val="21"/>
                    </w:rPr>
                    <w:t>速率kg/h</w:t>
                  </w:r>
                </w:p>
              </w:tc>
              <w:tc>
                <w:tcPr>
                  <w:tcW w:w="730" w:type="pct"/>
                  <w:tcBorders>
                    <w:top w:val="single" w:color="auto" w:sz="4" w:space="0"/>
                    <w:left w:val="single" w:color="auto" w:sz="4" w:space="0"/>
                    <w:bottom w:val="single" w:color="auto" w:sz="4" w:space="0"/>
                    <w:right w:val="nil"/>
                  </w:tcBorders>
                  <w:vAlign w:val="center"/>
                </w:tcPr>
                <w:p>
                  <w:pPr>
                    <w:pStyle w:val="64"/>
                    <w:rPr>
                      <w:rFonts w:ascii="Times New Roman" w:hAnsi="Times New Roman" w:eastAsia="宋体"/>
                      <w:b/>
                      <w:sz w:val="21"/>
                      <w:szCs w:val="21"/>
                    </w:rPr>
                  </w:pPr>
                  <w:r>
                    <w:rPr>
                      <w:rFonts w:ascii="Times New Roman" w:hAnsi="Times New Roman" w:eastAsia="宋体"/>
                      <w:b/>
                      <w:sz w:val="21"/>
                      <w:szCs w:val="21"/>
                    </w:rPr>
                    <w:t>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31" w:type="pct"/>
                  <w:vMerge w:val="restart"/>
                  <w:tcBorders>
                    <w:top w:val="single" w:color="auto" w:sz="4" w:space="0"/>
                    <w:left w:val="nil"/>
                    <w:right w:val="single" w:color="auto" w:sz="4" w:space="0"/>
                  </w:tcBorders>
                  <w:vAlign w:val="center"/>
                </w:tcPr>
                <w:p>
                  <w:pPr>
                    <w:pStyle w:val="64"/>
                    <w:rPr>
                      <w:rFonts w:ascii="Times New Roman" w:hAnsi="Times New Roman" w:eastAsia="宋体"/>
                      <w:sz w:val="21"/>
                      <w:szCs w:val="21"/>
                    </w:rPr>
                  </w:pPr>
                  <w:r>
                    <w:rPr>
                      <w:rFonts w:ascii="Times New Roman" w:hAnsi="Times New Roman" w:eastAsia="宋体"/>
                      <w:sz w:val="21"/>
                      <w:szCs w:val="21"/>
                    </w:rPr>
                    <w:t>锅炉房</w:t>
                  </w:r>
                </w:p>
              </w:tc>
              <w:tc>
                <w:tcPr>
                  <w:tcW w:w="468" w:type="pct"/>
                  <w:vMerge w:val="restart"/>
                  <w:tcBorders>
                    <w:top w:val="single" w:color="auto" w:sz="4" w:space="0"/>
                    <w:left w:val="single" w:color="auto" w:sz="4" w:space="0"/>
                    <w:right w:val="single" w:color="auto" w:sz="4" w:space="0"/>
                  </w:tcBorders>
                  <w:vAlign w:val="center"/>
                </w:tcPr>
                <w:p>
                  <w:pPr>
                    <w:snapToGrid w:val="0"/>
                    <w:jc w:val="center"/>
                    <w:rPr>
                      <w:szCs w:val="21"/>
                    </w:rPr>
                  </w:pPr>
                  <w:r>
                    <w:rPr>
                      <w:szCs w:val="21"/>
                    </w:rPr>
                    <w:t>FQ-5</w:t>
                  </w:r>
                </w:p>
              </w:tc>
              <w:tc>
                <w:tcPr>
                  <w:tcW w:w="654" w:type="pct"/>
                  <w:vMerge w:val="restart"/>
                  <w:tcBorders>
                    <w:top w:val="single" w:color="auto" w:sz="4" w:space="0"/>
                    <w:left w:val="single" w:color="auto" w:sz="4" w:space="0"/>
                    <w:right w:val="single" w:color="auto" w:sz="4" w:space="0"/>
                  </w:tcBorders>
                  <w:vAlign w:val="center"/>
                </w:tcPr>
                <w:p>
                  <w:pPr>
                    <w:pStyle w:val="64"/>
                    <w:rPr>
                      <w:rFonts w:ascii="Times New Roman" w:hAnsi="Times New Roman" w:eastAsia="宋体"/>
                      <w:sz w:val="21"/>
                      <w:szCs w:val="21"/>
                    </w:rPr>
                  </w:pPr>
                  <w:r>
                    <w:rPr>
                      <w:rFonts w:ascii="Times New Roman" w:hAnsi="Times New Roman" w:eastAsia="宋体"/>
                      <w:sz w:val="21"/>
                      <w:szCs w:val="21"/>
                    </w:rPr>
                    <w:t>天然气燃烧废气</w:t>
                  </w:r>
                </w:p>
              </w:tc>
              <w:tc>
                <w:tcPr>
                  <w:tcW w:w="87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氮氧化物</w:t>
                  </w:r>
                </w:p>
              </w:tc>
              <w:tc>
                <w:tcPr>
                  <w:tcW w:w="787" w:type="pct"/>
                  <w:tcBorders>
                    <w:top w:val="single" w:color="auto" w:sz="4" w:space="0"/>
                    <w:left w:val="single" w:color="auto" w:sz="4" w:space="0"/>
                    <w:bottom w:val="single" w:color="auto" w:sz="4" w:space="0"/>
                    <w:right w:val="single" w:color="auto" w:sz="4" w:space="0"/>
                  </w:tcBorders>
                  <w:vAlign w:val="center"/>
                </w:tcPr>
                <w:p>
                  <w:pPr>
                    <w:pStyle w:val="64"/>
                    <w:rPr>
                      <w:rFonts w:ascii="Times New Roman" w:hAnsi="Times New Roman" w:eastAsia="宋体"/>
                      <w:sz w:val="21"/>
                      <w:szCs w:val="21"/>
                    </w:rPr>
                  </w:pPr>
                  <w:r>
                    <w:rPr>
                      <w:rFonts w:ascii="Times New Roman" w:hAnsi="Times New Roman" w:eastAsia="宋体"/>
                      <w:sz w:val="21"/>
                      <w:szCs w:val="21"/>
                    </w:rPr>
                    <w:t>28.12</w:t>
                  </w:r>
                </w:p>
              </w:tc>
              <w:tc>
                <w:tcPr>
                  <w:tcW w:w="857" w:type="pct"/>
                  <w:tcBorders>
                    <w:top w:val="single" w:color="auto" w:sz="4" w:space="0"/>
                    <w:left w:val="single" w:color="auto" w:sz="4" w:space="0"/>
                    <w:bottom w:val="single" w:color="auto" w:sz="4" w:space="0"/>
                    <w:right w:val="single" w:color="auto" w:sz="4" w:space="0"/>
                  </w:tcBorders>
                  <w:vAlign w:val="center"/>
                </w:tcPr>
                <w:p>
                  <w:pPr>
                    <w:pStyle w:val="64"/>
                    <w:rPr>
                      <w:rFonts w:ascii="Times New Roman" w:hAnsi="Times New Roman" w:eastAsia="宋体"/>
                      <w:sz w:val="21"/>
                      <w:szCs w:val="21"/>
                    </w:rPr>
                  </w:pPr>
                  <w:r>
                    <w:rPr>
                      <w:rFonts w:ascii="Times New Roman" w:hAnsi="Times New Roman" w:eastAsia="宋体"/>
                      <w:sz w:val="21"/>
                      <w:szCs w:val="21"/>
                    </w:rPr>
                    <w:t>0.056</w:t>
                  </w:r>
                </w:p>
              </w:tc>
              <w:tc>
                <w:tcPr>
                  <w:tcW w:w="730" w:type="pct"/>
                  <w:tcBorders>
                    <w:top w:val="single" w:color="auto" w:sz="4" w:space="0"/>
                    <w:left w:val="single" w:color="auto" w:sz="4" w:space="0"/>
                    <w:bottom w:val="single" w:color="auto" w:sz="4" w:space="0"/>
                    <w:right w:val="nil"/>
                  </w:tcBorders>
                  <w:vAlign w:val="center"/>
                </w:tcPr>
                <w:p>
                  <w:pPr>
                    <w:pStyle w:val="64"/>
                    <w:rPr>
                      <w:rFonts w:ascii="Times New Roman" w:hAnsi="Times New Roman" w:eastAsia="宋体"/>
                      <w:sz w:val="21"/>
                      <w:szCs w:val="21"/>
                    </w:rPr>
                  </w:pPr>
                  <w:r>
                    <w:rPr>
                      <w:rFonts w:ascii="Times New Roman" w:hAnsi="Times New Roman" w:eastAsia="宋体"/>
                      <w:sz w:val="21"/>
                      <w:szCs w:val="21"/>
                    </w:rPr>
                    <w:t>0.3636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31" w:type="pct"/>
                  <w:vMerge w:val="continue"/>
                  <w:tcBorders>
                    <w:left w:val="nil"/>
                    <w:right w:val="single" w:color="auto" w:sz="4" w:space="0"/>
                  </w:tcBorders>
                  <w:vAlign w:val="center"/>
                </w:tcPr>
                <w:p>
                  <w:pPr>
                    <w:pStyle w:val="64"/>
                    <w:rPr>
                      <w:rFonts w:ascii="Times New Roman" w:hAnsi="Times New Roman" w:eastAsia="宋体"/>
                      <w:sz w:val="21"/>
                      <w:szCs w:val="21"/>
                    </w:rPr>
                  </w:pPr>
                </w:p>
              </w:tc>
              <w:tc>
                <w:tcPr>
                  <w:tcW w:w="468" w:type="pct"/>
                  <w:vMerge w:val="continue"/>
                  <w:tcBorders>
                    <w:left w:val="single" w:color="auto" w:sz="4" w:space="0"/>
                    <w:right w:val="single" w:color="auto" w:sz="4" w:space="0"/>
                  </w:tcBorders>
                  <w:vAlign w:val="center"/>
                </w:tcPr>
                <w:p>
                  <w:pPr>
                    <w:snapToGrid w:val="0"/>
                    <w:jc w:val="center"/>
                    <w:rPr>
                      <w:szCs w:val="21"/>
                    </w:rPr>
                  </w:pPr>
                </w:p>
              </w:tc>
              <w:tc>
                <w:tcPr>
                  <w:tcW w:w="654" w:type="pct"/>
                  <w:vMerge w:val="continue"/>
                  <w:tcBorders>
                    <w:left w:val="single" w:color="auto" w:sz="4" w:space="0"/>
                    <w:right w:val="single" w:color="auto" w:sz="4" w:space="0"/>
                  </w:tcBorders>
                  <w:vAlign w:val="center"/>
                </w:tcPr>
                <w:p>
                  <w:pPr>
                    <w:pStyle w:val="64"/>
                    <w:rPr>
                      <w:rFonts w:ascii="Times New Roman" w:hAnsi="Times New Roman" w:eastAsia="宋体"/>
                      <w:sz w:val="21"/>
                      <w:szCs w:val="21"/>
                    </w:rPr>
                  </w:pPr>
                </w:p>
              </w:tc>
              <w:tc>
                <w:tcPr>
                  <w:tcW w:w="87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颗粒物</w:t>
                  </w:r>
                </w:p>
              </w:tc>
              <w:tc>
                <w:tcPr>
                  <w:tcW w:w="787" w:type="pct"/>
                  <w:tcBorders>
                    <w:top w:val="single" w:color="auto" w:sz="4" w:space="0"/>
                    <w:left w:val="single" w:color="auto" w:sz="4" w:space="0"/>
                    <w:bottom w:val="single" w:color="auto" w:sz="4" w:space="0"/>
                    <w:right w:val="single" w:color="auto" w:sz="4" w:space="0"/>
                  </w:tcBorders>
                  <w:vAlign w:val="center"/>
                </w:tcPr>
                <w:p>
                  <w:pPr>
                    <w:pStyle w:val="64"/>
                    <w:rPr>
                      <w:rFonts w:ascii="Times New Roman" w:hAnsi="Times New Roman" w:eastAsia="宋体"/>
                      <w:sz w:val="21"/>
                      <w:szCs w:val="21"/>
                    </w:rPr>
                  </w:pPr>
                  <w:r>
                    <w:rPr>
                      <w:rFonts w:ascii="Times New Roman" w:hAnsi="Times New Roman" w:eastAsia="宋体"/>
                      <w:sz w:val="21"/>
                      <w:szCs w:val="21"/>
                    </w:rPr>
                    <w:t>12.99</w:t>
                  </w:r>
                </w:p>
              </w:tc>
              <w:tc>
                <w:tcPr>
                  <w:tcW w:w="857" w:type="pct"/>
                  <w:tcBorders>
                    <w:top w:val="single" w:color="auto" w:sz="4" w:space="0"/>
                    <w:left w:val="single" w:color="auto" w:sz="4" w:space="0"/>
                    <w:bottom w:val="single" w:color="auto" w:sz="4" w:space="0"/>
                    <w:right w:val="single" w:color="auto" w:sz="4" w:space="0"/>
                  </w:tcBorders>
                  <w:vAlign w:val="center"/>
                </w:tcPr>
                <w:p>
                  <w:pPr>
                    <w:pStyle w:val="64"/>
                    <w:rPr>
                      <w:rFonts w:ascii="Times New Roman" w:hAnsi="Times New Roman" w:eastAsia="宋体"/>
                      <w:sz w:val="21"/>
                      <w:szCs w:val="21"/>
                    </w:rPr>
                  </w:pPr>
                  <w:r>
                    <w:rPr>
                      <w:rFonts w:ascii="Times New Roman" w:hAnsi="Times New Roman" w:eastAsia="宋体"/>
                      <w:sz w:val="21"/>
                      <w:szCs w:val="21"/>
                    </w:rPr>
                    <w:t>0.026</w:t>
                  </w:r>
                </w:p>
              </w:tc>
              <w:tc>
                <w:tcPr>
                  <w:tcW w:w="730" w:type="pct"/>
                  <w:tcBorders>
                    <w:top w:val="single" w:color="auto" w:sz="4" w:space="0"/>
                    <w:left w:val="single" w:color="auto" w:sz="4" w:space="0"/>
                    <w:bottom w:val="single" w:color="auto" w:sz="4" w:space="0"/>
                    <w:right w:val="nil"/>
                  </w:tcBorders>
                  <w:vAlign w:val="center"/>
                </w:tcPr>
                <w:p>
                  <w:pPr>
                    <w:pStyle w:val="64"/>
                    <w:rPr>
                      <w:rFonts w:ascii="Times New Roman" w:hAnsi="Times New Roman" w:eastAsia="宋体"/>
                      <w:sz w:val="21"/>
                      <w:szCs w:val="21"/>
                    </w:rPr>
                  </w:pPr>
                  <w:r>
                    <w:rPr>
                      <w:rFonts w:ascii="Times New Roman" w:hAnsi="Times New Roman" w:eastAsia="宋体"/>
                      <w:sz w:val="21"/>
                      <w:szCs w:val="21"/>
                    </w:rPr>
                    <w:t>0.168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31" w:type="pct"/>
                  <w:vMerge w:val="continue"/>
                  <w:tcBorders>
                    <w:left w:val="nil"/>
                    <w:bottom w:val="single" w:color="auto" w:sz="12" w:space="0"/>
                    <w:right w:val="single" w:color="auto" w:sz="4" w:space="0"/>
                  </w:tcBorders>
                  <w:vAlign w:val="center"/>
                </w:tcPr>
                <w:p>
                  <w:pPr>
                    <w:pStyle w:val="64"/>
                    <w:rPr>
                      <w:rFonts w:ascii="Times New Roman" w:hAnsi="Times New Roman" w:eastAsia="宋体"/>
                      <w:sz w:val="21"/>
                      <w:szCs w:val="21"/>
                    </w:rPr>
                  </w:pPr>
                </w:p>
              </w:tc>
              <w:tc>
                <w:tcPr>
                  <w:tcW w:w="468" w:type="pct"/>
                  <w:vMerge w:val="continue"/>
                  <w:tcBorders>
                    <w:left w:val="single" w:color="auto" w:sz="4" w:space="0"/>
                    <w:bottom w:val="single" w:color="auto" w:sz="12" w:space="0"/>
                    <w:right w:val="single" w:color="auto" w:sz="4" w:space="0"/>
                  </w:tcBorders>
                  <w:vAlign w:val="center"/>
                </w:tcPr>
                <w:p>
                  <w:pPr>
                    <w:snapToGrid w:val="0"/>
                    <w:jc w:val="center"/>
                    <w:rPr>
                      <w:szCs w:val="21"/>
                    </w:rPr>
                  </w:pPr>
                </w:p>
              </w:tc>
              <w:tc>
                <w:tcPr>
                  <w:tcW w:w="654" w:type="pct"/>
                  <w:vMerge w:val="continue"/>
                  <w:tcBorders>
                    <w:left w:val="single" w:color="auto" w:sz="4" w:space="0"/>
                    <w:bottom w:val="single" w:color="auto" w:sz="12" w:space="0"/>
                    <w:right w:val="single" w:color="auto" w:sz="4" w:space="0"/>
                  </w:tcBorders>
                  <w:vAlign w:val="center"/>
                </w:tcPr>
                <w:p>
                  <w:pPr>
                    <w:pStyle w:val="64"/>
                    <w:rPr>
                      <w:rFonts w:ascii="Times New Roman" w:hAnsi="Times New Roman" w:eastAsia="宋体"/>
                      <w:sz w:val="21"/>
                      <w:szCs w:val="21"/>
                    </w:rPr>
                  </w:pPr>
                </w:p>
              </w:tc>
              <w:tc>
                <w:tcPr>
                  <w:tcW w:w="871"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szCs w:val="21"/>
                    </w:rPr>
                  </w:pPr>
                  <w:r>
                    <w:rPr>
                      <w:szCs w:val="21"/>
                    </w:rPr>
                    <w:t>二氧化硫</w:t>
                  </w:r>
                </w:p>
              </w:tc>
              <w:tc>
                <w:tcPr>
                  <w:tcW w:w="787" w:type="pct"/>
                  <w:tcBorders>
                    <w:top w:val="single" w:color="auto" w:sz="4" w:space="0"/>
                    <w:left w:val="single" w:color="auto" w:sz="4" w:space="0"/>
                    <w:bottom w:val="single" w:color="auto" w:sz="12" w:space="0"/>
                    <w:right w:val="single" w:color="auto" w:sz="4" w:space="0"/>
                  </w:tcBorders>
                  <w:vAlign w:val="center"/>
                </w:tcPr>
                <w:p>
                  <w:pPr>
                    <w:pStyle w:val="64"/>
                    <w:rPr>
                      <w:rFonts w:ascii="Times New Roman" w:hAnsi="Times New Roman" w:eastAsia="宋体"/>
                      <w:sz w:val="21"/>
                      <w:szCs w:val="21"/>
                    </w:rPr>
                  </w:pPr>
                  <w:r>
                    <w:rPr>
                      <w:rFonts w:ascii="Times New Roman" w:hAnsi="Times New Roman" w:eastAsia="宋体"/>
                      <w:sz w:val="21"/>
                      <w:szCs w:val="21"/>
                    </w:rPr>
                    <w:t>18.56</w:t>
                  </w:r>
                </w:p>
              </w:tc>
              <w:tc>
                <w:tcPr>
                  <w:tcW w:w="857" w:type="pct"/>
                  <w:tcBorders>
                    <w:top w:val="single" w:color="auto" w:sz="4" w:space="0"/>
                    <w:left w:val="single" w:color="auto" w:sz="4" w:space="0"/>
                    <w:bottom w:val="single" w:color="auto" w:sz="12" w:space="0"/>
                    <w:right w:val="single" w:color="auto" w:sz="4" w:space="0"/>
                  </w:tcBorders>
                  <w:vAlign w:val="center"/>
                </w:tcPr>
                <w:p>
                  <w:pPr>
                    <w:pStyle w:val="64"/>
                    <w:rPr>
                      <w:rFonts w:ascii="Times New Roman" w:hAnsi="Times New Roman" w:eastAsia="宋体"/>
                      <w:sz w:val="21"/>
                      <w:szCs w:val="21"/>
                    </w:rPr>
                  </w:pPr>
                  <w:r>
                    <w:rPr>
                      <w:rFonts w:ascii="Times New Roman" w:hAnsi="Times New Roman" w:eastAsia="宋体"/>
                      <w:sz w:val="21"/>
                      <w:szCs w:val="21"/>
                    </w:rPr>
                    <w:t>0.037</w:t>
                  </w:r>
                </w:p>
              </w:tc>
              <w:tc>
                <w:tcPr>
                  <w:tcW w:w="730" w:type="pct"/>
                  <w:tcBorders>
                    <w:top w:val="single" w:color="auto" w:sz="4" w:space="0"/>
                    <w:left w:val="single" w:color="auto" w:sz="4" w:space="0"/>
                    <w:bottom w:val="single" w:color="auto" w:sz="12" w:space="0"/>
                    <w:right w:val="nil"/>
                  </w:tcBorders>
                  <w:vAlign w:val="center"/>
                </w:tcPr>
                <w:p>
                  <w:pPr>
                    <w:pStyle w:val="64"/>
                    <w:rPr>
                      <w:rFonts w:ascii="Times New Roman" w:hAnsi="Times New Roman" w:eastAsia="宋体"/>
                      <w:sz w:val="21"/>
                      <w:szCs w:val="21"/>
                    </w:rPr>
                  </w:pPr>
                  <w:r>
                    <w:rPr>
                      <w:rFonts w:ascii="Times New Roman" w:hAnsi="Times New Roman" w:eastAsia="宋体"/>
                      <w:sz w:val="21"/>
                      <w:szCs w:val="21"/>
                    </w:rPr>
                    <w:t>0.24</w:t>
                  </w:r>
                </w:p>
              </w:tc>
            </w:tr>
          </w:tbl>
          <w:p>
            <w:pPr>
              <w:adjustRightInd w:val="0"/>
              <w:snapToGrid w:val="0"/>
              <w:spacing w:line="360" w:lineRule="auto"/>
              <w:ind w:left="482"/>
              <w:rPr>
                <w:sz w:val="24"/>
                <w:szCs w:val="22"/>
              </w:rPr>
            </w:pPr>
            <w:r>
              <w:rPr>
                <w:sz w:val="24"/>
                <w:szCs w:val="22"/>
              </w:rPr>
              <w:t>（2）</w:t>
            </w:r>
            <w:r>
              <w:rPr>
                <w:bCs/>
                <w:sz w:val="24"/>
              </w:rPr>
              <w:t>达标情况分析</w:t>
            </w:r>
          </w:p>
          <w:p>
            <w:pPr>
              <w:adjustRightInd w:val="0"/>
              <w:snapToGrid w:val="0"/>
              <w:spacing w:line="360" w:lineRule="auto"/>
              <w:ind w:firstLine="480" w:firstLineChars="200"/>
              <w:jc w:val="left"/>
              <w:rPr>
                <w:sz w:val="24"/>
                <w:szCs w:val="22"/>
              </w:rPr>
            </w:pPr>
            <w:r>
              <w:rPr>
                <w:sz w:val="24"/>
                <w:szCs w:val="22"/>
              </w:rPr>
              <w:t>本项目锅炉配套了低氮燃烧器，天然气燃烧废气通过</w:t>
            </w:r>
            <w:r>
              <w:rPr>
                <w:rFonts w:hint="eastAsia"/>
                <w:sz w:val="24"/>
                <w:szCs w:val="22"/>
                <w:lang w:val="en-US" w:eastAsia="zh-CN"/>
              </w:rPr>
              <w:t>30</w:t>
            </w:r>
            <w:r>
              <w:rPr>
                <w:sz w:val="24"/>
                <w:szCs w:val="22"/>
              </w:rPr>
              <w:t>m高的排气筒（FQ-5）直接排放，</w:t>
            </w:r>
            <w:r>
              <w:rPr>
                <w:sz w:val="24"/>
              </w:rPr>
              <w:t>排放量等于产生量</w:t>
            </w:r>
            <w:r>
              <w:rPr>
                <w:sz w:val="24"/>
                <w:highlight w:val="none"/>
              </w:rPr>
              <w:t>，排放浓度见表4-</w:t>
            </w:r>
            <w:r>
              <w:rPr>
                <w:rFonts w:hint="eastAsia"/>
                <w:sz w:val="24"/>
                <w:highlight w:val="none"/>
                <w:lang w:val="en-US" w:eastAsia="zh-CN"/>
              </w:rPr>
              <w:t>2</w:t>
            </w:r>
            <w:r>
              <w:rPr>
                <w:sz w:val="24"/>
                <w:highlight w:val="none"/>
              </w:rPr>
              <w:t>，排</w:t>
            </w:r>
            <w:r>
              <w:rPr>
                <w:sz w:val="24"/>
              </w:rPr>
              <w:t>放浓度能够满足</w:t>
            </w:r>
            <w:r>
              <w:rPr>
                <w:spacing w:val="-3"/>
                <w:sz w:val="24"/>
              </w:rPr>
              <w:t>《锅炉大气污染物排放标准》（GB13271-2014）中表3大气污染物特别排放限值及《2020年常州市打好污染防治攻坚战工作方案》（常政发（2020）29号）排放要求。</w:t>
            </w:r>
          </w:p>
          <w:p>
            <w:pPr>
              <w:adjustRightInd w:val="0"/>
              <w:snapToGrid w:val="0"/>
              <w:spacing w:line="360" w:lineRule="auto"/>
              <w:ind w:left="482"/>
              <w:rPr>
                <w:sz w:val="24"/>
                <w:szCs w:val="22"/>
              </w:rPr>
            </w:pPr>
            <w:r>
              <w:rPr>
                <w:sz w:val="24"/>
                <w:szCs w:val="22"/>
              </w:rPr>
              <w:t>（3）</w:t>
            </w:r>
            <w:r>
              <w:rPr>
                <w:bCs/>
                <w:sz w:val="24"/>
              </w:rPr>
              <w:t>污染防治措施可行性分析</w:t>
            </w:r>
          </w:p>
          <w:p>
            <w:pPr>
              <w:adjustRightInd w:val="0"/>
              <w:snapToGrid w:val="0"/>
              <w:spacing w:line="360" w:lineRule="auto"/>
              <w:ind w:firstLine="480" w:firstLineChars="200"/>
              <w:jc w:val="left"/>
              <w:rPr>
                <w:spacing w:val="-3"/>
                <w:sz w:val="24"/>
              </w:rPr>
            </w:pPr>
            <w:r>
              <w:rPr>
                <w:bCs/>
                <w:sz w:val="24"/>
              </w:rPr>
              <w:t>本项目锅炉废气中的氮氧化物采用低氮燃烧技术处理，属于</w:t>
            </w:r>
            <w:r>
              <w:rPr>
                <w:sz w:val="24"/>
              </w:rPr>
              <w:t>《排污许可证申请与核发技术规范 锅炉》(HJ953—2</w:t>
            </w:r>
            <w:r>
              <w:rPr>
                <w:spacing w:val="-3"/>
                <w:sz w:val="24"/>
              </w:rPr>
              <w:t>018)表7中的污染防治可行技术。</w:t>
            </w:r>
          </w:p>
          <w:p>
            <w:pPr>
              <w:adjustRightInd w:val="0"/>
              <w:snapToGrid w:val="0"/>
              <w:spacing w:line="360" w:lineRule="auto"/>
              <w:ind w:firstLine="470" w:firstLineChars="200"/>
              <w:jc w:val="left"/>
              <w:rPr>
                <w:b/>
                <w:bCs/>
                <w:spacing w:val="-3"/>
                <w:sz w:val="24"/>
              </w:rPr>
            </w:pPr>
            <w:r>
              <w:rPr>
                <w:b/>
                <w:bCs/>
                <w:spacing w:val="-3"/>
                <w:sz w:val="24"/>
              </w:rPr>
              <w:t>低氮燃烧器工作原理：</w:t>
            </w:r>
          </w:p>
          <w:p>
            <w:pPr>
              <w:adjustRightInd w:val="0"/>
              <w:snapToGrid w:val="0"/>
              <w:spacing w:line="360" w:lineRule="auto"/>
              <w:ind w:firstLine="468" w:firstLineChars="200"/>
              <w:jc w:val="left"/>
              <w:rPr>
                <w:sz w:val="24"/>
                <w:szCs w:val="22"/>
              </w:rPr>
            </w:pPr>
            <w:r>
              <w:rPr>
                <w:spacing w:val="-3"/>
                <w:sz w:val="24"/>
              </w:rPr>
              <w:t>天然气燃料在燃烧过程中，氮气在高温下持续氧化生成</w:t>
            </w:r>
            <w:r>
              <w:rPr>
                <w:rFonts w:hint="eastAsia"/>
                <w:spacing w:val="-3"/>
                <w:sz w:val="24"/>
              </w:rPr>
              <w:t>氮氧化物</w:t>
            </w:r>
            <w:r>
              <w:rPr>
                <w:spacing w:val="-3"/>
                <w:sz w:val="24"/>
              </w:rPr>
              <w:t>。数据显示，当温度低于1500℃时，</w:t>
            </w:r>
            <w:r>
              <w:rPr>
                <w:rFonts w:hint="eastAsia"/>
                <w:spacing w:val="-3"/>
                <w:sz w:val="24"/>
              </w:rPr>
              <w:t>氮氧化物</w:t>
            </w:r>
            <w:r>
              <w:rPr>
                <w:spacing w:val="-3"/>
                <w:sz w:val="24"/>
              </w:rPr>
              <w:t>生成量很少；高于1500℃时，温度每升高100℃，</w:t>
            </w:r>
            <w:r>
              <w:rPr>
                <w:rFonts w:hint="eastAsia"/>
                <w:spacing w:val="-3"/>
                <w:sz w:val="24"/>
              </w:rPr>
              <w:t>氮氧化物</w:t>
            </w:r>
            <w:r>
              <w:rPr>
                <w:spacing w:val="-3"/>
                <w:sz w:val="24"/>
              </w:rPr>
              <w:t>生成速度将增大6～7倍。在实际燃</w:t>
            </w:r>
            <w:r>
              <w:rPr>
                <w:sz w:val="24"/>
                <w:szCs w:val="22"/>
              </w:rPr>
              <w:t>烧过程中，由于燃烧室内温度分布不均匀，如果出现局部高温区，则在该区域会生成较多</w:t>
            </w:r>
            <w:r>
              <w:rPr>
                <w:rFonts w:hint="eastAsia"/>
                <w:spacing w:val="-3"/>
                <w:sz w:val="24"/>
              </w:rPr>
              <w:t>氮氧化物</w:t>
            </w:r>
            <w:r>
              <w:rPr>
                <w:sz w:val="24"/>
                <w:szCs w:val="22"/>
              </w:rPr>
              <w:t>。</w:t>
            </w:r>
          </w:p>
          <w:p>
            <w:pPr>
              <w:adjustRightInd w:val="0"/>
              <w:snapToGrid w:val="0"/>
              <w:spacing w:line="360" w:lineRule="auto"/>
              <w:ind w:firstLine="480" w:firstLineChars="200"/>
              <w:jc w:val="left"/>
              <w:rPr>
                <w:sz w:val="24"/>
                <w:szCs w:val="22"/>
              </w:rPr>
            </w:pPr>
            <w:r>
              <w:rPr>
                <w:sz w:val="24"/>
                <w:szCs w:val="22"/>
              </w:rPr>
              <w:t>针对这</w:t>
            </w:r>
            <w:r>
              <w:rPr>
                <w:rFonts w:hint="eastAsia"/>
                <w:sz w:val="24"/>
                <w:szCs w:val="22"/>
              </w:rPr>
              <w:t>种现象</w:t>
            </w:r>
            <w:r>
              <w:rPr>
                <w:sz w:val="24"/>
                <w:szCs w:val="22"/>
              </w:rPr>
              <w:t>，目前现有的低氮燃烧技术主要围绕降低燃烧温度开展，包括烟气再循环技术、分级燃烧技术、预混燃烧等技术。</w:t>
            </w:r>
          </w:p>
          <w:p>
            <w:pPr>
              <w:adjustRightInd w:val="0"/>
              <w:snapToGrid w:val="0"/>
              <w:spacing w:line="360" w:lineRule="auto"/>
              <w:ind w:firstLine="480" w:firstLineChars="200"/>
              <w:jc w:val="left"/>
              <w:rPr>
                <w:sz w:val="24"/>
                <w:szCs w:val="22"/>
              </w:rPr>
            </w:pPr>
            <w:r>
              <w:rPr>
                <w:sz w:val="24"/>
                <w:szCs w:val="22"/>
              </w:rPr>
              <w:t>目前应用最广泛的低氮燃烧技术是烟气再循环技术，烟气再循环分为</w:t>
            </w:r>
            <w:r>
              <w:rPr>
                <w:rFonts w:hint="eastAsia"/>
                <w:sz w:val="24"/>
                <w:szCs w:val="22"/>
              </w:rPr>
              <w:t>内</w:t>
            </w:r>
            <w:r>
              <w:rPr>
                <w:sz w:val="24"/>
                <w:szCs w:val="22"/>
              </w:rPr>
              <w:t>部循环和</w:t>
            </w:r>
            <w:r>
              <w:rPr>
                <w:rFonts w:hint="eastAsia"/>
                <w:sz w:val="24"/>
                <w:szCs w:val="22"/>
              </w:rPr>
              <w:t>外</w:t>
            </w:r>
            <w:r>
              <w:rPr>
                <w:sz w:val="24"/>
                <w:szCs w:val="22"/>
              </w:rPr>
              <w:t>部循环，内部烟气再循环需通过燃烧器与炉膛总体结构化设计，通过燃烧器和炉膛的结构化设计，主要燃气和空气的高速射流卷吸效应，使得烟气在炉膛内形成回流，参与二次燃烧。外部烟气再循环通过一个外部管道，连接烟道、空气风门两侧，使得烟气与空气进行混合后，进入燃烧区。其主要原理就是提取一部分烟气送回燃烧区，利用惰性气体稀释燃烧区氧浓度、降低燃烧区温度，从而降低燃烧过程</w:t>
            </w:r>
            <w:r>
              <w:rPr>
                <w:rFonts w:hint="eastAsia"/>
                <w:sz w:val="24"/>
                <w:szCs w:val="22"/>
              </w:rPr>
              <w:t>氮氧化物</w:t>
            </w:r>
            <w:r>
              <w:rPr>
                <w:sz w:val="24"/>
                <w:szCs w:val="22"/>
              </w:rPr>
              <w:t>的生成。</w:t>
            </w:r>
          </w:p>
          <w:p>
            <w:pPr>
              <w:snapToGrid w:val="0"/>
              <w:spacing w:line="360" w:lineRule="auto"/>
              <w:ind w:firstLine="420"/>
              <w:rPr>
                <w:bCs/>
                <w:kern w:val="0"/>
                <w:sz w:val="24"/>
              </w:rPr>
            </w:pPr>
            <w:r>
              <w:rPr>
                <w:bCs/>
                <w:kern w:val="0"/>
                <w:sz w:val="24"/>
              </w:rPr>
              <w:t>（4）排放口基本情况</w:t>
            </w:r>
          </w:p>
          <w:p>
            <w:pPr>
              <w:autoSpaceDE w:val="0"/>
              <w:snapToGrid w:val="0"/>
              <w:jc w:val="center"/>
              <w:rPr>
                <w:b/>
                <w:color w:val="0000FF"/>
                <w:sz w:val="24"/>
              </w:rPr>
            </w:pPr>
            <w:r>
              <w:rPr>
                <w:b/>
                <w:sz w:val="24"/>
              </w:rPr>
              <w:t>表4-</w:t>
            </w:r>
            <w:r>
              <w:rPr>
                <w:rFonts w:hint="eastAsia"/>
                <w:b/>
                <w:sz w:val="24"/>
                <w:lang w:val="en-US" w:eastAsia="zh-CN"/>
              </w:rPr>
              <w:t>3</w:t>
            </w:r>
            <w:r>
              <w:rPr>
                <w:b/>
                <w:sz w:val="24"/>
              </w:rPr>
              <w:t xml:space="preserve">  排放口基本情况表</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27"/>
              <w:gridCol w:w="701"/>
              <w:gridCol w:w="407"/>
              <w:gridCol w:w="587"/>
              <w:gridCol w:w="540"/>
              <w:gridCol w:w="804"/>
              <w:gridCol w:w="731"/>
              <w:gridCol w:w="708"/>
              <w:gridCol w:w="688"/>
              <w:gridCol w:w="1619"/>
              <w:gridCol w:w="12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 w:type="pct"/>
                  <w:vMerge w:val="restart"/>
                  <w:tcBorders>
                    <w:top w:val="single" w:color="auto" w:sz="12" w:space="0"/>
                    <w:left w:val="nil"/>
                    <w:bottom w:val="single" w:color="auto" w:sz="4" w:space="0"/>
                    <w:right w:val="single" w:color="auto" w:sz="4" w:space="0"/>
                  </w:tcBorders>
                  <w:vAlign w:val="center"/>
                </w:tcPr>
                <w:p>
                  <w:pPr>
                    <w:adjustRightInd w:val="0"/>
                    <w:snapToGrid w:val="0"/>
                    <w:jc w:val="center"/>
                    <w:rPr>
                      <w:b/>
                      <w:szCs w:val="21"/>
                    </w:rPr>
                  </w:pPr>
                  <w:r>
                    <w:rPr>
                      <w:b/>
                    </w:rPr>
                    <w:t>序号</w:t>
                  </w:r>
                </w:p>
              </w:tc>
              <w:tc>
                <w:tcPr>
                  <w:tcW w:w="3072" w:type="pct"/>
                  <w:gridSpan w:val="8"/>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b/>
                      <w:szCs w:val="21"/>
                    </w:rPr>
                  </w:pPr>
                  <w:r>
                    <w:rPr>
                      <w:b/>
                    </w:rPr>
                    <w:t>排放口基本情况</w:t>
                  </w:r>
                </w:p>
              </w:tc>
              <w:tc>
                <w:tcPr>
                  <w:tcW w:w="1732" w:type="pct"/>
                  <w:gridSpan w:val="2"/>
                  <w:tcBorders>
                    <w:top w:val="single" w:color="auto" w:sz="12" w:space="0"/>
                    <w:left w:val="single" w:color="auto" w:sz="4" w:space="0"/>
                    <w:bottom w:val="single" w:color="auto" w:sz="4" w:space="0"/>
                    <w:right w:val="nil"/>
                  </w:tcBorders>
                  <w:vAlign w:val="center"/>
                </w:tcPr>
                <w:p>
                  <w:pPr>
                    <w:adjustRightInd w:val="0"/>
                    <w:snapToGrid w:val="0"/>
                    <w:jc w:val="center"/>
                    <w:rPr>
                      <w:b/>
                    </w:rPr>
                  </w:pPr>
                  <w:r>
                    <w:rPr>
                      <w:b/>
                    </w:rPr>
                    <w:t>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 w:type="pct"/>
                  <w:vMerge w:val="continue"/>
                  <w:tcBorders>
                    <w:top w:val="single" w:color="auto" w:sz="12" w:space="0"/>
                    <w:left w:val="nil"/>
                    <w:bottom w:val="single" w:color="auto" w:sz="4" w:space="0"/>
                    <w:right w:val="single" w:color="auto" w:sz="4" w:space="0"/>
                  </w:tcBorders>
                  <w:vAlign w:val="center"/>
                </w:tcPr>
                <w:p>
                  <w:pPr>
                    <w:widowControl/>
                    <w:adjustRightInd w:val="0"/>
                    <w:snapToGrid w:val="0"/>
                    <w:jc w:val="center"/>
                    <w:rPr>
                      <w:b/>
                      <w:szCs w:val="21"/>
                    </w:rPr>
                  </w:pPr>
                </w:p>
              </w:tc>
              <w:tc>
                <w:tcPr>
                  <w:tcW w:w="41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szCs w:val="21"/>
                    </w:rPr>
                  </w:pPr>
                  <w:r>
                    <w:rPr>
                      <w:b/>
                    </w:rPr>
                    <w:t>编号及名称</w:t>
                  </w:r>
                </w:p>
              </w:tc>
              <w:tc>
                <w:tcPr>
                  <w:tcW w:w="242" w:type="pct"/>
                  <w:tcBorders>
                    <w:top w:val="single" w:color="auto" w:sz="4" w:space="0"/>
                    <w:left w:val="single" w:color="auto" w:sz="4" w:space="0"/>
                    <w:right w:val="single" w:color="auto" w:sz="4" w:space="0"/>
                  </w:tcBorders>
                  <w:vAlign w:val="center"/>
                </w:tcPr>
                <w:p>
                  <w:pPr>
                    <w:adjustRightInd w:val="0"/>
                    <w:snapToGrid w:val="0"/>
                    <w:jc w:val="center"/>
                    <w:rPr>
                      <w:b/>
                      <w:szCs w:val="21"/>
                    </w:rPr>
                  </w:pPr>
                  <w:r>
                    <w:rPr>
                      <w:b/>
                    </w:rPr>
                    <w:t>类型</w:t>
                  </w:r>
                </w:p>
              </w:tc>
              <w:tc>
                <w:tcPr>
                  <w:tcW w:w="349" w:type="pct"/>
                  <w:tcBorders>
                    <w:top w:val="single" w:color="auto" w:sz="4" w:space="0"/>
                    <w:left w:val="single" w:color="auto" w:sz="4" w:space="0"/>
                    <w:right w:val="single" w:color="auto" w:sz="4" w:space="0"/>
                  </w:tcBorders>
                  <w:vAlign w:val="center"/>
                </w:tcPr>
                <w:p>
                  <w:pPr>
                    <w:adjustRightInd w:val="0"/>
                    <w:snapToGrid w:val="0"/>
                    <w:jc w:val="center"/>
                    <w:rPr>
                      <w:b/>
                    </w:rPr>
                  </w:pPr>
                  <w:r>
                    <w:rPr>
                      <w:b/>
                    </w:rPr>
                    <w:t>经度</w:t>
                  </w:r>
                </w:p>
              </w:tc>
              <w:tc>
                <w:tcPr>
                  <w:tcW w:w="321" w:type="pct"/>
                  <w:tcBorders>
                    <w:top w:val="single" w:color="auto" w:sz="4" w:space="0"/>
                    <w:left w:val="single" w:color="auto" w:sz="4" w:space="0"/>
                    <w:right w:val="single" w:color="auto" w:sz="4" w:space="0"/>
                  </w:tcBorders>
                  <w:vAlign w:val="center"/>
                </w:tcPr>
                <w:p>
                  <w:pPr>
                    <w:adjustRightInd w:val="0"/>
                    <w:snapToGrid w:val="0"/>
                    <w:jc w:val="center"/>
                    <w:rPr>
                      <w:b/>
                    </w:rPr>
                  </w:pPr>
                  <w:r>
                    <w:rPr>
                      <w:b/>
                    </w:rPr>
                    <w:t>纬度</w:t>
                  </w:r>
                </w:p>
              </w:tc>
              <w:tc>
                <w:tcPr>
                  <w:tcW w:w="47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szCs w:val="21"/>
                    </w:rPr>
                  </w:pPr>
                  <w:r>
                    <w:rPr>
                      <w:b/>
                    </w:rPr>
                    <w:t>排气筒高度（m）</w:t>
                  </w:r>
                </w:p>
              </w:tc>
              <w:tc>
                <w:tcPr>
                  <w:tcW w:w="43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szCs w:val="21"/>
                    </w:rPr>
                  </w:pPr>
                  <w:r>
                    <w:rPr>
                      <w:b/>
                    </w:rPr>
                    <w:t>出口内径（m）</w:t>
                  </w:r>
                </w:p>
              </w:tc>
              <w:tc>
                <w:tcPr>
                  <w:tcW w:w="42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szCs w:val="21"/>
                    </w:rPr>
                  </w:pPr>
                  <w:r>
                    <w:rPr>
                      <w:b/>
                    </w:rPr>
                    <w:t>排气温度/℃</w:t>
                  </w:r>
                </w:p>
              </w:tc>
              <w:tc>
                <w:tcPr>
                  <w:tcW w:w="40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szCs w:val="21"/>
                    </w:rPr>
                  </w:pPr>
                  <w:r>
                    <w:rPr>
                      <w:b/>
                    </w:rPr>
                    <w:t>污染物</w:t>
                  </w:r>
                </w:p>
              </w:tc>
              <w:tc>
                <w:tcPr>
                  <w:tcW w:w="96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rPr>
                  </w:pPr>
                  <w:r>
                    <w:rPr>
                      <w:b/>
                    </w:rPr>
                    <w:t>标准名称</w:t>
                  </w:r>
                </w:p>
              </w:tc>
              <w:tc>
                <w:tcPr>
                  <w:tcW w:w="768" w:type="pct"/>
                  <w:tcBorders>
                    <w:top w:val="single" w:color="auto" w:sz="4" w:space="0"/>
                    <w:left w:val="single" w:color="auto" w:sz="4" w:space="0"/>
                    <w:bottom w:val="single" w:color="auto" w:sz="4" w:space="0"/>
                    <w:right w:val="nil"/>
                  </w:tcBorders>
                  <w:vAlign w:val="center"/>
                </w:tcPr>
                <w:p>
                  <w:pPr>
                    <w:adjustRightInd w:val="0"/>
                    <w:snapToGrid w:val="0"/>
                    <w:jc w:val="center"/>
                    <w:rPr>
                      <w:b/>
                    </w:rPr>
                  </w:pPr>
                  <w:r>
                    <w:rPr>
                      <w:b/>
                    </w:rPr>
                    <w:t>浓度限值（mg/Nm</w:t>
                  </w:r>
                  <w:r>
                    <w:rPr>
                      <w:b/>
                      <w:vertAlign w:val="superscript"/>
                    </w:rPr>
                    <w:t>3</w:t>
                  </w:r>
                  <w:r>
                    <w:rPr>
                      <w:b/>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 w:type="pct"/>
                  <w:vMerge w:val="restart"/>
                  <w:tcBorders>
                    <w:top w:val="single" w:color="auto" w:sz="4" w:space="0"/>
                    <w:left w:val="nil"/>
                    <w:right w:val="single" w:color="auto" w:sz="4" w:space="0"/>
                  </w:tcBorders>
                  <w:vAlign w:val="center"/>
                </w:tcPr>
                <w:p>
                  <w:pPr>
                    <w:adjustRightInd w:val="0"/>
                    <w:snapToGrid w:val="0"/>
                    <w:jc w:val="center"/>
                  </w:pPr>
                  <w:r>
                    <w:t>1</w:t>
                  </w:r>
                </w:p>
              </w:tc>
              <w:tc>
                <w:tcPr>
                  <w:tcW w:w="417" w:type="pct"/>
                  <w:vMerge w:val="restart"/>
                  <w:tcBorders>
                    <w:top w:val="single" w:color="auto" w:sz="2" w:space="0"/>
                    <w:left w:val="single" w:color="auto" w:sz="4" w:space="0"/>
                    <w:right w:val="single" w:color="auto" w:sz="4" w:space="0"/>
                  </w:tcBorders>
                  <w:vAlign w:val="center"/>
                </w:tcPr>
                <w:p>
                  <w:pPr>
                    <w:adjustRightInd w:val="0"/>
                    <w:snapToGrid w:val="0"/>
                    <w:jc w:val="center"/>
                  </w:pPr>
                  <w:r>
                    <w:t>FQ-5排气筒</w:t>
                  </w:r>
                </w:p>
              </w:tc>
              <w:tc>
                <w:tcPr>
                  <w:tcW w:w="242" w:type="pct"/>
                  <w:vMerge w:val="restart"/>
                  <w:tcBorders>
                    <w:top w:val="single" w:color="auto" w:sz="2" w:space="0"/>
                    <w:left w:val="single" w:color="auto" w:sz="4" w:space="0"/>
                    <w:right w:val="single" w:color="auto" w:sz="4" w:space="0"/>
                  </w:tcBorders>
                  <w:vAlign w:val="center"/>
                </w:tcPr>
                <w:p>
                  <w:pPr>
                    <w:adjustRightInd w:val="0"/>
                    <w:snapToGrid w:val="0"/>
                    <w:jc w:val="center"/>
                  </w:pPr>
                  <w:r>
                    <w:t>一般排放口</w:t>
                  </w:r>
                </w:p>
              </w:tc>
              <w:tc>
                <w:tcPr>
                  <w:tcW w:w="349" w:type="pct"/>
                  <w:vMerge w:val="restart"/>
                  <w:tcBorders>
                    <w:left w:val="single" w:color="auto" w:sz="4" w:space="0"/>
                    <w:right w:val="single" w:color="auto" w:sz="4" w:space="0"/>
                  </w:tcBorders>
                  <w:vAlign w:val="center"/>
                </w:tcPr>
                <w:p>
                  <w:pPr>
                    <w:adjustRightInd w:val="0"/>
                    <w:snapToGrid w:val="0"/>
                    <w:ind w:left="-105" w:leftChars="-50" w:right="-105" w:rightChars="-50"/>
                    <w:jc w:val="center"/>
                  </w:pPr>
                  <w:r>
                    <w:t>119.98</w:t>
                  </w:r>
                </w:p>
              </w:tc>
              <w:tc>
                <w:tcPr>
                  <w:tcW w:w="321" w:type="pct"/>
                  <w:vMerge w:val="restart"/>
                  <w:tcBorders>
                    <w:left w:val="single" w:color="auto" w:sz="4" w:space="0"/>
                    <w:right w:val="single" w:color="auto" w:sz="4" w:space="0"/>
                  </w:tcBorders>
                  <w:vAlign w:val="center"/>
                </w:tcPr>
                <w:p>
                  <w:pPr>
                    <w:adjustRightInd w:val="0"/>
                    <w:snapToGrid w:val="0"/>
                    <w:ind w:left="-105" w:leftChars="-50" w:right="-105" w:rightChars="-50"/>
                    <w:jc w:val="center"/>
                  </w:pPr>
                  <w:r>
                    <w:t>31.63</w:t>
                  </w:r>
                </w:p>
              </w:tc>
              <w:tc>
                <w:tcPr>
                  <w:tcW w:w="478" w:type="pct"/>
                  <w:vMerge w:val="restart"/>
                  <w:tcBorders>
                    <w:top w:val="single" w:color="auto" w:sz="4" w:space="0"/>
                    <w:left w:val="single" w:color="auto" w:sz="4" w:space="0"/>
                    <w:right w:val="single" w:color="auto" w:sz="4" w:space="0"/>
                  </w:tcBorders>
                  <w:vAlign w:val="center"/>
                </w:tcPr>
                <w:p>
                  <w:pPr>
                    <w:adjustRightInd w:val="0"/>
                    <w:snapToGrid w:val="0"/>
                    <w:jc w:val="center"/>
                    <w:rPr>
                      <w:rFonts w:hint="default" w:eastAsia="宋体"/>
                      <w:lang w:val="en-US" w:eastAsia="zh-CN"/>
                    </w:rPr>
                  </w:pPr>
                  <w:r>
                    <w:rPr>
                      <w:rFonts w:hint="eastAsia"/>
                      <w:lang w:val="en-US" w:eastAsia="zh-CN"/>
                    </w:rPr>
                    <w:t>30</w:t>
                  </w:r>
                </w:p>
              </w:tc>
              <w:tc>
                <w:tcPr>
                  <w:tcW w:w="435" w:type="pct"/>
                  <w:vMerge w:val="restart"/>
                  <w:tcBorders>
                    <w:top w:val="single" w:color="auto" w:sz="4" w:space="0"/>
                    <w:left w:val="single" w:color="auto" w:sz="4" w:space="0"/>
                    <w:right w:val="single" w:color="auto" w:sz="4" w:space="0"/>
                  </w:tcBorders>
                  <w:vAlign w:val="center"/>
                </w:tcPr>
                <w:p>
                  <w:pPr>
                    <w:tabs>
                      <w:tab w:val="left" w:pos="1418"/>
                    </w:tabs>
                    <w:adjustRightInd w:val="0"/>
                    <w:snapToGrid w:val="0"/>
                    <w:ind w:left="-105" w:leftChars="-50" w:right="-105" w:rightChars="-50"/>
                    <w:jc w:val="center"/>
                    <w:rPr>
                      <w:rFonts w:hint="eastAsia" w:eastAsia="宋体"/>
                      <w:szCs w:val="21"/>
                      <w:lang w:eastAsia="zh-CN"/>
                    </w:rPr>
                  </w:pPr>
                  <w:r>
                    <w:rPr>
                      <w:rFonts w:hint="eastAsia"/>
                      <w:lang w:val="en-US" w:eastAsia="zh-CN"/>
                    </w:rPr>
                    <w:t>1</w:t>
                  </w:r>
                </w:p>
              </w:tc>
              <w:tc>
                <w:tcPr>
                  <w:tcW w:w="421" w:type="pct"/>
                  <w:vMerge w:val="restart"/>
                  <w:tcBorders>
                    <w:top w:val="single" w:color="auto" w:sz="4" w:space="0"/>
                    <w:left w:val="single" w:color="auto" w:sz="4" w:space="0"/>
                    <w:right w:val="single" w:color="auto" w:sz="4" w:space="0"/>
                  </w:tcBorders>
                  <w:vAlign w:val="center"/>
                </w:tcPr>
                <w:p>
                  <w:pPr>
                    <w:adjustRightInd w:val="0"/>
                    <w:snapToGrid w:val="0"/>
                    <w:jc w:val="center"/>
                  </w:pPr>
                  <w:r>
                    <w:t>111</w:t>
                  </w:r>
                </w:p>
              </w:tc>
              <w:tc>
                <w:tcPr>
                  <w:tcW w:w="40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氮氧化物</w:t>
                  </w:r>
                </w:p>
              </w:tc>
              <w:tc>
                <w:tcPr>
                  <w:tcW w:w="963" w:type="pct"/>
                  <w:tcBorders>
                    <w:left w:val="single" w:color="auto" w:sz="4" w:space="0"/>
                    <w:right w:val="single" w:color="auto" w:sz="4" w:space="0"/>
                  </w:tcBorders>
                  <w:vAlign w:val="center"/>
                </w:tcPr>
                <w:p>
                  <w:pPr>
                    <w:adjustRightInd w:val="0"/>
                    <w:snapToGrid w:val="0"/>
                    <w:jc w:val="center"/>
                    <w:rPr>
                      <w:szCs w:val="21"/>
                    </w:rPr>
                  </w:pPr>
                  <w:r>
                    <w:rPr>
                      <w:szCs w:val="21"/>
                    </w:rPr>
                    <w:t>《2020年常州市打好污染防治攻坚战工作方案》（常政发（2020）29号）</w:t>
                  </w:r>
                </w:p>
              </w:tc>
              <w:tc>
                <w:tcPr>
                  <w:tcW w:w="768" w:type="pct"/>
                  <w:tcBorders>
                    <w:left w:val="single" w:color="auto" w:sz="4" w:space="0"/>
                    <w:right w:val="nil"/>
                  </w:tcBorders>
                  <w:vAlign w:val="center"/>
                </w:tcPr>
                <w:p>
                  <w:pPr>
                    <w:adjustRightInd w:val="0"/>
                    <w:snapToGrid w:val="0"/>
                    <w:jc w:val="center"/>
                  </w:pPr>
                  <w: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 w:type="pct"/>
                  <w:vMerge w:val="continue"/>
                  <w:tcBorders>
                    <w:left w:val="nil"/>
                    <w:right w:val="single" w:color="auto" w:sz="4" w:space="0"/>
                  </w:tcBorders>
                  <w:vAlign w:val="center"/>
                </w:tcPr>
                <w:p>
                  <w:pPr>
                    <w:adjustRightInd w:val="0"/>
                    <w:snapToGrid w:val="0"/>
                    <w:jc w:val="center"/>
                  </w:pPr>
                </w:p>
              </w:tc>
              <w:tc>
                <w:tcPr>
                  <w:tcW w:w="417" w:type="pct"/>
                  <w:vMerge w:val="continue"/>
                  <w:tcBorders>
                    <w:left w:val="single" w:color="auto" w:sz="4" w:space="0"/>
                    <w:right w:val="single" w:color="auto" w:sz="4" w:space="0"/>
                  </w:tcBorders>
                  <w:vAlign w:val="center"/>
                </w:tcPr>
                <w:p>
                  <w:pPr>
                    <w:adjustRightInd w:val="0"/>
                    <w:snapToGrid w:val="0"/>
                    <w:jc w:val="center"/>
                  </w:pPr>
                </w:p>
              </w:tc>
              <w:tc>
                <w:tcPr>
                  <w:tcW w:w="242" w:type="pct"/>
                  <w:vMerge w:val="continue"/>
                  <w:tcBorders>
                    <w:left w:val="single" w:color="auto" w:sz="4" w:space="0"/>
                    <w:right w:val="single" w:color="auto" w:sz="4" w:space="0"/>
                  </w:tcBorders>
                  <w:vAlign w:val="center"/>
                </w:tcPr>
                <w:p>
                  <w:pPr>
                    <w:adjustRightInd w:val="0"/>
                    <w:snapToGrid w:val="0"/>
                    <w:jc w:val="center"/>
                  </w:pPr>
                </w:p>
              </w:tc>
              <w:tc>
                <w:tcPr>
                  <w:tcW w:w="349" w:type="pct"/>
                  <w:vMerge w:val="continue"/>
                  <w:tcBorders>
                    <w:left w:val="single" w:color="auto" w:sz="4" w:space="0"/>
                    <w:right w:val="single" w:color="auto" w:sz="4" w:space="0"/>
                  </w:tcBorders>
                  <w:vAlign w:val="center"/>
                </w:tcPr>
                <w:p>
                  <w:pPr>
                    <w:adjustRightInd w:val="0"/>
                    <w:snapToGrid w:val="0"/>
                    <w:ind w:left="-105" w:leftChars="-50" w:right="-105" w:rightChars="-50"/>
                    <w:jc w:val="center"/>
                  </w:pPr>
                </w:p>
              </w:tc>
              <w:tc>
                <w:tcPr>
                  <w:tcW w:w="321" w:type="pct"/>
                  <w:vMerge w:val="continue"/>
                  <w:tcBorders>
                    <w:left w:val="single" w:color="auto" w:sz="4" w:space="0"/>
                    <w:right w:val="single" w:color="auto" w:sz="4" w:space="0"/>
                  </w:tcBorders>
                  <w:vAlign w:val="center"/>
                </w:tcPr>
                <w:p>
                  <w:pPr>
                    <w:adjustRightInd w:val="0"/>
                    <w:snapToGrid w:val="0"/>
                    <w:ind w:left="-105" w:leftChars="-50" w:right="-105" w:rightChars="-50"/>
                    <w:jc w:val="center"/>
                  </w:pPr>
                </w:p>
              </w:tc>
              <w:tc>
                <w:tcPr>
                  <w:tcW w:w="478" w:type="pct"/>
                  <w:vMerge w:val="continue"/>
                  <w:tcBorders>
                    <w:left w:val="single" w:color="auto" w:sz="4" w:space="0"/>
                    <w:right w:val="single" w:color="auto" w:sz="4" w:space="0"/>
                  </w:tcBorders>
                  <w:vAlign w:val="center"/>
                </w:tcPr>
                <w:p>
                  <w:pPr>
                    <w:adjustRightInd w:val="0"/>
                    <w:snapToGrid w:val="0"/>
                    <w:jc w:val="center"/>
                  </w:pPr>
                </w:p>
              </w:tc>
              <w:tc>
                <w:tcPr>
                  <w:tcW w:w="435" w:type="pct"/>
                  <w:vMerge w:val="continue"/>
                  <w:tcBorders>
                    <w:left w:val="single" w:color="auto" w:sz="4" w:space="0"/>
                    <w:right w:val="single" w:color="auto" w:sz="4" w:space="0"/>
                  </w:tcBorders>
                  <w:vAlign w:val="center"/>
                </w:tcPr>
                <w:p>
                  <w:pPr>
                    <w:tabs>
                      <w:tab w:val="left" w:pos="1418"/>
                    </w:tabs>
                    <w:adjustRightInd w:val="0"/>
                    <w:snapToGrid w:val="0"/>
                    <w:ind w:left="-105" w:leftChars="-50" w:right="-105" w:rightChars="-50"/>
                    <w:jc w:val="center"/>
                    <w:rPr>
                      <w:szCs w:val="21"/>
                    </w:rPr>
                  </w:pPr>
                </w:p>
              </w:tc>
              <w:tc>
                <w:tcPr>
                  <w:tcW w:w="421" w:type="pct"/>
                  <w:vMerge w:val="continue"/>
                  <w:tcBorders>
                    <w:left w:val="single" w:color="auto" w:sz="4" w:space="0"/>
                    <w:right w:val="single" w:color="auto" w:sz="4" w:space="0"/>
                  </w:tcBorders>
                  <w:vAlign w:val="center"/>
                </w:tcPr>
                <w:p>
                  <w:pPr>
                    <w:adjustRightInd w:val="0"/>
                    <w:snapToGrid w:val="0"/>
                    <w:jc w:val="center"/>
                  </w:pPr>
                </w:p>
              </w:tc>
              <w:tc>
                <w:tcPr>
                  <w:tcW w:w="40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颗粒物</w:t>
                  </w:r>
                </w:p>
              </w:tc>
              <w:tc>
                <w:tcPr>
                  <w:tcW w:w="963" w:type="pct"/>
                  <w:vMerge w:val="restart"/>
                  <w:tcBorders>
                    <w:left w:val="single" w:color="auto" w:sz="4" w:space="0"/>
                    <w:right w:val="single" w:color="auto" w:sz="4" w:space="0"/>
                  </w:tcBorders>
                  <w:vAlign w:val="center"/>
                </w:tcPr>
                <w:p>
                  <w:pPr>
                    <w:adjustRightInd w:val="0"/>
                    <w:snapToGrid w:val="0"/>
                    <w:jc w:val="center"/>
                    <w:rPr>
                      <w:szCs w:val="21"/>
                    </w:rPr>
                  </w:pPr>
                  <w:r>
                    <w:rPr>
                      <w:szCs w:val="21"/>
                    </w:rPr>
                    <w:t>《锅炉大气污染物排放标准》（GB13271-2014）</w:t>
                  </w:r>
                </w:p>
              </w:tc>
              <w:tc>
                <w:tcPr>
                  <w:tcW w:w="768" w:type="pct"/>
                  <w:tcBorders>
                    <w:left w:val="single" w:color="auto" w:sz="4" w:space="0"/>
                    <w:right w:val="nil"/>
                  </w:tcBorders>
                  <w:vAlign w:val="center"/>
                </w:tcPr>
                <w:p>
                  <w:pPr>
                    <w:adjustRightInd w:val="0"/>
                    <w:snapToGrid w:val="0"/>
                    <w:jc w:val="center"/>
                  </w:pPr>
                  <w: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 w:type="pct"/>
                  <w:vMerge w:val="continue"/>
                  <w:tcBorders>
                    <w:left w:val="nil"/>
                    <w:bottom w:val="single" w:color="auto" w:sz="12" w:space="0"/>
                    <w:right w:val="single" w:color="auto" w:sz="4" w:space="0"/>
                  </w:tcBorders>
                  <w:vAlign w:val="center"/>
                </w:tcPr>
                <w:p>
                  <w:pPr>
                    <w:adjustRightInd w:val="0"/>
                    <w:snapToGrid w:val="0"/>
                    <w:jc w:val="center"/>
                  </w:pPr>
                </w:p>
              </w:tc>
              <w:tc>
                <w:tcPr>
                  <w:tcW w:w="417" w:type="pct"/>
                  <w:vMerge w:val="continue"/>
                  <w:tcBorders>
                    <w:left w:val="single" w:color="auto" w:sz="4" w:space="0"/>
                    <w:bottom w:val="single" w:color="auto" w:sz="12" w:space="0"/>
                    <w:right w:val="single" w:color="auto" w:sz="4" w:space="0"/>
                  </w:tcBorders>
                  <w:vAlign w:val="center"/>
                </w:tcPr>
                <w:p>
                  <w:pPr>
                    <w:adjustRightInd w:val="0"/>
                    <w:snapToGrid w:val="0"/>
                    <w:jc w:val="center"/>
                  </w:pPr>
                </w:p>
              </w:tc>
              <w:tc>
                <w:tcPr>
                  <w:tcW w:w="242" w:type="pct"/>
                  <w:vMerge w:val="continue"/>
                  <w:tcBorders>
                    <w:left w:val="single" w:color="auto" w:sz="4" w:space="0"/>
                    <w:bottom w:val="single" w:color="auto" w:sz="12" w:space="0"/>
                    <w:right w:val="single" w:color="auto" w:sz="4" w:space="0"/>
                  </w:tcBorders>
                  <w:vAlign w:val="center"/>
                </w:tcPr>
                <w:p>
                  <w:pPr>
                    <w:adjustRightInd w:val="0"/>
                    <w:snapToGrid w:val="0"/>
                    <w:jc w:val="center"/>
                  </w:pPr>
                </w:p>
              </w:tc>
              <w:tc>
                <w:tcPr>
                  <w:tcW w:w="349" w:type="pct"/>
                  <w:vMerge w:val="continue"/>
                  <w:tcBorders>
                    <w:left w:val="single" w:color="auto" w:sz="4" w:space="0"/>
                    <w:bottom w:val="single" w:color="auto" w:sz="12" w:space="0"/>
                    <w:right w:val="single" w:color="auto" w:sz="4" w:space="0"/>
                  </w:tcBorders>
                  <w:vAlign w:val="center"/>
                </w:tcPr>
                <w:p>
                  <w:pPr>
                    <w:adjustRightInd w:val="0"/>
                    <w:snapToGrid w:val="0"/>
                    <w:ind w:left="-105" w:leftChars="-50" w:right="-105" w:rightChars="-50"/>
                    <w:jc w:val="center"/>
                  </w:pPr>
                </w:p>
              </w:tc>
              <w:tc>
                <w:tcPr>
                  <w:tcW w:w="321" w:type="pct"/>
                  <w:vMerge w:val="continue"/>
                  <w:tcBorders>
                    <w:left w:val="single" w:color="auto" w:sz="4" w:space="0"/>
                    <w:bottom w:val="single" w:color="auto" w:sz="12" w:space="0"/>
                    <w:right w:val="single" w:color="auto" w:sz="4" w:space="0"/>
                  </w:tcBorders>
                  <w:vAlign w:val="center"/>
                </w:tcPr>
                <w:p>
                  <w:pPr>
                    <w:adjustRightInd w:val="0"/>
                    <w:snapToGrid w:val="0"/>
                    <w:ind w:left="-105" w:leftChars="-50" w:right="-105" w:rightChars="-50"/>
                    <w:jc w:val="center"/>
                  </w:pPr>
                </w:p>
              </w:tc>
              <w:tc>
                <w:tcPr>
                  <w:tcW w:w="478" w:type="pct"/>
                  <w:vMerge w:val="continue"/>
                  <w:tcBorders>
                    <w:left w:val="single" w:color="auto" w:sz="4" w:space="0"/>
                    <w:bottom w:val="single" w:color="auto" w:sz="12" w:space="0"/>
                    <w:right w:val="single" w:color="auto" w:sz="4" w:space="0"/>
                  </w:tcBorders>
                  <w:vAlign w:val="center"/>
                </w:tcPr>
                <w:p>
                  <w:pPr>
                    <w:adjustRightInd w:val="0"/>
                    <w:snapToGrid w:val="0"/>
                    <w:jc w:val="center"/>
                  </w:pPr>
                </w:p>
              </w:tc>
              <w:tc>
                <w:tcPr>
                  <w:tcW w:w="435" w:type="pct"/>
                  <w:vMerge w:val="continue"/>
                  <w:tcBorders>
                    <w:left w:val="single" w:color="auto" w:sz="4" w:space="0"/>
                    <w:bottom w:val="single" w:color="auto" w:sz="12" w:space="0"/>
                    <w:right w:val="single" w:color="auto" w:sz="4" w:space="0"/>
                  </w:tcBorders>
                  <w:vAlign w:val="center"/>
                </w:tcPr>
                <w:p>
                  <w:pPr>
                    <w:tabs>
                      <w:tab w:val="left" w:pos="1418"/>
                    </w:tabs>
                    <w:adjustRightInd w:val="0"/>
                    <w:snapToGrid w:val="0"/>
                    <w:ind w:left="-105" w:leftChars="-50" w:right="-105" w:rightChars="-50"/>
                    <w:jc w:val="center"/>
                    <w:rPr>
                      <w:szCs w:val="21"/>
                    </w:rPr>
                  </w:pPr>
                </w:p>
              </w:tc>
              <w:tc>
                <w:tcPr>
                  <w:tcW w:w="421" w:type="pct"/>
                  <w:vMerge w:val="continue"/>
                  <w:tcBorders>
                    <w:left w:val="single" w:color="auto" w:sz="4" w:space="0"/>
                    <w:bottom w:val="single" w:color="auto" w:sz="12" w:space="0"/>
                    <w:right w:val="single" w:color="auto" w:sz="4" w:space="0"/>
                  </w:tcBorders>
                  <w:vAlign w:val="center"/>
                </w:tcPr>
                <w:p>
                  <w:pPr>
                    <w:adjustRightInd w:val="0"/>
                    <w:snapToGrid w:val="0"/>
                    <w:jc w:val="center"/>
                  </w:pPr>
                </w:p>
              </w:tc>
              <w:tc>
                <w:tcPr>
                  <w:tcW w:w="406"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szCs w:val="21"/>
                    </w:rPr>
                  </w:pPr>
                  <w:r>
                    <w:rPr>
                      <w:szCs w:val="21"/>
                    </w:rPr>
                    <w:t>二氧化硫</w:t>
                  </w:r>
                </w:p>
              </w:tc>
              <w:tc>
                <w:tcPr>
                  <w:tcW w:w="963" w:type="pct"/>
                  <w:vMerge w:val="continue"/>
                  <w:tcBorders>
                    <w:left w:val="single" w:color="auto" w:sz="4" w:space="0"/>
                    <w:bottom w:val="single" w:color="auto" w:sz="12" w:space="0"/>
                    <w:right w:val="single" w:color="auto" w:sz="4" w:space="0"/>
                  </w:tcBorders>
                  <w:vAlign w:val="center"/>
                </w:tcPr>
                <w:p>
                  <w:pPr>
                    <w:adjustRightInd w:val="0"/>
                    <w:snapToGrid w:val="0"/>
                    <w:jc w:val="center"/>
                  </w:pPr>
                </w:p>
              </w:tc>
              <w:tc>
                <w:tcPr>
                  <w:tcW w:w="768" w:type="pct"/>
                  <w:tcBorders>
                    <w:left w:val="single" w:color="auto" w:sz="4" w:space="0"/>
                    <w:bottom w:val="single" w:color="auto" w:sz="12" w:space="0"/>
                    <w:right w:val="nil"/>
                  </w:tcBorders>
                  <w:vAlign w:val="center"/>
                </w:tcPr>
                <w:p>
                  <w:pPr>
                    <w:adjustRightInd w:val="0"/>
                    <w:snapToGrid w:val="0"/>
                    <w:jc w:val="center"/>
                  </w:pPr>
                  <w:r>
                    <w:t>50</w:t>
                  </w:r>
                </w:p>
              </w:tc>
            </w:tr>
          </w:tbl>
          <w:p>
            <w:pPr>
              <w:adjustRightInd w:val="0"/>
              <w:snapToGrid w:val="0"/>
              <w:spacing w:line="360" w:lineRule="auto"/>
              <w:ind w:firstLine="480" w:firstLineChars="200"/>
              <w:rPr>
                <w:bCs/>
                <w:sz w:val="24"/>
              </w:rPr>
            </w:pPr>
            <w:r>
              <w:rPr>
                <w:bCs/>
                <w:sz w:val="24"/>
              </w:rPr>
              <w:t>（5）大气环境影响分析</w:t>
            </w:r>
          </w:p>
          <w:p>
            <w:pPr>
              <w:adjustRightInd w:val="0"/>
              <w:snapToGrid w:val="0"/>
              <w:spacing w:line="360" w:lineRule="auto"/>
              <w:ind w:firstLine="480" w:firstLineChars="200"/>
              <w:rPr>
                <w:sz w:val="24"/>
              </w:rPr>
            </w:pPr>
            <w:r>
              <w:rPr>
                <w:bCs/>
                <w:sz w:val="24"/>
              </w:rPr>
              <w:t>本项目所在区域环境空气质量为不达标区，项目周边500m范围内有桑园里、后庄、南庄等敏感目标，本项目锅炉配套了低氮燃烧器，产生的天然气燃烧废气由1根</w:t>
            </w:r>
            <w:r>
              <w:rPr>
                <w:rFonts w:hint="eastAsia"/>
                <w:bCs/>
                <w:sz w:val="24"/>
                <w:lang w:val="en-US" w:eastAsia="zh-CN"/>
              </w:rPr>
              <w:t>30</w:t>
            </w:r>
            <w:r>
              <w:rPr>
                <w:bCs/>
                <w:sz w:val="24"/>
              </w:rPr>
              <w:t>米高排气筒（FQ-5）排放。根据废气源强计算及治理措施可行性论证分析，本项目排放的大气污染物能够达到国家和地方相关排放标准限值要求，对环境质量影响甚微，不会改变区域大气环境质量功能类别。</w:t>
            </w:r>
          </w:p>
          <w:p>
            <w:pPr>
              <w:adjustRightInd w:val="0"/>
              <w:snapToGrid w:val="0"/>
              <w:spacing w:line="360" w:lineRule="auto"/>
              <w:ind w:firstLine="480" w:firstLineChars="200"/>
              <w:rPr>
                <w:sz w:val="24"/>
              </w:rPr>
            </w:pPr>
            <w:r>
              <w:rPr>
                <w:bCs/>
                <w:sz w:val="24"/>
              </w:rPr>
              <w:t>（</w:t>
            </w:r>
            <w:r>
              <w:rPr>
                <w:sz w:val="24"/>
              </w:rPr>
              <w:t>6）大气环境防护距离</w:t>
            </w:r>
          </w:p>
          <w:p>
            <w:pPr>
              <w:adjustRightInd w:val="0"/>
              <w:snapToGrid w:val="0"/>
              <w:spacing w:line="360" w:lineRule="auto"/>
              <w:ind w:firstLine="480" w:firstLineChars="200"/>
              <w:rPr>
                <w:sz w:val="24"/>
              </w:rPr>
            </w:pPr>
            <w:r>
              <w:rPr>
                <w:bCs/>
                <w:sz w:val="24"/>
              </w:rPr>
              <w:t>大气环境防护距离是指为</w:t>
            </w:r>
            <w:r>
              <w:rPr>
                <w:sz w:val="24"/>
              </w:rPr>
              <w:t>保护人群健康，减少正常排放条件下大气污染物对居住区的环境影响，在项目厂界以外设置的环境防护距离。计算的距离是以污染源中心点为起点的控制距离，并结合厂区平面布置图，确定控制距离范围，超出厂界以外的范围即为项目大气环境防护距离。</w:t>
            </w:r>
          </w:p>
          <w:p>
            <w:pPr>
              <w:adjustRightInd w:val="0"/>
              <w:snapToGrid w:val="0"/>
              <w:spacing w:line="360" w:lineRule="auto"/>
              <w:ind w:firstLine="480" w:firstLineChars="200"/>
              <w:rPr>
                <w:bCs/>
                <w:sz w:val="24"/>
              </w:rPr>
            </w:pPr>
            <w:r>
              <w:rPr>
                <w:sz w:val="24"/>
              </w:rPr>
              <w:t>本项目不涉及废气无组织排放，不需设定大气环境防护距离。</w:t>
            </w:r>
          </w:p>
          <w:p>
            <w:pPr>
              <w:adjustRightInd w:val="0"/>
              <w:snapToGrid w:val="0"/>
              <w:spacing w:line="360" w:lineRule="auto"/>
              <w:ind w:firstLine="480" w:firstLineChars="200"/>
              <w:rPr>
                <w:sz w:val="24"/>
              </w:rPr>
            </w:pPr>
            <w:r>
              <w:rPr>
                <w:sz w:val="24"/>
              </w:rPr>
              <w:t>（7）非正常工况废气污染物源强分析</w:t>
            </w:r>
          </w:p>
          <w:p>
            <w:pPr>
              <w:adjustRightInd w:val="0"/>
              <w:snapToGrid w:val="0"/>
              <w:spacing w:line="360" w:lineRule="auto"/>
              <w:ind w:firstLine="480" w:firstLineChars="200"/>
              <w:rPr>
                <w:sz w:val="24"/>
              </w:rPr>
            </w:pPr>
            <w:r>
              <w:rPr>
                <w:sz w:val="24"/>
              </w:rPr>
              <w:t>在分析本项目生产工艺的基础上可知，本项目非正常工况主要有以下2类：</w:t>
            </w:r>
          </w:p>
          <w:p>
            <w:pPr>
              <w:adjustRightInd w:val="0"/>
              <w:snapToGrid w:val="0"/>
              <w:spacing w:line="360" w:lineRule="auto"/>
              <w:ind w:firstLine="480" w:firstLineChars="200"/>
              <w:rPr>
                <w:sz w:val="24"/>
              </w:rPr>
            </w:pPr>
            <w:r>
              <w:rPr>
                <w:sz w:val="24"/>
              </w:rPr>
              <w:t>①低氮燃烧器出现故障</w:t>
            </w:r>
          </w:p>
          <w:p>
            <w:pPr>
              <w:adjustRightInd w:val="0"/>
              <w:snapToGrid w:val="0"/>
              <w:spacing w:line="360" w:lineRule="auto"/>
              <w:ind w:firstLine="480" w:firstLineChars="200"/>
              <w:rPr>
                <w:sz w:val="24"/>
              </w:rPr>
            </w:pPr>
            <w:r>
              <w:rPr>
                <w:sz w:val="24"/>
              </w:rPr>
              <w:t>本项目考虑最大风险情况下，选择低氮燃烧器出现故障情况下排气筒（FQ-5）来进行分析。低氮燃烧器主要用来减少氮氧化物的排放，不影响颗粒物及二氧化硫，本项目在非正常工况情况下颗粒物、二氧化硫排放量与正常工况一致，氮氧化物排放量根据《排污许可证申请与核发技术规范 锅炉》(HJ953—2018)表F.3中燃气锅炉无低氮燃烧的产污系数计算。则本项目非正常工况时废气源强表4-12所示。</w:t>
            </w:r>
          </w:p>
          <w:p>
            <w:pPr>
              <w:pStyle w:val="5"/>
              <w:adjustRightInd w:val="0"/>
              <w:snapToGrid w:val="0"/>
              <w:ind w:firstLine="482" w:firstLineChars="200"/>
              <w:jc w:val="center"/>
              <w:rPr>
                <w:rFonts w:ascii="Times New Roman" w:hAnsi="Times New Roman"/>
                <w:b/>
                <w:bCs/>
                <w:sz w:val="24"/>
                <w:szCs w:val="24"/>
              </w:rPr>
            </w:pPr>
            <w:r>
              <w:rPr>
                <w:rFonts w:ascii="Times New Roman" w:hAnsi="Times New Roman"/>
                <w:b/>
                <w:bCs/>
                <w:sz w:val="24"/>
                <w:szCs w:val="24"/>
              </w:rPr>
              <w:t>表4-</w:t>
            </w:r>
            <w:r>
              <w:rPr>
                <w:rFonts w:hint="eastAsia" w:ascii="Times New Roman" w:hAnsi="Times New Roman"/>
                <w:b/>
                <w:bCs/>
                <w:sz w:val="24"/>
                <w:szCs w:val="24"/>
                <w:lang w:val="en-US" w:eastAsia="zh-CN"/>
              </w:rPr>
              <w:t>4</w:t>
            </w:r>
            <w:r>
              <w:rPr>
                <w:rFonts w:ascii="Times New Roman" w:hAnsi="Times New Roman"/>
                <w:b/>
                <w:bCs/>
                <w:sz w:val="24"/>
                <w:szCs w:val="24"/>
              </w:rPr>
              <w:t xml:space="preserve"> 项目非正常工况污染物源强分析</w:t>
            </w:r>
          </w:p>
          <w:tbl>
            <w:tblPr>
              <w:tblStyle w:val="22"/>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44"/>
              <w:gridCol w:w="764"/>
              <w:gridCol w:w="1153"/>
              <w:gridCol w:w="1773"/>
              <w:gridCol w:w="1111"/>
              <w:gridCol w:w="969"/>
              <w:gridCol w:w="776"/>
              <w:gridCol w:w="101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2" w:type="pct"/>
                  <w:vMerge w:val="restart"/>
                  <w:vAlign w:val="center"/>
                </w:tcPr>
                <w:p>
                  <w:pPr>
                    <w:adjustRightInd w:val="0"/>
                    <w:snapToGrid w:val="0"/>
                    <w:jc w:val="center"/>
                    <w:rPr>
                      <w:b/>
                      <w:szCs w:val="21"/>
                    </w:rPr>
                  </w:pPr>
                  <w:r>
                    <w:rPr>
                      <w:b/>
                      <w:szCs w:val="21"/>
                    </w:rPr>
                    <w:t>排气筒编号</w:t>
                  </w:r>
                </w:p>
              </w:tc>
              <w:tc>
                <w:tcPr>
                  <w:tcW w:w="454" w:type="pct"/>
                  <w:vMerge w:val="restart"/>
                  <w:vAlign w:val="center"/>
                </w:tcPr>
                <w:p>
                  <w:pPr>
                    <w:adjustRightInd w:val="0"/>
                    <w:snapToGrid w:val="0"/>
                    <w:jc w:val="center"/>
                    <w:rPr>
                      <w:b/>
                      <w:szCs w:val="21"/>
                    </w:rPr>
                  </w:pPr>
                  <w:r>
                    <w:rPr>
                      <w:b/>
                      <w:szCs w:val="21"/>
                    </w:rPr>
                    <w:t>排放工序</w:t>
                  </w:r>
                </w:p>
              </w:tc>
              <w:tc>
                <w:tcPr>
                  <w:tcW w:w="686" w:type="pct"/>
                  <w:vMerge w:val="restart"/>
                  <w:vAlign w:val="center"/>
                </w:tcPr>
                <w:p>
                  <w:pPr>
                    <w:adjustRightInd w:val="0"/>
                    <w:snapToGrid w:val="0"/>
                    <w:jc w:val="center"/>
                    <w:rPr>
                      <w:b/>
                      <w:szCs w:val="21"/>
                    </w:rPr>
                  </w:pPr>
                  <w:r>
                    <w:rPr>
                      <w:b/>
                      <w:szCs w:val="21"/>
                    </w:rPr>
                    <w:t>产污及污染物名称</w:t>
                  </w:r>
                </w:p>
              </w:tc>
              <w:tc>
                <w:tcPr>
                  <w:tcW w:w="1054" w:type="pct"/>
                  <w:vMerge w:val="restart"/>
                  <w:vAlign w:val="center"/>
                </w:tcPr>
                <w:p>
                  <w:pPr>
                    <w:adjustRightInd w:val="0"/>
                    <w:snapToGrid w:val="0"/>
                    <w:jc w:val="center"/>
                    <w:rPr>
                      <w:b/>
                      <w:szCs w:val="21"/>
                    </w:rPr>
                  </w:pPr>
                  <w:r>
                    <w:rPr>
                      <w:b/>
                      <w:szCs w:val="21"/>
                    </w:rPr>
                    <w:t>产污系数</w:t>
                  </w:r>
                </w:p>
              </w:tc>
              <w:tc>
                <w:tcPr>
                  <w:tcW w:w="661" w:type="pct"/>
                  <w:vMerge w:val="restart"/>
                  <w:vAlign w:val="center"/>
                </w:tcPr>
                <w:p>
                  <w:pPr>
                    <w:adjustRightInd w:val="0"/>
                    <w:snapToGrid w:val="0"/>
                    <w:jc w:val="center"/>
                    <w:rPr>
                      <w:b/>
                      <w:szCs w:val="21"/>
                    </w:rPr>
                  </w:pPr>
                  <w:r>
                    <w:rPr>
                      <w:b/>
                      <w:szCs w:val="21"/>
                    </w:rPr>
                    <w:t>排放速率（kg/h）</w:t>
                  </w:r>
                </w:p>
              </w:tc>
              <w:tc>
                <w:tcPr>
                  <w:tcW w:w="1640" w:type="pct"/>
                  <w:gridSpan w:val="3"/>
                  <w:vAlign w:val="center"/>
                </w:tcPr>
                <w:p>
                  <w:pPr>
                    <w:adjustRightInd w:val="0"/>
                    <w:snapToGrid w:val="0"/>
                    <w:jc w:val="center"/>
                    <w:rPr>
                      <w:b/>
                      <w:szCs w:val="21"/>
                    </w:rPr>
                  </w:pPr>
                  <w:r>
                    <w:rPr>
                      <w:b/>
                      <w:szCs w:val="21"/>
                    </w:rPr>
                    <w:t>排放源参数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2" w:type="pct"/>
                  <w:vMerge w:val="continue"/>
                  <w:vAlign w:val="center"/>
                </w:tcPr>
                <w:p>
                  <w:pPr>
                    <w:adjustRightInd w:val="0"/>
                    <w:snapToGrid w:val="0"/>
                    <w:jc w:val="center"/>
                    <w:rPr>
                      <w:b/>
                      <w:szCs w:val="21"/>
                    </w:rPr>
                  </w:pPr>
                </w:p>
              </w:tc>
              <w:tc>
                <w:tcPr>
                  <w:tcW w:w="454" w:type="pct"/>
                  <w:vMerge w:val="continue"/>
                  <w:vAlign w:val="center"/>
                </w:tcPr>
                <w:p>
                  <w:pPr>
                    <w:adjustRightInd w:val="0"/>
                    <w:snapToGrid w:val="0"/>
                    <w:jc w:val="center"/>
                    <w:rPr>
                      <w:b/>
                      <w:szCs w:val="21"/>
                    </w:rPr>
                  </w:pPr>
                </w:p>
              </w:tc>
              <w:tc>
                <w:tcPr>
                  <w:tcW w:w="686" w:type="pct"/>
                  <w:vMerge w:val="continue"/>
                  <w:vAlign w:val="center"/>
                </w:tcPr>
                <w:p>
                  <w:pPr>
                    <w:adjustRightInd w:val="0"/>
                    <w:snapToGrid w:val="0"/>
                    <w:jc w:val="center"/>
                    <w:rPr>
                      <w:b/>
                      <w:szCs w:val="21"/>
                    </w:rPr>
                  </w:pPr>
                </w:p>
              </w:tc>
              <w:tc>
                <w:tcPr>
                  <w:tcW w:w="1054" w:type="pct"/>
                  <w:vMerge w:val="continue"/>
                  <w:vAlign w:val="center"/>
                </w:tcPr>
                <w:p>
                  <w:pPr>
                    <w:adjustRightInd w:val="0"/>
                    <w:snapToGrid w:val="0"/>
                    <w:jc w:val="center"/>
                    <w:rPr>
                      <w:b/>
                      <w:szCs w:val="21"/>
                    </w:rPr>
                  </w:pPr>
                </w:p>
              </w:tc>
              <w:tc>
                <w:tcPr>
                  <w:tcW w:w="661" w:type="pct"/>
                  <w:vMerge w:val="continue"/>
                  <w:vAlign w:val="center"/>
                </w:tcPr>
                <w:p>
                  <w:pPr>
                    <w:adjustRightInd w:val="0"/>
                    <w:snapToGrid w:val="0"/>
                    <w:jc w:val="center"/>
                    <w:rPr>
                      <w:b/>
                      <w:szCs w:val="21"/>
                    </w:rPr>
                  </w:pPr>
                </w:p>
              </w:tc>
              <w:tc>
                <w:tcPr>
                  <w:tcW w:w="577" w:type="pct"/>
                  <w:vAlign w:val="center"/>
                </w:tcPr>
                <w:p>
                  <w:pPr>
                    <w:adjustRightInd w:val="0"/>
                    <w:snapToGrid w:val="0"/>
                    <w:jc w:val="center"/>
                    <w:rPr>
                      <w:b/>
                      <w:szCs w:val="21"/>
                    </w:rPr>
                  </w:pPr>
                  <w:r>
                    <w:rPr>
                      <w:b/>
                      <w:szCs w:val="21"/>
                    </w:rPr>
                    <w:t>排放高度（m）</w:t>
                  </w:r>
                </w:p>
              </w:tc>
              <w:tc>
                <w:tcPr>
                  <w:tcW w:w="462" w:type="pct"/>
                  <w:vAlign w:val="center"/>
                </w:tcPr>
                <w:p>
                  <w:pPr>
                    <w:adjustRightInd w:val="0"/>
                    <w:snapToGrid w:val="0"/>
                    <w:jc w:val="center"/>
                    <w:rPr>
                      <w:b/>
                      <w:szCs w:val="21"/>
                    </w:rPr>
                  </w:pPr>
                  <w:r>
                    <w:rPr>
                      <w:b/>
                      <w:szCs w:val="21"/>
                    </w:rPr>
                    <w:t>直径（m）</w:t>
                  </w:r>
                </w:p>
              </w:tc>
              <w:tc>
                <w:tcPr>
                  <w:tcW w:w="600" w:type="pct"/>
                  <w:vAlign w:val="center"/>
                </w:tcPr>
                <w:p>
                  <w:pPr>
                    <w:adjustRightInd w:val="0"/>
                    <w:snapToGrid w:val="0"/>
                    <w:jc w:val="center"/>
                    <w:rPr>
                      <w:b/>
                      <w:szCs w:val="21"/>
                    </w:rPr>
                  </w:pPr>
                  <w:r>
                    <w:rPr>
                      <w:b/>
                      <w:szCs w:val="21"/>
                    </w:rPr>
                    <w:t>出口处烟气温度(</w:t>
                  </w:r>
                  <w:r>
                    <w:rPr>
                      <w:b/>
                    </w:rPr>
                    <w:t>℃</w:t>
                  </w:r>
                  <w:r>
                    <w:rPr>
                      <w:b/>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2" w:type="pct"/>
                  <w:vMerge w:val="restart"/>
                  <w:vAlign w:val="center"/>
                </w:tcPr>
                <w:p>
                  <w:pPr>
                    <w:adjustRightInd w:val="0"/>
                    <w:snapToGrid w:val="0"/>
                    <w:jc w:val="center"/>
                    <w:rPr>
                      <w:szCs w:val="21"/>
                    </w:rPr>
                  </w:pPr>
                  <w:r>
                    <w:rPr>
                      <w:szCs w:val="21"/>
                    </w:rPr>
                    <w:t>FQ-5</w:t>
                  </w:r>
                </w:p>
              </w:tc>
              <w:tc>
                <w:tcPr>
                  <w:tcW w:w="454" w:type="pct"/>
                  <w:vMerge w:val="restart"/>
                  <w:vAlign w:val="center"/>
                </w:tcPr>
                <w:p>
                  <w:pPr>
                    <w:adjustRightInd w:val="0"/>
                    <w:snapToGrid w:val="0"/>
                    <w:jc w:val="center"/>
                    <w:rPr>
                      <w:szCs w:val="21"/>
                    </w:rPr>
                  </w:pPr>
                  <w:r>
                    <w:rPr>
                      <w:szCs w:val="21"/>
                    </w:rPr>
                    <w:t>天然气燃烧</w:t>
                  </w:r>
                </w:p>
              </w:tc>
              <w:tc>
                <w:tcPr>
                  <w:tcW w:w="686" w:type="pct"/>
                  <w:vAlign w:val="center"/>
                </w:tcPr>
                <w:p>
                  <w:pPr>
                    <w:adjustRightInd w:val="0"/>
                    <w:snapToGrid w:val="0"/>
                    <w:jc w:val="center"/>
                    <w:rPr>
                      <w:szCs w:val="21"/>
                    </w:rPr>
                  </w:pPr>
                  <w:r>
                    <w:rPr>
                      <w:szCs w:val="21"/>
                    </w:rPr>
                    <w:t>氮氧化物</w:t>
                  </w:r>
                </w:p>
              </w:tc>
              <w:tc>
                <w:tcPr>
                  <w:tcW w:w="1054" w:type="pct"/>
                  <w:vAlign w:val="center"/>
                </w:tcPr>
                <w:p>
                  <w:pPr>
                    <w:adjustRightInd w:val="0"/>
                    <w:snapToGrid w:val="0"/>
                    <w:jc w:val="center"/>
                    <w:rPr>
                      <w:szCs w:val="21"/>
                    </w:rPr>
                  </w:pPr>
                  <w:r>
                    <w:rPr>
                      <w:szCs w:val="21"/>
                    </w:rPr>
                    <w:t>18.71</w:t>
                  </w:r>
                </w:p>
                <w:p>
                  <w:pPr>
                    <w:adjustRightInd w:val="0"/>
                    <w:snapToGrid w:val="0"/>
                    <w:jc w:val="center"/>
                    <w:rPr>
                      <w:szCs w:val="21"/>
                    </w:rPr>
                  </w:pPr>
                  <w:r>
                    <w:rPr>
                      <w:szCs w:val="21"/>
                    </w:rPr>
                    <w:t>（无低氮燃烧）</w:t>
                  </w:r>
                </w:p>
              </w:tc>
              <w:tc>
                <w:tcPr>
                  <w:tcW w:w="661" w:type="pct"/>
                  <w:vAlign w:val="center"/>
                </w:tcPr>
                <w:p>
                  <w:pPr>
                    <w:adjustRightInd w:val="0"/>
                    <w:snapToGrid w:val="0"/>
                    <w:jc w:val="center"/>
                    <w:rPr>
                      <w:szCs w:val="21"/>
                    </w:rPr>
                  </w:pPr>
                  <w:r>
                    <w:rPr>
                      <w:szCs w:val="21"/>
                    </w:rPr>
                    <w:t>0.35</w:t>
                  </w:r>
                </w:p>
              </w:tc>
              <w:tc>
                <w:tcPr>
                  <w:tcW w:w="577" w:type="pct"/>
                  <w:vMerge w:val="restart"/>
                  <w:vAlign w:val="center"/>
                </w:tcPr>
                <w:p>
                  <w:pPr>
                    <w:adjustRightInd w:val="0"/>
                    <w:snapToGrid w:val="0"/>
                    <w:jc w:val="center"/>
                    <w:rPr>
                      <w:rFonts w:hint="default" w:eastAsia="宋体"/>
                      <w:szCs w:val="21"/>
                      <w:lang w:val="en-US" w:eastAsia="zh-CN"/>
                    </w:rPr>
                  </w:pPr>
                  <w:r>
                    <w:rPr>
                      <w:rFonts w:hint="eastAsia"/>
                      <w:szCs w:val="21"/>
                      <w:lang w:val="en-US" w:eastAsia="zh-CN"/>
                    </w:rPr>
                    <w:t>30</w:t>
                  </w:r>
                </w:p>
              </w:tc>
              <w:tc>
                <w:tcPr>
                  <w:tcW w:w="462" w:type="pct"/>
                  <w:vMerge w:val="restart"/>
                  <w:vAlign w:val="center"/>
                </w:tcPr>
                <w:p>
                  <w:pPr>
                    <w:adjustRightInd w:val="0"/>
                    <w:snapToGrid w:val="0"/>
                    <w:jc w:val="center"/>
                    <w:rPr>
                      <w:szCs w:val="21"/>
                    </w:rPr>
                  </w:pPr>
                  <w:r>
                    <w:rPr>
                      <w:szCs w:val="21"/>
                    </w:rPr>
                    <w:t>0.5</w:t>
                  </w:r>
                </w:p>
              </w:tc>
              <w:tc>
                <w:tcPr>
                  <w:tcW w:w="600" w:type="pct"/>
                  <w:vMerge w:val="restart"/>
                  <w:vAlign w:val="center"/>
                </w:tcPr>
                <w:p>
                  <w:pPr>
                    <w:adjustRightInd w:val="0"/>
                    <w:snapToGrid w:val="0"/>
                    <w:jc w:val="center"/>
                    <w:rPr>
                      <w:szCs w:val="21"/>
                    </w:rPr>
                  </w:pPr>
                  <w:r>
                    <w:t>111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2" w:type="pct"/>
                  <w:vMerge w:val="continue"/>
                  <w:vAlign w:val="center"/>
                </w:tcPr>
                <w:p>
                  <w:pPr>
                    <w:adjustRightInd w:val="0"/>
                    <w:snapToGrid w:val="0"/>
                    <w:jc w:val="center"/>
                    <w:rPr>
                      <w:szCs w:val="21"/>
                    </w:rPr>
                  </w:pPr>
                </w:p>
              </w:tc>
              <w:tc>
                <w:tcPr>
                  <w:tcW w:w="454" w:type="pct"/>
                  <w:vMerge w:val="continue"/>
                  <w:vAlign w:val="center"/>
                </w:tcPr>
                <w:p>
                  <w:pPr>
                    <w:adjustRightInd w:val="0"/>
                    <w:snapToGrid w:val="0"/>
                    <w:jc w:val="center"/>
                    <w:rPr>
                      <w:szCs w:val="21"/>
                    </w:rPr>
                  </w:pPr>
                </w:p>
              </w:tc>
              <w:tc>
                <w:tcPr>
                  <w:tcW w:w="686" w:type="pct"/>
                  <w:vAlign w:val="center"/>
                </w:tcPr>
                <w:p>
                  <w:pPr>
                    <w:adjustRightInd w:val="0"/>
                    <w:snapToGrid w:val="0"/>
                    <w:jc w:val="center"/>
                    <w:rPr>
                      <w:szCs w:val="21"/>
                    </w:rPr>
                  </w:pPr>
                  <w:r>
                    <w:rPr>
                      <w:szCs w:val="21"/>
                    </w:rPr>
                    <w:t>颗粒物</w:t>
                  </w:r>
                </w:p>
              </w:tc>
              <w:tc>
                <w:tcPr>
                  <w:tcW w:w="1054" w:type="pct"/>
                  <w:vAlign w:val="center"/>
                </w:tcPr>
                <w:p>
                  <w:pPr>
                    <w:adjustRightInd w:val="0"/>
                    <w:snapToGrid w:val="0"/>
                    <w:jc w:val="center"/>
                    <w:rPr>
                      <w:szCs w:val="21"/>
                    </w:rPr>
                  </w:pPr>
                  <w:r>
                    <w:rPr>
                      <w:szCs w:val="21"/>
                    </w:rPr>
                    <w:t>1.4</w:t>
                  </w:r>
                </w:p>
              </w:tc>
              <w:tc>
                <w:tcPr>
                  <w:tcW w:w="661" w:type="pct"/>
                  <w:vAlign w:val="center"/>
                </w:tcPr>
                <w:p>
                  <w:pPr>
                    <w:pStyle w:val="64"/>
                    <w:rPr>
                      <w:rFonts w:ascii="Times New Roman" w:hAnsi="Times New Roman" w:eastAsia="宋体"/>
                      <w:sz w:val="21"/>
                      <w:szCs w:val="21"/>
                    </w:rPr>
                  </w:pPr>
                  <w:r>
                    <w:rPr>
                      <w:rFonts w:ascii="Times New Roman" w:hAnsi="Times New Roman" w:eastAsia="宋体"/>
                      <w:sz w:val="21"/>
                      <w:szCs w:val="21"/>
                    </w:rPr>
                    <w:t>0.026</w:t>
                  </w:r>
                </w:p>
              </w:tc>
              <w:tc>
                <w:tcPr>
                  <w:tcW w:w="577" w:type="pct"/>
                  <w:vMerge w:val="continue"/>
                  <w:vAlign w:val="center"/>
                </w:tcPr>
                <w:p>
                  <w:pPr>
                    <w:adjustRightInd w:val="0"/>
                    <w:snapToGrid w:val="0"/>
                    <w:jc w:val="center"/>
                    <w:rPr>
                      <w:szCs w:val="21"/>
                    </w:rPr>
                  </w:pPr>
                </w:p>
              </w:tc>
              <w:tc>
                <w:tcPr>
                  <w:tcW w:w="462" w:type="pct"/>
                  <w:vMerge w:val="continue"/>
                  <w:vAlign w:val="center"/>
                </w:tcPr>
                <w:p>
                  <w:pPr>
                    <w:adjustRightInd w:val="0"/>
                    <w:snapToGrid w:val="0"/>
                    <w:jc w:val="center"/>
                    <w:rPr>
                      <w:szCs w:val="21"/>
                    </w:rPr>
                  </w:pPr>
                </w:p>
              </w:tc>
              <w:tc>
                <w:tcPr>
                  <w:tcW w:w="600" w:type="pct"/>
                  <w:vMerge w:val="continue"/>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2" w:type="pct"/>
                  <w:vMerge w:val="continue"/>
                  <w:vAlign w:val="center"/>
                </w:tcPr>
                <w:p>
                  <w:pPr>
                    <w:adjustRightInd w:val="0"/>
                    <w:snapToGrid w:val="0"/>
                    <w:jc w:val="center"/>
                    <w:rPr>
                      <w:szCs w:val="21"/>
                    </w:rPr>
                  </w:pPr>
                </w:p>
              </w:tc>
              <w:tc>
                <w:tcPr>
                  <w:tcW w:w="454" w:type="pct"/>
                  <w:vMerge w:val="continue"/>
                  <w:vAlign w:val="center"/>
                </w:tcPr>
                <w:p>
                  <w:pPr>
                    <w:adjustRightInd w:val="0"/>
                    <w:snapToGrid w:val="0"/>
                    <w:jc w:val="center"/>
                    <w:rPr>
                      <w:szCs w:val="21"/>
                    </w:rPr>
                  </w:pPr>
                </w:p>
              </w:tc>
              <w:tc>
                <w:tcPr>
                  <w:tcW w:w="686" w:type="pct"/>
                  <w:vAlign w:val="center"/>
                </w:tcPr>
                <w:p>
                  <w:pPr>
                    <w:adjustRightInd w:val="0"/>
                    <w:snapToGrid w:val="0"/>
                    <w:jc w:val="center"/>
                    <w:rPr>
                      <w:szCs w:val="21"/>
                    </w:rPr>
                  </w:pPr>
                  <w:r>
                    <w:rPr>
                      <w:szCs w:val="21"/>
                    </w:rPr>
                    <w:t>二氧化硫</w:t>
                  </w:r>
                </w:p>
              </w:tc>
              <w:tc>
                <w:tcPr>
                  <w:tcW w:w="1054" w:type="pct"/>
                  <w:vAlign w:val="center"/>
                </w:tcPr>
                <w:p>
                  <w:pPr>
                    <w:adjustRightInd w:val="0"/>
                    <w:snapToGrid w:val="0"/>
                    <w:jc w:val="center"/>
                    <w:rPr>
                      <w:szCs w:val="21"/>
                    </w:rPr>
                  </w:pPr>
                  <w:r>
                    <w:rPr>
                      <w:szCs w:val="21"/>
                    </w:rPr>
                    <w:t>2</w:t>
                  </w:r>
                </w:p>
              </w:tc>
              <w:tc>
                <w:tcPr>
                  <w:tcW w:w="661" w:type="pct"/>
                  <w:vAlign w:val="center"/>
                </w:tcPr>
                <w:p>
                  <w:pPr>
                    <w:pStyle w:val="64"/>
                    <w:rPr>
                      <w:rFonts w:ascii="Times New Roman" w:hAnsi="Times New Roman" w:eastAsia="宋体"/>
                      <w:sz w:val="21"/>
                      <w:szCs w:val="21"/>
                    </w:rPr>
                  </w:pPr>
                  <w:r>
                    <w:rPr>
                      <w:rFonts w:ascii="Times New Roman" w:hAnsi="Times New Roman" w:eastAsia="宋体"/>
                      <w:sz w:val="21"/>
                      <w:szCs w:val="21"/>
                    </w:rPr>
                    <w:t>0.037</w:t>
                  </w:r>
                </w:p>
              </w:tc>
              <w:tc>
                <w:tcPr>
                  <w:tcW w:w="577" w:type="pct"/>
                  <w:vMerge w:val="continue"/>
                  <w:vAlign w:val="center"/>
                </w:tcPr>
                <w:p>
                  <w:pPr>
                    <w:adjustRightInd w:val="0"/>
                    <w:snapToGrid w:val="0"/>
                    <w:jc w:val="center"/>
                    <w:rPr>
                      <w:szCs w:val="21"/>
                    </w:rPr>
                  </w:pPr>
                </w:p>
              </w:tc>
              <w:tc>
                <w:tcPr>
                  <w:tcW w:w="462" w:type="pct"/>
                  <w:vMerge w:val="continue"/>
                  <w:vAlign w:val="center"/>
                </w:tcPr>
                <w:p>
                  <w:pPr>
                    <w:adjustRightInd w:val="0"/>
                    <w:snapToGrid w:val="0"/>
                    <w:jc w:val="center"/>
                    <w:rPr>
                      <w:szCs w:val="21"/>
                    </w:rPr>
                  </w:pPr>
                </w:p>
              </w:tc>
              <w:tc>
                <w:tcPr>
                  <w:tcW w:w="600" w:type="pct"/>
                  <w:vMerge w:val="continue"/>
                  <w:vAlign w:val="center"/>
                </w:tcPr>
                <w:p>
                  <w:pPr>
                    <w:adjustRightInd w:val="0"/>
                    <w:snapToGrid w:val="0"/>
                    <w:jc w:val="center"/>
                    <w:rPr>
                      <w:szCs w:val="21"/>
                    </w:rPr>
                  </w:pPr>
                </w:p>
              </w:tc>
            </w:tr>
          </w:tbl>
          <w:p>
            <w:pPr>
              <w:adjustRightInd w:val="0"/>
              <w:snapToGrid w:val="0"/>
              <w:spacing w:line="360" w:lineRule="auto"/>
              <w:ind w:firstLine="480" w:firstLineChars="200"/>
              <w:rPr>
                <w:sz w:val="24"/>
              </w:rPr>
            </w:pPr>
            <w:r>
              <w:rPr>
                <w:sz w:val="24"/>
              </w:rPr>
              <w:t>为预防此类工况发生，除确保生产设备和施工安装质量先进可靠外，还需加强管理，做好设备的日常维护、保养工作，定期检查环保设施的运行情况，同时严格按照操作规程生产，可减少此类非正常工况的发生。</w:t>
            </w:r>
          </w:p>
          <w:p>
            <w:pPr>
              <w:spacing w:line="360" w:lineRule="auto"/>
              <w:ind w:firstLine="480" w:firstLineChars="200"/>
              <w:rPr>
                <w:sz w:val="24"/>
              </w:rPr>
            </w:pPr>
            <w:r>
              <w:rPr>
                <w:sz w:val="24"/>
              </w:rPr>
              <w:t>②突发事故</w:t>
            </w:r>
          </w:p>
          <w:p>
            <w:pPr>
              <w:adjustRightInd w:val="0"/>
              <w:snapToGrid w:val="0"/>
              <w:spacing w:line="360" w:lineRule="auto"/>
              <w:ind w:firstLine="480" w:firstLineChars="200"/>
              <w:rPr>
                <w:sz w:val="24"/>
              </w:rPr>
            </w:pPr>
            <w:r>
              <w:rPr>
                <w:sz w:val="24"/>
              </w:rPr>
              <w:t>突发性事故可因管理不善、设备检修等内部因素引起，具体表现为意外负荷跳闸，仪表失灵导致操作失控、误操作等，也可因突然断电等引起，最严重的后果是生产无法正常进行等。</w:t>
            </w:r>
          </w:p>
          <w:p>
            <w:pPr>
              <w:adjustRightInd w:val="0"/>
              <w:snapToGrid w:val="0"/>
              <w:spacing w:line="360" w:lineRule="auto"/>
              <w:ind w:firstLine="480" w:firstLineChars="200"/>
              <w:rPr>
                <w:sz w:val="24"/>
              </w:rPr>
            </w:pPr>
            <w:r>
              <w:rPr>
                <w:sz w:val="24"/>
              </w:rPr>
              <w:t>（8）大气监测计划</w:t>
            </w:r>
          </w:p>
          <w:p>
            <w:pPr>
              <w:adjustRightInd w:val="0"/>
              <w:snapToGrid w:val="0"/>
              <w:spacing w:line="360" w:lineRule="auto"/>
              <w:ind w:firstLine="480" w:firstLineChars="200"/>
              <w:rPr>
                <w:sz w:val="24"/>
              </w:rPr>
            </w:pPr>
            <w:r>
              <w:rPr>
                <w:sz w:val="24"/>
              </w:rPr>
              <w:t>监测点位：排气筒（FQ-5）排口设置口；</w:t>
            </w:r>
          </w:p>
          <w:p>
            <w:pPr>
              <w:adjustRightInd w:val="0"/>
              <w:snapToGrid w:val="0"/>
              <w:spacing w:line="360" w:lineRule="auto"/>
              <w:ind w:firstLine="480" w:firstLineChars="200"/>
              <w:rPr>
                <w:sz w:val="24"/>
              </w:rPr>
            </w:pPr>
            <w:r>
              <w:rPr>
                <w:sz w:val="24"/>
              </w:rPr>
              <w:t>监测频次：按照《排污单位自行监测技术指南总则》（HJ819-2017）、《排污许可证申请与核发技术规范 锅炉》(HJ953-2018)、《排污单位自行监测技术指南 火力发电及锅炉》(HJ820-2017）中相关要求；</w:t>
            </w:r>
          </w:p>
          <w:p>
            <w:pPr>
              <w:adjustRightInd w:val="0"/>
              <w:snapToGrid w:val="0"/>
              <w:spacing w:line="360" w:lineRule="auto"/>
              <w:ind w:firstLine="480" w:firstLineChars="200"/>
              <w:rPr>
                <w:sz w:val="24"/>
              </w:rPr>
            </w:pPr>
            <w:r>
              <w:rPr>
                <w:sz w:val="24"/>
              </w:rPr>
              <w:t>监测因子：氮氧化物、颗粒物、二氧化硫。</w:t>
            </w:r>
          </w:p>
          <w:p>
            <w:pPr>
              <w:adjustRightInd w:val="0"/>
              <w:snapToGrid w:val="0"/>
              <w:spacing w:line="360" w:lineRule="auto"/>
              <w:ind w:firstLine="480" w:firstLineChars="200"/>
              <w:rPr>
                <w:sz w:val="24"/>
              </w:rPr>
            </w:pPr>
            <w:r>
              <w:rPr>
                <w:sz w:val="24"/>
              </w:rPr>
              <w:t>废气监测位置、监测因子、频率等详见下表；</w:t>
            </w:r>
          </w:p>
          <w:p>
            <w:pPr>
              <w:adjustRightInd w:val="0"/>
              <w:snapToGrid w:val="0"/>
              <w:jc w:val="center"/>
              <w:rPr>
                <w:b/>
                <w:bCs/>
                <w:sz w:val="24"/>
              </w:rPr>
            </w:pPr>
            <w:r>
              <w:rPr>
                <w:b/>
                <w:bCs/>
                <w:sz w:val="24"/>
              </w:rPr>
              <w:t>表4-</w:t>
            </w:r>
            <w:r>
              <w:rPr>
                <w:rFonts w:hint="eastAsia"/>
                <w:b/>
                <w:bCs/>
                <w:sz w:val="24"/>
                <w:lang w:val="en-US" w:eastAsia="zh-CN"/>
              </w:rPr>
              <w:t>5</w:t>
            </w:r>
            <w:r>
              <w:rPr>
                <w:b/>
                <w:bCs/>
                <w:sz w:val="24"/>
              </w:rPr>
              <w:t xml:space="preserve">  营运期监测计划表</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973"/>
              <w:gridCol w:w="2103"/>
              <w:gridCol w:w="310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 w:type="pct"/>
                  <w:vAlign w:val="center"/>
                </w:tcPr>
                <w:p>
                  <w:pPr>
                    <w:adjustRightInd w:val="0"/>
                    <w:snapToGrid w:val="0"/>
                    <w:jc w:val="center"/>
                    <w:rPr>
                      <w:b/>
                      <w:szCs w:val="21"/>
                    </w:rPr>
                  </w:pPr>
                  <w:r>
                    <w:rPr>
                      <w:b/>
                      <w:szCs w:val="21"/>
                    </w:rPr>
                    <w:t>污染种类</w:t>
                  </w:r>
                </w:p>
              </w:tc>
              <w:tc>
                <w:tcPr>
                  <w:tcW w:w="1174" w:type="pct"/>
                  <w:vAlign w:val="center"/>
                </w:tcPr>
                <w:p>
                  <w:pPr>
                    <w:adjustRightInd w:val="0"/>
                    <w:snapToGrid w:val="0"/>
                    <w:jc w:val="center"/>
                    <w:rPr>
                      <w:b/>
                      <w:szCs w:val="21"/>
                    </w:rPr>
                  </w:pPr>
                  <w:r>
                    <w:rPr>
                      <w:b/>
                      <w:szCs w:val="21"/>
                    </w:rPr>
                    <w:t>监测位置</w:t>
                  </w:r>
                </w:p>
              </w:tc>
              <w:tc>
                <w:tcPr>
                  <w:tcW w:w="1250" w:type="pct"/>
                  <w:vAlign w:val="center"/>
                </w:tcPr>
                <w:p>
                  <w:pPr>
                    <w:adjustRightInd w:val="0"/>
                    <w:snapToGrid w:val="0"/>
                    <w:jc w:val="center"/>
                    <w:rPr>
                      <w:b/>
                      <w:szCs w:val="21"/>
                    </w:rPr>
                  </w:pPr>
                  <w:r>
                    <w:rPr>
                      <w:b/>
                      <w:szCs w:val="21"/>
                    </w:rPr>
                    <w:t>监测因子</w:t>
                  </w:r>
                </w:p>
              </w:tc>
              <w:tc>
                <w:tcPr>
                  <w:tcW w:w="1844" w:type="pct"/>
                  <w:vAlign w:val="center"/>
                </w:tcPr>
                <w:p>
                  <w:pPr>
                    <w:adjustRightInd w:val="0"/>
                    <w:snapToGrid w:val="0"/>
                    <w:jc w:val="center"/>
                    <w:rPr>
                      <w:b/>
                      <w:szCs w:val="21"/>
                    </w:rPr>
                  </w:pPr>
                  <w:r>
                    <w:rPr>
                      <w:b/>
                      <w:szCs w:val="21"/>
                    </w:rPr>
                    <w:t>监测频率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 w:type="pct"/>
                  <w:vMerge w:val="restart"/>
                  <w:vAlign w:val="center"/>
                </w:tcPr>
                <w:p>
                  <w:pPr>
                    <w:adjustRightInd w:val="0"/>
                    <w:snapToGrid w:val="0"/>
                    <w:jc w:val="center"/>
                    <w:rPr>
                      <w:szCs w:val="21"/>
                    </w:rPr>
                  </w:pPr>
                  <w:r>
                    <w:rPr>
                      <w:szCs w:val="21"/>
                    </w:rPr>
                    <w:t>废气</w:t>
                  </w:r>
                </w:p>
              </w:tc>
              <w:tc>
                <w:tcPr>
                  <w:tcW w:w="1174" w:type="pct"/>
                  <w:vMerge w:val="restart"/>
                  <w:vAlign w:val="center"/>
                </w:tcPr>
                <w:p>
                  <w:pPr>
                    <w:adjustRightInd w:val="0"/>
                    <w:snapToGrid w:val="0"/>
                    <w:jc w:val="center"/>
                    <w:rPr>
                      <w:szCs w:val="21"/>
                    </w:rPr>
                  </w:pPr>
                  <w:r>
                    <w:rPr>
                      <w:szCs w:val="21"/>
                    </w:rPr>
                    <w:t>FQ-5排气筒</w:t>
                  </w:r>
                </w:p>
              </w:tc>
              <w:tc>
                <w:tcPr>
                  <w:tcW w:w="1250" w:type="pct"/>
                  <w:vAlign w:val="center"/>
                </w:tcPr>
                <w:p>
                  <w:pPr>
                    <w:adjustRightInd w:val="0"/>
                    <w:snapToGrid w:val="0"/>
                    <w:jc w:val="center"/>
                    <w:rPr>
                      <w:szCs w:val="21"/>
                    </w:rPr>
                  </w:pPr>
                  <w:r>
                    <w:rPr>
                      <w:szCs w:val="21"/>
                    </w:rPr>
                    <w:t>氮氧化物</w:t>
                  </w:r>
                </w:p>
              </w:tc>
              <w:tc>
                <w:tcPr>
                  <w:tcW w:w="1844" w:type="pct"/>
                  <w:vAlign w:val="center"/>
                </w:tcPr>
                <w:p>
                  <w:pPr>
                    <w:adjustRightInd w:val="0"/>
                    <w:snapToGrid w:val="0"/>
                    <w:jc w:val="center"/>
                    <w:rPr>
                      <w:szCs w:val="21"/>
                    </w:rPr>
                  </w:pPr>
                  <w:r>
                    <w:rPr>
                      <w:szCs w:val="21"/>
                    </w:rPr>
                    <w:t>1月1次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 w:type="pct"/>
                  <w:vMerge w:val="continue"/>
                  <w:vAlign w:val="center"/>
                </w:tcPr>
                <w:p>
                  <w:pPr>
                    <w:adjustRightInd w:val="0"/>
                    <w:snapToGrid w:val="0"/>
                    <w:jc w:val="center"/>
                    <w:rPr>
                      <w:szCs w:val="21"/>
                    </w:rPr>
                  </w:pPr>
                </w:p>
              </w:tc>
              <w:tc>
                <w:tcPr>
                  <w:tcW w:w="1174" w:type="pct"/>
                  <w:vMerge w:val="continue"/>
                  <w:vAlign w:val="center"/>
                </w:tcPr>
                <w:p>
                  <w:pPr>
                    <w:adjustRightInd w:val="0"/>
                    <w:snapToGrid w:val="0"/>
                    <w:jc w:val="center"/>
                    <w:rPr>
                      <w:szCs w:val="21"/>
                    </w:rPr>
                  </w:pPr>
                </w:p>
              </w:tc>
              <w:tc>
                <w:tcPr>
                  <w:tcW w:w="1250" w:type="pct"/>
                  <w:vAlign w:val="center"/>
                </w:tcPr>
                <w:p>
                  <w:pPr>
                    <w:adjustRightInd w:val="0"/>
                    <w:snapToGrid w:val="0"/>
                    <w:jc w:val="center"/>
                    <w:rPr>
                      <w:szCs w:val="21"/>
                    </w:rPr>
                  </w:pPr>
                  <w:r>
                    <w:rPr>
                      <w:szCs w:val="21"/>
                    </w:rPr>
                    <w:t>颗粒物</w:t>
                  </w:r>
                </w:p>
              </w:tc>
              <w:tc>
                <w:tcPr>
                  <w:tcW w:w="1844" w:type="pct"/>
                  <w:vAlign w:val="center"/>
                </w:tcPr>
                <w:p>
                  <w:pPr>
                    <w:adjustRightInd w:val="0"/>
                    <w:snapToGrid w:val="0"/>
                    <w:jc w:val="center"/>
                    <w:rPr>
                      <w:szCs w:val="21"/>
                    </w:rPr>
                  </w:pPr>
                  <w:r>
                    <w:rPr>
                      <w:szCs w:val="21"/>
                    </w:rPr>
                    <w:t>1年1次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 w:type="pct"/>
                  <w:vMerge w:val="continue"/>
                  <w:vAlign w:val="center"/>
                </w:tcPr>
                <w:p>
                  <w:pPr>
                    <w:adjustRightInd w:val="0"/>
                    <w:snapToGrid w:val="0"/>
                    <w:jc w:val="center"/>
                    <w:rPr>
                      <w:szCs w:val="21"/>
                    </w:rPr>
                  </w:pPr>
                </w:p>
              </w:tc>
              <w:tc>
                <w:tcPr>
                  <w:tcW w:w="1174" w:type="pct"/>
                  <w:vMerge w:val="continue"/>
                  <w:vAlign w:val="center"/>
                </w:tcPr>
                <w:p>
                  <w:pPr>
                    <w:adjustRightInd w:val="0"/>
                    <w:snapToGrid w:val="0"/>
                    <w:jc w:val="center"/>
                    <w:rPr>
                      <w:szCs w:val="21"/>
                    </w:rPr>
                  </w:pPr>
                </w:p>
              </w:tc>
              <w:tc>
                <w:tcPr>
                  <w:tcW w:w="1250" w:type="pct"/>
                  <w:vAlign w:val="center"/>
                </w:tcPr>
                <w:p>
                  <w:pPr>
                    <w:adjustRightInd w:val="0"/>
                    <w:snapToGrid w:val="0"/>
                    <w:jc w:val="center"/>
                    <w:rPr>
                      <w:szCs w:val="21"/>
                    </w:rPr>
                  </w:pPr>
                  <w:r>
                    <w:rPr>
                      <w:szCs w:val="21"/>
                    </w:rPr>
                    <w:t>二氧化硫</w:t>
                  </w:r>
                </w:p>
              </w:tc>
              <w:tc>
                <w:tcPr>
                  <w:tcW w:w="1844" w:type="pct"/>
                  <w:vAlign w:val="center"/>
                </w:tcPr>
                <w:p>
                  <w:pPr>
                    <w:adjustRightInd w:val="0"/>
                    <w:snapToGrid w:val="0"/>
                    <w:jc w:val="center"/>
                    <w:rPr>
                      <w:szCs w:val="21"/>
                    </w:rPr>
                  </w:pPr>
                  <w:r>
                    <w:rPr>
                      <w:szCs w:val="21"/>
                    </w:rPr>
                    <w:t>1年1次</w:t>
                  </w:r>
                </w:p>
              </w:tc>
            </w:tr>
          </w:tbl>
          <w:p>
            <w:pPr>
              <w:spacing w:line="360" w:lineRule="auto"/>
              <w:rPr>
                <w:b/>
                <w:bCs/>
                <w:sz w:val="24"/>
              </w:rPr>
            </w:pPr>
            <w:r>
              <w:rPr>
                <w:b/>
                <w:bCs/>
                <w:sz w:val="24"/>
              </w:rPr>
              <w:t>2、废水</w:t>
            </w:r>
          </w:p>
          <w:p>
            <w:pPr>
              <w:pStyle w:val="6"/>
              <w:ind w:firstLine="480" w:firstLineChars="200"/>
            </w:pPr>
            <w:r>
              <w:t>本项目无新增生产废水及生活污水。</w:t>
            </w:r>
          </w:p>
          <w:p>
            <w:pPr>
              <w:adjustRightInd w:val="0"/>
              <w:snapToGrid w:val="0"/>
              <w:spacing w:line="360" w:lineRule="auto"/>
              <w:rPr>
                <w:b/>
                <w:bCs/>
                <w:sz w:val="24"/>
              </w:rPr>
            </w:pPr>
            <w:r>
              <w:rPr>
                <w:b/>
                <w:sz w:val="24"/>
              </w:rPr>
              <w:t>3、噪声</w:t>
            </w:r>
          </w:p>
          <w:p>
            <w:pPr>
              <w:adjustRightInd w:val="0"/>
              <w:snapToGrid w:val="0"/>
              <w:spacing w:line="360" w:lineRule="auto"/>
              <w:ind w:firstLine="480" w:firstLineChars="200"/>
              <w:rPr>
                <w:bCs/>
                <w:sz w:val="24"/>
              </w:rPr>
            </w:pPr>
            <w:r>
              <w:rPr>
                <w:bCs/>
                <w:sz w:val="24"/>
              </w:rPr>
              <w:t>（1）源强分析</w:t>
            </w:r>
          </w:p>
          <w:p>
            <w:pPr>
              <w:adjustRightInd w:val="0"/>
              <w:snapToGrid w:val="0"/>
              <w:spacing w:line="360" w:lineRule="auto"/>
              <w:ind w:firstLine="480" w:firstLineChars="200"/>
              <w:rPr>
                <w:sz w:val="24"/>
              </w:rPr>
            </w:pPr>
            <w:r>
              <w:rPr>
                <w:bCs/>
                <w:sz w:val="24"/>
              </w:rPr>
              <w:t>本项目</w:t>
            </w:r>
            <w:r>
              <w:rPr>
                <w:bCs/>
                <w:sz w:val="24"/>
                <w:szCs w:val="22"/>
              </w:rPr>
              <w:t>噪声源主要来自锅炉及其辅助设备</w:t>
            </w:r>
            <w:r>
              <w:rPr>
                <w:bCs/>
                <w:sz w:val="24"/>
              </w:rPr>
              <w:t>运转时产生的噪声，噪声源强约为80dB（A）。主要噪声源见下表：</w:t>
            </w:r>
          </w:p>
          <w:p>
            <w:pPr>
              <w:snapToGrid w:val="0"/>
              <w:jc w:val="center"/>
              <w:rPr>
                <w:b/>
                <w:bCs/>
                <w:sz w:val="24"/>
              </w:rPr>
            </w:pPr>
            <w:r>
              <w:rPr>
                <w:b/>
                <w:bCs/>
                <w:sz w:val="24"/>
              </w:rPr>
              <w:t>表4-</w:t>
            </w:r>
            <w:r>
              <w:rPr>
                <w:rFonts w:hint="eastAsia"/>
                <w:b/>
                <w:bCs/>
                <w:sz w:val="24"/>
                <w:lang w:val="en-US" w:eastAsia="zh-CN"/>
              </w:rPr>
              <w:t>6</w:t>
            </w:r>
            <w:r>
              <w:rPr>
                <w:b/>
                <w:bCs/>
                <w:sz w:val="24"/>
              </w:rPr>
              <w:t xml:space="preserve">  本项目噪声排放一览表</w:t>
            </w:r>
          </w:p>
          <w:tbl>
            <w:tblPr>
              <w:tblStyle w:val="21"/>
              <w:tblW w:w="0" w:type="auto"/>
              <w:jc w:val="center"/>
              <w:tblBorders>
                <w:top w:val="single" w:color="auto" w:sz="12" w:space="0"/>
                <w:left w:val="none" w:color="auto" w:sz="0" w:space="0"/>
                <w:bottom w:val="single" w:color="auto"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638"/>
              <w:gridCol w:w="1686"/>
              <w:gridCol w:w="1239"/>
              <w:gridCol w:w="1540"/>
              <w:gridCol w:w="1686"/>
              <w:gridCol w:w="1661"/>
            </w:tblGrid>
            <w:tr>
              <w:tblPrEx>
                <w:tblBorders>
                  <w:top w:val="single" w:color="auto" w:sz="12" w:space="0"/>
                  <w:left w:val="none" w:color="auto" w:sz="0" w:space="0"/>
                  <w:bottom w:val="single" w:color="auto"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638" w:type="dxa"/>
                  <w:vAlign w:val="center"/>
                </w:tcPr>
                <w:p>
                  <w:pPr>
                    <w:adjustRightInd w:val="0"/>
                    <w:snapToGrid w:val="0"/>
                    <w:jc w:val="center"/>
                    <w:rPr>
                      <w:b/>
                      <w:bCs/>
                      <w:szCs w:val="21"/>
                    </w:rPr>
                  </w:pPr>
                  <w:r>
                    <w:rPr>
                      <w:b/>
                      <w:bCs/>
                      <w:szCs w:val="21"/>
                    </w:rPr>
                    <w:t>序号</w:t>
                  </w:r>
                </w:p>
              </w:tc>
              <w:tc>
                <w:tcPr>
                  <w:tcW w:w="1686" w:type="dxa"/>
                  <w:vAlign w:val="center"/>
                </w:tcPr>
                <w:p>
                  <w:pPr>
                    <w:adjustRightInd w:val="0"/>
                    <w:snapToGrid w:val="0"/>
                    <w:jc w:val="center"/>
                    <w:rPr>
                      <w:b/>
                      <w:bCs/>
                      <w:szCs w:val="21"/>
                    </w:rPr>
                  </w:pPr>
                  <w:r>
                    <w:rPr>
                      <w:b/>
                      <w:bCs/>
                      <w:szCs w:val="21"/>
                    </w:rPr>
                    <w:t>设备名称</w:t>
                  </w:r>
                </w:p>
              </w:tc>
              <w:tc>
                <w:tcPr>
                  <w:tcW w:w="1239" w:type="dxa"/>
                  <w:vAlign w:val="center"/>
                </w:tcPr>
                <w:p>
                  <w:pPr>
                    <w:adjustRightInd w:val="0"/>
                    <w:snapToGrid w:val="0"/>
                    <w:jc w:val="center"/>
                    <w:rPr>
                      <w:b/>
                      <w:bCs/>
                      <w:szCs w:val="21"/>
                    </w:rPr>
                  </w:pPr>
                  <w:r>
                    <w:rPr>
                      <w:b/>
                      <w:bCs/>
                      <w:szCs w:val="21"/>
                    </w:rPr>
                    <w:t>源强dB(A)</w:t>
                  </w:r>
                </w:p>
              </w:tc>
              <w:tc>
                <w:tcPr>
                  <w:tcW w:w="1540" w:type="dxa"/>
                  <w:vAlign w:val="center"/>
                </w:tcPr>
                <w:p>
                  <w:pPr>
                    <w:adjustRightInd w:val="0"/>
                    <w:snapToGrid w:val="0"/>
                    <w:jc w:val="center"/>
                    <w:rPr>
                      <w:b/>
                      <w:bCs/>
                      <w:szCs w:val="21"/>
                    </w:rPr>
                  </w:pPr>
                  <w:r>
                    <w:rPr>
                      <w:b/>
                      <w:bCs/>
                      <w:szCs w:val="21"/>
                    </w:rPr>
                    <w:t>数量（台/套）</w:t>
                  </w:r>
                </w:p>
              </w:tc>
              <w:tc>
                <w:tcPr>
                  <w:tcW w:w="1686" w:type="dxa"/>
                  <w:vAlign w:val="center"/>
                </w:tcPr>
                <w:p>
                  <w:pPr>
                    <w:adjustRightInd w:val="0"/>
                    <w:snapToGrid w:val="0"/>
                    <w:jc w:val="center"/>
                    <w:rPr>
                      <w:b/>
                      <w:bCs/>
                      <w:szCs w:val="21"/>
                    </w:rPr>
                  </w:pPr>
                  <w:r>
                    <w:rPr>
                      <w:b/>
                      <w:bCs/>
                      <w:szCs w:val="21"/>
                    </w:rPr>
                    <w:t>降噪措施</w:t>
                  </w:r>
                </w:p>
              </w:tc>
              <w:tc>
                <w:tcPr>
                  <w:tcW w:w="1661" w:type="dxa"/>
                </w:tcPr>
                <w:p>
                  <w:pPr>
                    <w:adjustRightInd w:val="0"/>
                    <w:snapToGrid w:val="0"/>
                    <w:jc w:val="center"/>
                    <w:rPr>
                      <w:b/>
                      <w:bCs/>
                      <w:szCs w:val="21"/>
                    </w:rPr>
                  </w:pPr>
                  <w:r>
                    <w:rPr>
                      <w:b/>
                      <w:bCs/>
                      <w:szCs w:val="21"/>
                    </w:rPr>
                    <w:t>排放强度dB(A)</w:t>
                  </w:r>
                </w:p>
              </w:tc>
            </w:tr>
            <w:tr>
              <w:tblPrEx>
                <w:tblBorders>
                  <w:top w:val="single" w:color="auto" w:sz="12" w:space="0"/>
                  <w:left w:val="none" w:color="auto" w:sz="0" w:space="0"/>
                  <w:bottom w:val="single" w:color="auto"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638" w:type="dxa"/>
                  <w:vAlign w:val="center"/>
                </w:tcPr>
                <w:p>
                  <w:pPr>
                    <w:adjustRightInd w:val="0"/>
                    <w:snapToGrid w:val="0"/>
                    <w:jc w:val="center"/>
                    <w:rPr>
                      <w:szCs w:val="21"/>
                    </w:rPr>
                  </w:pPr>
                  <w:r>
                    <w:rPr>
                      <w:szCs w:val="21"/>
                    </w:rPr>
                    <w:t>1</w:t>
                  </w:r>
                </w:p>
              </w:tc>
              <w:tc>
                <w:tcPr>
                  <w:tcW w:w="1686" w:type="dxa"/>
                  <w:vAlign w:val="center"/>
                </w:tcPr>
                <w:p>
                  <w:pPr>
                    <w:adjustRightInd w:val="0"/>
                    <w:snapToGrid w:val="0"/>
                    <w:jc w:val="center"/>
                    <w:rPr>
                      <w:szCs w:val="21"/>
                    </w:rPr>
                  </w:pPr>
                  <w:r>
                    <w:rPr>
                      <w:szCs w:val="21"/>
                    </w:rPr>
                    <w:t>锅炉及辅助设备</w:t>
                  </w:r>
                </w:p>
              </w:tc>
              <w:tc>
                <w:tcPr>
                  <w:tcW w:w="1239" w:type="dxa"/>
                  <w:vAlign w:val="center"/>
                </w:tcPr>
                <w:p>
                  <w:pPr>
                    <w:adjustRightInd w:val="0"/>
                    <w:snapToGrid w:val="0"/>
                    <w:jc w:val="center"/>
                    <w:rPr>
                      <w:szCs w:val="21"/>
                    </w:rPr>
                  </w:pPr>
                  <w:r>
                    <w:rPr>
                      <w:szCs w:val="21"/>
                    </w:rPr>
                    <w:t>80</w:t>
                  </w:r>
                </w:p>
              </w:tc>
              <w:tc>
                <w:tcPr>
                  <w:tcW w:w="1540" w:type="dxa"/>
                  <w:vAlign w:val="center"/>
                </w:tcPr>
                <w:p>
                  <w:pPr>
                    <w:adjustRightInd w:val="0"/>
                    <w:snapToGrid w:val="0"/>
                    <w:jc w:val="center"/>
                    <w:rPr>
                      <w:szCs w:val="21"/>
                    </w:rPr>
                  </w:pPr>
                  <w:r>
                    <w:rPr>
                      <w:szCs w:val="21"/>
                    </w:rPr>
                    <w:t>1</w:t>
                  </w:r>
                </w:p>
              </w:tc>
              <w:tc>
                <w:tcPr>
                  <w:tcW w:w="1686" w:type="dxa"/>
                  <w:vAlign w:val="center"/>
                </w:tcPr>
                <w:p>
                  <w:pPr>
                    <w:adjustRightInd w:val="0"/>
                    <w:snapToGrid w:val="0"/>
                    <w:jc w:val="center"/>
                    <w:rPr>
                      <w:szCs w:val="21"/>
                    </w:rPr>
                  </w:pPr>
                  <w:r>
                    <w:rPr>
                      <w:szCs w:val="21"/>
                    </w:rPr>
                    <w:t>减振、厂房隔声</w:t>
                  </w:r>
                </w:p>
              </w:tc>
              <w:tc>
                <w:tcPr>
                  <w:tcW w:w="1661" w:type="dxa"/>
                  <w:vAlign w:val="center"/>
                </w:tcPr>
                <w:p>
                  <w:pPr>
                    <w:adjustRightInd w:val="0"/>
                    <w:snapToGrid w:val="0"/>
                    <w:jc w:val="center"/>
                    <w:rPr>
                      <w:szCs w:val="21"/>
                    </w:rPr>
                  </w:pPr>
                  <w:r>
                    <w:rPr>
                      <w:szCs w:val="21"/>
                    </w:rPr>
                    <w:t>55</w:t>
                  </w:r>
                </w:p>
              </w:tc>
            </w:tr>
          </w:tbl>
          <w:p>
            <w:pPr>
              <w:pStyle w:val="5"/>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（2）防治措施</w:t>
            </w:r>
          </w:p>
          <w:p>
            <w:pPr>
              <w:pStyle w:val="5"/>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本项目对噪声源拟采取减振、厂房隔声的措施，并利用车间的厂房对噪声进行隔声。采取的具体噪声措施如下：</w:t>
            </w:r>
          </w:p>
          <w:p>
            <w:pPr>
              <w:pStyle w:val="5"/>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①充分利用厂区建筑物隔声、降噪，有利于减少生产噪声对厂外声环境的影响。</w:t>
            </w:r>
          </w:p>
          <w:p>
            <w:pPr>
              <w:pStyle w:val="5"/>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②合理布局，闹静分开，使高噪声设备尽量远离敏感点。</w:t>
            </w:r>
          </w:p>
          <w:p>
            <w:pPr>
              <w:pStyle w:val="5"/>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 3 \* GB3 \* MERGEFORMAT </w:instrText>
            </w:r>
            <w:r>
              <w:rPr>
                <w:rFonts w:ascii="Times New Roman" w:hAnsi="Times New Roman"/>
                <w:sz w:val="24"/>
                <w:szCs w:val="24"/>
              </w:rPr>
              <w:fldChar w:fldCharType="separate"/>
            </w:r>
            <w:r>
              <w:rPr>
                <w:rFonts w:ascii="Times New Roman" w:hAnsi="Times New Roman"/>
                <w:sz w:val="24"/>
                <w:szCs w:val="24"/>
              </w:rPr>
              <w:t>③</w:t>
            </w:r>
            <w:r>
              <w:rPr>
                <w:rFonts w:ascii="Times New Roman" w:hAnsi="Times New Roman"/>
                <w:sz w:val="24"/>
                <w:szCs w:val="24"/>
              </w:rPr>
              <w:fldChar w:fldCharType="end"/>
            </w:r>
            <w:r>
              <w:rPr>
                <w:rFonts w:ascii="Times New Roman" w:hAnsi="Times New Roman"/>
                <w:sz w:val="24"/>
                <w:szCs w:val="24"/>
              </w:rPr>
              <w:t>项目设备应加强日常的维护，确保设备的正常运行，避免产生异常噪声。</w:t>
            </w:r>
          </w:p>
          <w:p>
            <w:pPr>
              <w:adjustRightInd w:val="0"/>
              <w:snapToGrid w:val="0"/>
              <w:spacing w:line="360" w:lineRule="auto"/>
              <w:ind w:firstLine="480" w:firstLineChars="200"/>
              <w:rPr>
                <w:sz w:val="24"/>
              </w:rPr>
            </w:pPr>
            <w:r>
              <w:rPr>
                <w:sz w:val="24"/>
              </w:rPr>
              <w:t>（3）达标情况分析</w:t>
            </w:r>
          </w:p>
          <w:p>
            <w:pPr>
              <w:adjustRightInd w:val="0"/>
              <w:snapToGrid w:val="0"/>
              <w:spacing w:line="360" w:lineRule="auto"/>
              <w:ind w:firstLine="480" w:firstLineChars="200"/>
              <w:rPr>
                <w:sz w:val="24"/>
              </w:rPr>
            </w:pPr>
            <w:r>
              <w:rPr>
                <w:bCs/>
                <w:sz w:val="24"/>
              </w:rPr>
              <w:t>本项目</w:t>
            </w:r>
            <w:r>
              <w:rPr>
                <w:bCs/>
                <w:sz w:val="24"/>
                <w:szCs w:val="22"/>
              </w:rPr>
              <w:t>噪声源主要来自锅炉及其</w:t>
            </w:r>
            <w:r>
              <w:rPr>
                <w:rFonts w:hint="eastAsia"/>
                <w:bCs/>
                <w:sz w:val="24"/>
                <w:szCs w:val="22"/>
                <w:lang w:val="en-US" w:eastAsia="zh-CN"/>
              </w:rPr>
              <w:t>辅助</w:t>
            </w:r>
            <w:r>
              <w:rPr>
                <w:bCs/>
                <w:sz w:val="24"/>
                <w:szCs w:val="22"/>
              </w:rPr>
              <w:t>设备</w:t>
            </w:r>
            <w:r>
              <w:rPr>
                <w:bCs/>
                <w:sz w:val="24"/>
              </w:rPr>
              <w:t>运转时产生的噪声，噪声源强约为80dB（A）。设备安置在</w:t>
            </w:r>
            <w:r>
              <w:rPr>
                <w:sz w:val="24"/>
              </w:rPr>
              <w:t>车间内，采取防振、厂房的隔声和距离衰减等降噪措施后，对各厂界噪声情况见下表：</w:t>
            </w:r>
          </w:p>
          <w:p>
            <w:pPr>
              <w:autoSpaceDE w:val="0"/>
              <w:autoSpaceDN w:val="0"/>
              <w:jc w:val="center"/>
              <w:rPr>
                <w:b/>
                <w:bCs/>
                <w:sz w:val="24"/>
              </w:rPr>
            </w:pPr>
            <w:r>
              <w:rPr>
                <w:b/>
                <w:bCs/>
                <w:sz w:val="24"/>
              </w:rPr>
              <w:t>表4-</w:t>
            </w:r>
            <w:r>
              <w:rPr>
                <w:rFonts w:hint="eastAsia"/>
                <w:b/>
                <w:bCs/>
                <w:sz w:val="24"/>
                <w:lang w:val="en-US" w:eastAsia="zh-CN"/>
              </w:rPr>
              <w:t>7</w:t>
            </w:r>
            <w:r>
              <w:rPr>
                <w:b/>
                <w:bCs/>
                <w:sz w:val="24"/>
              </w:rPr>
              <w:t xml:space="preserve">  本项目各厂界噪声预测结果</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79"/>
              <w:gridCol w:w="458"/>
              <w:gridCol w:w="1796"/>
              <w:gridCol w:w="674"/>
              <w:gridCol w:w="672"/>
              <w:gridCol w:w="672"/>
              <w:gridCol w:w="672"/>
              <w:gridCol w:w="672"/>
              <w:gridCol w:w="672"/>
              <w:gridCol w:w="672"/>
              <w:gridCol w:w="66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804" w:type="pct"/>
                  <w:gridSpan w:val="3"/>
                  <w:tcBorders>
                    <w:top w:val="single" w:color="auto" w:sz="12" w:space="0"/>
                    <w:bottom w:val="single" w:color="auto" w:sz="4" w:space="0"/>
                    <w:tl2br w:val="single" w:color="auto" w:sz="4" w:space="0"/>
                  </w:tcBorders>
                  <w:vAlign w:val="center"/>
                </w:tcPr>
                <w:p>
                  <w:pPr>
                    <w:snapToGrid w:val="0"/>
                    <w:jc w:val="center"/>
                    <w:rPr>
                      <w:bCs/>
                      <w:szCs w:val="21"/>
                    </w:rPr>
                  </w:pPr>
                  <w:r>
                    <w:rPr>
                      <w:bCs/>
                      <w:szCs w:val="21"/>
                    </w:rPr>
                    <w:t xml:space="preserve">            预测点</w:t>
                  </w:r>
                </w:p>
                <w:p>
                  <w:pPr>
                    <w:snapToGrid w:val="0"/>
                    <w:rPr>
                      <w:bCs/>
                      <w:szCs w:val="21"/>
                    </w:rPr>
                  </w:pPr>
                  <w:r>
                    <w:rPr>
                      <w:bCs/>
                      <w:szCs w:val="21"/>
                    </w:rPr>
                    <w:t>本项目（声源）</w:t>
                  </w:r>
                </w:p>
              </w:tc>
              <w:tc>
                <w:tcPr>
                  <w:tcW w:w="800" w:type="pct"/>
                  <w:gridSpan w:val="2"/>
                  <w:tcBorders>
                    <w:top w:val="single" w:color="auto" w:sz="12" w:space="0"/>
                    <w:bottom w:val="single" w:color="auto" w:sz="4" w:space="0"/>
                  </w:tcBorders>
                  <w:vAlign w:val="center"/>
                </w:tcPr>
                <w:p>
                  <w:pPr>
                    <w:snapToGrid w:val="0"/>
                    <w:jc w:val="center"/>
                    <w:rPr>
                      <w:bCs/>
                      <w:szCs w:val="21"/>
                    </w:rPr>
                  </w:pPr>
                  <w:r>
                    <w:rPr>
                      <w:bCs/>
                      <w:szCs w:val="21"/>
                    </w:rPr>
                    <w:t>东厂界</w:t>
                  </w:r>
                </w:p>
              </w:tc>
              <w:tc>
                <w:tcPr>
                  <w:tcW w:w="799" w:type="pct"/>
                  <w:gridSpan w:val="2"/>
                  <w:tcBorders>
                    <w:top w:val="single" w:color="auto" w:sz="12" w:space="0"/>
                    <w:bottom w:val="single" w:color="auto" w:sz="4" w:space="0"/>
                  </w:tcBorders>
                  <w:vAlign w:val="center"/>
                </w:tcPr>
                <w:p>
                  <w:pPr>
                    <w:snapToGrid w:val="0"/>
                    <w:jc w:val="center"/>
                    <w:rPr>
                      <w:bCs/>
                      <w:szCs w:val="21"/>
                    </w:rPr>
                  </w:pPr>
                  <w:r>
                    <w:rPr>
                      <w:bCs/>
                      <w:szCs w:val="21"/>
                    </w:rPr>
                    <w:t>南厂界</w:t>
                  </w:r>
                </w:p>
              </w:tc>
              <w:tc>
                <w:tcPr>
                  <w:tcW w:w="799" w:type="pct"/>
                  <w:gridSpan w:val="2"/>
                  <w:tcBorders>
                    <w:top w:val="single" w:color="auto" w:sz="12" w:space="0"/>
                    <w:bottom w:val="single" w:color="auto" w:sz="4" w:space="0"/>
                  </w:tcBorders>
                  <w:vAlign w:val="center"/>
                </w:tcPr>
                <w:p>
                  <w:pPr>
                    <w:snapToGrid w:val="0"/>
                    <w:jc w:val="center"/>
                    <w:rPr>
                      <w:bCs/>
                      <w:szCs w:val="21"/>
                    </w:rPr>
                  </w:pPr>
                  <w:r>
                    <w:rPr>
                      <w:bCs/>
                      <w:szCs w:val="21"/>
                    </w:rPr>
                    <w:t>西厂界</w:t>
                  </w:r>
                </w:p>
              </w:tc>
              <w:tc>
                <w:tcPr>
                  <w:tcW w:w="795" w:type="pct"/>
                  <w:gridSpan w:val="2"/>
                  <w:tcBorders>
                    <w:top w:val="single" w:color="auto" w:sz="12" w:space="0"/>
                    <w:bottom w:val="single" w:color="auto" w:sz="4" w:space="0"/>
                    <w:right w:val="nil"/>
                  </w:tcBorders>
                  <w:vAlign w:val="center"/>
                </w:tcPr>
                <w:p>
                  <w:pPr>
                    <w:snapToGrid w:val="0"/>
                    <w:jc w:val="center"/>
                    <w:rPr>
                      <w:bCs/>
                      <w:szCs w:val="21"/>
                    </w:rPr>
                  </w:pPr>
                  <w:r>
                    <w:rPr>
                      <w:bCs/>
                      <w:szCs w:val="21"/>
                    </w:rPr>
                    <w:t>北厂界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804" w:type="pct"/>
                  <w:gridSpan w:val="3"/>
                  <w:tcBorders>
                    <w:top w:val="single" w:color="auto" w:sz="4" w:space="0"/>
                    <w:bottom w:val="single" w:color="auto" w:sz="4" w:space="0"/>
                  </w:tcBorders>
                  <w:vAlign w:val="center"/>
                </w:tcPr>
                <w:p>
                  <w:pPr>
                    <w:snapToGrid w:val="0"/>
                    <w:jc w:val="center"/>
                    <w:rPr>
                      <w:bCs/>
                      <w:szCs w:val="21"/>
                    </w:rPr>
                  </w:pPr>
                  <w:r>
                    <w:rPr>
                      <w:bCs/>
                      <w:szCs w:val="21"/>
                    </w:rPr>
                    <w:t>声压级LP(ro)，dB（A）</w:t>
                  </w:r>
                </w:p>
              </w:tc>
              <w:tc>
                <w:tcPr>
                  <w:tcW w:w="3195" w:type="pct"/>
                  <w:gridSpan w:val="8"/>
                  <w:tcBorders>
                    <w:top w:val="single" w:color="auto" w:sz="4" w:space="0"/>
                    <w:bottom w:val="single" w:color="auto" w:sz="4" w:space="0"/>
                    <w:right w:val="nil"/>
                  </w:tcBorders>
                  <w:vAlign w:val="center"/>
                </w:tcPr>
                <w:p>
                  <w:pPr>
                    <w:snapToGrid w:val="0"/>
                    <w:jc w:val="center"/>
                    <w:rPr>
                      <w:rFonts w:hint="default" w:eastAsia="宋体"/>
                      <w:bCs/>
                      <w:szCs w:val="21"/>
                      <w:lang w:val="en-US" w:eastAsia="zh-CN"/>
                    </w:rPr>
                  </w:pPr>
                  <w:r>
                    <w:rPr>
                      <w:rFonts w:hint="eastAsia"/>
                      <w:bCs/>
                      <w:szCs w:val="21"/>
                      <w:lang w:val="en-US" w:eastAsia="zh-CN"/>
                    </w:rPr>
                    <w:t>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63" w:type="pct"/>
                  <w:vMerge w:val="restart"/>
                  <w:tcBorders>
                    <w:top w:val="single" w:color="auto" w:sz="4" w:space="0"/>
                    <w:bottom w:val="single" w:color="auto" w:sz="4" w:space="0"/>
                  </w:tcBorders>
                  <w:vAlign w:val="center"/>
                </w:tcPr>
                <w:p>
                  <w:pPr>
                    <w:snapToGrid w:val="0"/>
                    <w:jc w:val="center"/>
                    <w:rPr>
                      <w:bCs/>
                      <w:szCs w:val="21"/>
                    </w:rPr>
                  </w:pPr>
                  <w:bookmarkStart w:id="2" w:name="OLE_LINK12" w:colFirst="2" w:colLast="5"/>
                  <w:bookmarkStart w:id="3" w:name="_Hlk405534900"/>
                  <w:r>
                    <w:rPr>
                      <w:bCs/>
                      <w:szCs w:val="21"/>
                    </w:rPr>
                    <w:t>声源自参考点（ro）到预测点（r）</w:t>
                  </w:r>
                  <w:r>
                    <w:rPr>
                      <w:szCs w:val="21"/>
                    </w:rPr>
                    <w:t>传播衰减，</w:t>
                  </w:r>
                  <w:r>
                    <w:rPr>
                      <w:bCs/>
                      <w:szCs w:val="21"/>
                    </w:rPr>
                    <w:t>dB</w:t>
                  </w:r>
                </w:p>
              </w:tc>
              <w:tc>
                <w:tcPr>
                  <w:tcW w:w="1340" w:type="pct"/>
                  <w:gridSpan w:val="2"/>
                  <w:tcBorders>
                    <w:top w:val="single" w:color="auto" w:sz="4" w:space="0"/>
                    <w:bottom w:val="single" w:color="auto" w:sz="4" w:space="0"/>
                  </w:tcBorders>
                  <w:vAlign w:val="center"/>
                </w:tcPr>
                <w:p>
                  <w:pPr>
                    <w:snapToGrid w:val="0"/>
                    <w:jc w:val="center"/>
                    <w:rPr>
                      <w:bCs/>
                      <w:szCs w:val="21"/>
                    </w:rPr>
                  </w:pPr>
                  <w:r>
                    <w:rPr>
                      <w:bCs/>
                      <w:szCs w:val="21"/>
                    </w:rPr>
                    <w:t>几何发散A</w:t>
                  </w:r>
                  <w:r>
                    <w:rPr>
                      <w:bCs/>
                      <w:szCs w:val="21"/>
                      <w:vertAlign w:val="subscript"/>
                    </w:rPr>
                    <w:t>div</w:t>
                  </w:r>
                </w:p>
              </w:tc>
              <w:tc>
                <w:tcPr>
                  <w:tcW w:w="800" w:type="pct"/>
                  <w:gridSpan w:val="2"/>
                  <w:tcBorders>
                    <w:top w:val="single" w:color="auto" w:sz="4" w:space="0"/>
                    <w:bottom w:val="single" w:color="auto" w:sz="4" w:space="0"/>
                  </w:tcBorders>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22.9</w:t>
                  </w:r>
                </w:p>
              </w:tc>
              <w:tc>
                <w:tcPr>
                  <w:tcW w:w="799" w:type="pct"/>
                  <w:gridSpan w:val="2"/>
                  <w:tcBorders>
                    <w:top w:val="single" w:color="auto" w:sz="4" w:space="0"/>
                    <w:bottom w:val="single" w:color="auto" w:sz="4" w:space="0"/>
                  </w:tcBorders>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48.4</w:t>
                  </w:r>
                </w:p>
              </w:tc>
              <w:tc>
                <w:tcPr>
                  <w:tcW w:w="799" w:type="pct"/>
                  <w:gridSpan w:val="2"/>
                  <w:tcBorders>
                    <w:top w:val="single" w:color="auto" w:sz="4" w:space="0"/>
                    <w:bottom w:val="single" w:color="auto" w:sz="4" w:space="0"/>
                  </w:tcBorders>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50.8</w:t>
                  </w:r>
                </w:p>
              </w:tc>
              <w:tc>
                <w:tcPr>
                  <w:tcW w:w="795" w:type="pct"/>
                  <w:gridSpan w:val="2"/>
                  <w:tcBorders>
                    <w:top w:val="single" w:color="auto" w:sz="4" w:space="0"/>
                    <w:bottom w:val="single" w:color="auto" w:sz="4" w:space="0"/>
                    <w:right w:val="nil"/>
                  </w:tcBorders>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45.6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63" w:type="pct"/>
                  <w:vMerge w:val="continue"/>
                  <w:tcBorders>
                    <w:top w:val="single" w:color="auto" w:sz="4" w:space="0"/>
                    <w:bottom w:val="single" w:color="auto" w:sz="4" w:space="0"/>
                  </w:tcBorders>
                  <w:vAlign w:val="center"/>
                </w:tcPr>
                <w:p>
                  <w:pPr>
                    <w:snapToGrid w:val="0"/>
                    <w:jc w:val="center"/>
                    <w:rPr>
                      <w:bCs/>
                      <w:szCs w:val="21"/>
                    </w:rPr>
                  </w:pPr>
                </w:p>
              </w:tc>
              <w:tc>
                <w:tcPr>
                  <w:tcW w:w="1340" w:type="pct"/>
                  <w:gridSpan w:val="2"/>
                  <w:tcBorders>
                    <w:top w:val="single" w:color="auto" w:sz="4" w:space="0"/>
                    <w:bottom w:val="single" w:color="auto" w:sz="4" w:space="0"/>
                  </w:tcBorders>
                  <w:vAlign w:val="center"/>
                </w:tcPr>
                <w:p>
                  <w:pPr>
                    <w:snapToGrid w:val="0"/>
                    <w:jc w:val="center"/>
                    <w:rPr>
                      <w:bCs/>
                      <w:szCs w:val="21"/>
                    </w:rPr>
                  </w:pPr>
                  <w:r>
                    <w:rPr>
                      <w:bCs/>
                      <w:szCs w:val="21"/>
                    </w:rPr>
                    <w:t>大气吸收A</w:t>
                  </w:r>
                  <w:r>
                    <w:rPr>
                      <w:bCs/>
                      <w:szCs w:val="21"/>
                      <w:vertAlign w:val="subscript"/>
                    </w:rPr>
                    <w:t>atm</w:t>
                  </w:r>
                </w:p>
              </w:tc>
              <w:tc>
                <w:tcPr>
                  <w:tcW w:w="800" w:type="pct"/>
                  <w:gridSpan w:val="2"/>
                  <w:tcBorders>
                    <w:top w:val="single" w:color="auto" w:sz="4" w:space="0"/>
                    <w:bottom w:val="single" w:color="auto" w:sz="4" w:space="0"/>
                  </w:tcBorders>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0.04</w:t>
                  </w:r>
                </w:p>
              </w:tc>
              <w:tc>
                <w:tcPr>
                  <w:tcW w:w="799" w:type="pct"/>
                  <w:gridSpan w:val="2"/>
                  <w:tcBorders>
                    <w:top w:val="single" w:color="auto" w:sz="4" w:space="0"/>
                    <w:bottom w:val="single" w:color="auto" w:sz="4" w:space="0"/>
                  </w:tcBorders>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0.74</w:t>
                  </w:r>
                </w:p>
              </w:tc>
              <w:tc>
                <w:tcPr>
                  <w:tcW w:w="799" w:type="pct"/>
                  <w:gridSpan w:val="2"/>
                  <w:tcBorders>
                    <w:top w:val="single" w:color="auto" w:sz="4" w:space="0"/>
                    <w:bottom w:val="single" w:color="auto" w:sz="4" w:space="0"/>
                  </w:tcBorders>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0.97</w:t>
                  </w:r>
                </w:p>
              </w:tc>
              <w:tc>
                <w:tcPr>
                  <w:tcW w:w="795" w:type="pct"/>
                  <w:gridSpan w:val="2"/>
                  <w:tcBorders>
                    <w:top w:val="single" w:color="auto" w:sz="4" w:space="0"/>
                    <w:bottom w:val="single" w:color="auto" w:sz="4" w:space="0"/>
                    <w:right w:val="nil"/>
                  </w:tcBorders>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0.53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63" w:type="pct"/>
                  <w:vMerge w:val="continue"/>
                  <w:tcBorders>
                    <w:top w:val="single" w:color="auto" w:sz="4" w:space="0"/>
                    <w:bottom w:val="single" w:color="auto" w:sz="4" w:space="0"/>
                  </w:tcBorders>
                  <w:vAlign w:val="center"/>
                </w:tcPr>
                <w:p>
                  <w:pPr>
                    <w:snapToGrid w:val="0"/>
                    <w:jc w:val="center"/>
                    <w:rPr>
                      <w:bCs/>
                      <w:szCs w:val="21"/>
                    </w:rPr>
                  </w:pPr>
                </w:p>
              </w:tc>
              <w:tc>
                <w:tcPr>
                  <w:tcW w:w="1340" w:type="pct"/>
                  <w:gridSpan w:val="2"/>
                  <w:tcBorders>
                    <w:top w:val="single" w:color="auto" w:sz="4" w:space="0"/>
                    <w:bottom w:val="single" w:color="auto" w:sz="4" w:space="0"/>
                  </w:tcBorders>
                  <w:vAlign w:val="center"/>
                </w:tcPr>
                <w:p>
                  <w:pPr>
                    <w:snapToGrid w:val="0"/>
                    <w:jc w:val="center"/>
                    <w:rPr>
                      <w:bCs/>
                      <w:szCs w:val="21"/>
                    </w:rPr>
                  </w:pPr>
                  <w:r>
                    <w:rPr>
                      <w:bCs/>
                      <w:szCs w:val="21"/>
                    </w:rPr>
                    <w:t>地面效应A</w:t>
                  </w:r>
                  <w:r>
                    <w:rPr>
                      <w:bCs/>
                      <w:szCs w:val="21"/>
                      <w:vertAlign w:val="subscript"/>
                    </w:rPr>
                    <w:t>gr</w:t>
                  </w:r>
                </w:p>
              </w:tc>
              <w:tc>
                <w:tcPr>
                  <w:tcW w:w="800" w:type="pct"/>
                  <w:gridSpan w:val="2"/>
                  <w:tcBorders>
                    <w:top w:val="single" w:color="auto" w:sz="4" w:space="0"/>
                    <w:bottom w:val="single" w:color="auto" w:sz="4" w:space="0"/>
                  </w:tcBorders>
                  <w:vAlign w:val="center"/>
                </w:tcPr>
                <w:p>
                  <w:pPr>
                    <w:snapToGrid w:val="0"/>
                    <w:jc w:val="center"/>
                    <w:rPr>
                      <w:bCs/>
                      <w:szCs w:val="21"/>
                    </w:rPr>
                  </w:pPr>
                  <w:r>
                    <w:rPr>
                      <w:bCs/>
                      <w:szCs w:val="21"/>
                    </w:rPr>
                    <w:t>/</w:t>
                  </w:r>
                </w:p>
              </w:tc>
              <w:tc>
                <w:tcPr>
                  <w:tcW w:w="799" w:type="pct"/>
                  <w:gridSpan w:val="2"/>
                  <w:tcBorders>
                    <w:top w:val="single" w:color="auto" w:sz="4" w:space="0"/>
                    <w:bottom w:val="single" w:color="auto" w:sz="4" w:space="0"/>
                  </w:tcBorders>
                  <w:vAlign w:val="center"/>
                </w:tcPr>
                <w:p>
                  <w:pPr>
                    <w:snapToGrid w:val="0"/>
                    <w:jc w:val="center"/>
                    <w:rPr>
                      <w:bCs/>
                      <w:szCs w:val="21"/>
                    </w:rPr>
                  </w:pPr>
                  <w:r>
                    <w:rPr>
                      <w:bCs/>
                      <w:szCs w:val="21"/>
                    </w:rPr>
                    <w:t>/</w:t>
                  </w:r>
                </w:p>
              </w:tc>
              <w:tc>
                <w:tcPr>
                  <w:tcW w:w="799" w:type="pct"/>
                  <w:gridSpan w:val="2"/>
                  <w:tcBorders>
                    <w:top w:val="single" w:color="auto" w:sz="4" w:space="0"/>
                    <w:bottom w:val="single" w:color="auto" w:sz="4" w:space="0"/>
                  </w:tcBorders>
                  <w:vAlign w:val="center"/>
                </w:tcPr>
                <w:p>
                  <w:pPr>
                    <w:snapToGrid w:val="0"/>
                    <w:jc w:val="center"/>
                    <w:rPr>
                      <w:bCs/>
                      <w:szCs w:val="21"/>
                    </w:rPr>
                  </w:pPr>
                  <w:r>
                    <w:rPr>
                      <w:bCs/>
                      <w:szCs w:val="21"/>
                    </w:rPr>
                    <w:t>/</w:t>
                  </w:r>
                </w:p>
              </w:tc>
              <w:tc>
                <w:tcPr>
                  <w:tcW w:w="795" w:type="pct"/>
                  <w:gridSpan w:val="2"/>
                  <w:tcBorders>
                    <w:top w:val="single" w:color="auto" w:sz="4" w:space="0"/>
                    <w:bottom w:val="single" w:color="auto" w:sz="4" w:space="0"/>
                    <w:right w:val="nil"/>
                  </w:tcBorders>
                  <w:vAlign w:val="center"/>
                </w:tcPr>
                <w:p>
                  <w:pPr>
                    <w:snapToGrid w:val="0"/>
                    <w:jc w:val="center"/>
                    <w:rPr>
                      <w:bCs/>
                      <w:szCs w:val="21"/>
                    </w:rPr>
                  </w:pPr>
                  <w:r>
                    <w:rPr>
                      <w:bCs/>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63" w:type="pct"/>
                  <w:vMerge w:val="continue"/>
                  <w:tcBorders>
                    <w:top w:val="single" w:color="auto" w:sz="4" w:space="0"/>
                    <w:bottom w:val="single" w:color="auto" w:sz="4" w:space="0"/>
                  </w:tcBorders>
                  <w:vAlign w:val="center"/>
                </w:tcPr>
                <w:p>
                  <w:pPr>
                    <w:snapToGrid w:val="0"/>
                    <w:jc w:val="center"/>
                    <w:rPr>
                      <w:bCs/>
                      <w:szCs w:val="21"/>
                    </w:rPr>
                  </w:pPr>
                </w:p>
              </w:tc>
              <w:tc>
                <w:tcPr>
                  <w:tcW w:w="1340" w:type="pct"/>
                  <w:gridSpan w:val="2"/>
                  <w:tcBorders>
                    <w:top w:val="single" w:color="auto" w:sz="4" w:space="0"/>
                    <w:bottom w:val="single" w:color="auto" w:sz="4" w:space="0"/>
                  </w:tcBorders>
                  <w:vAlign w:val="center"/>
                </w:tcPr>
                <w:p>
                  <w:pPr>
                    <w:snapToGrid w:val="0"/>
                    <w:jc w:val="center"/>
                    <w:rPr>
                      <w:bCs/>
                      <w:szCs w:val="21"/>
                    </w:rPr>
                  </w:pPr>
                  <w:r>
                    <w:rPr>
                      <w:bCs/>
                      <w:szCs w:val="21"/>
                    </w:rPr>
                    <w:t>屏障屏蔽A</w:t>
                  </w:r>
                  <w:r>
                    <w:rPr>
                      <w:bCs/>
                      <w:szCs w:val="21"/>
                      <w:vertAlign w:val="subscript"/>
                    </w:rPr>
                    <w:t>bar</w:t>
                  </w:r>
                </w:p>
              </w:tc>
              <w:tc>
                <w:tcPr>
                  <w:tcW w:w="800" w:type="pct"/>
                  <w:gridSpan w:val="2"/>
                  <w:tcBorders>
                    <w:top w:val="single" w:color="auto" w:sz="4" w:space="0"/>
                    <w:bottom w:val="single" w:color="auto" w:sz="4" w:space="0"/>
                  </w:tcBorders>
                  <w:vAlign w:val="center"/>
                </w:tcPr>
                <w:p>
                  <w:pPr>
                    <w:jc w:val="center"/>
                    <w:rPr>
                      <w:szCs w:val="21"/>
                    </w:rPr>
                  </w:pPr>
                  <w:r>
                    <w:rPr>
                      <w:szCs w:val="21"/>
                    </w:rPr>
                    <w:t>26.2</w:t>
                  </w:r>
                </w:p>
              </w:tc>
              <w:tc>
                <w:tcPr>
                  <w:tcW w:w="799" w:type="pct"/>
                  <w:gridSpan w:val="2"/>
                  <w:tcBorders>
                    <w:top w:val="single" w:color="auto" w:sz="4" w:space="0"/>
                    <w:bottom w:val="single" w:color="auto" w:sz="4" w:space="0"/>
                  </w:tcBorders>
                  <w:vAlign w:val="center"/>
                </w:tcPr>
                <w:p>
                  <w:pPr>
                    <w:jc w:val="center"/>
                    <w:rPr>
                      <w:szCs w:val="21"/>
                    </w:rPr>
                  </w:pPr>
                  <w:r>
                    <w:rPr>
                      <w:szCs w:val="21"/>
                    </w:rPr>
                    <w:t>26.8</w:t>
                  </w:r>
                </w:p>
              </w:tc>
              <w:tc>
                <w:tcPr>
                  <w:tcW w:w="799" w:type="pct"/>
                  <w:gridSpan w:val="2"/>
                  <w:tcBorders>
                    <w:top w:val="single" w:color="auto" w:sz="4" w:space="0"/>
                    <w:bottom w:val="single" w:color="auto" w:sz="4" w:space="0"/>
                  </w:tcBorders>
                  <w:vAlign w:val="center"/>
                </w:tcPr>
                <w:p>
                  <w:pPr>
                    <w:jc w:val="center"/>
                    <w:rPr>
                      <w:szCs w:val="21"/>
                    </w:rPr>
                  </w:pPr>
                  <w:r>
                    <w:rPr>
                      <w:szCs w:val="21"/>
                    </w:rPr>
                    <w:t>27.2</w:t>
                  </w:r>
                </w:p>
              </w:tc>
              <w:tc>
                <w:tcPr>
                  <w:tcW w:w="795" w:type="pct"/>
                  <w:gridSpan w:val="2"/>
                  <w:tcBorders>
                    <w:top w:val="single" w:color="auto" w:sz="4" w:space="0"/>
                    <w:bottom w:val="single" w:color="auto" w:sz="4" w:space="0"/>
                    <w:right w:val="nil"/>
                  </w:tcBorders>
                  <w:vAlign w:val="center"/>
                </w:tcPr>
                <w:p>
                  <w:pPr>
                    <w:jc w:val="center"/>
                    <w:rPr>
                      <w:szCs w:val="21"/>
                    </w:rPr>
                  </w:pPr>
                  <w:r>
                    <w:rPr>
                      <w:szCs w:val="21"/>
                    </w:rPr>
                    <w:t>28.1</w:t>
                  </w:r>
                </w:p>
              </w:tc>
            </w:tr>
            <w:bookmarkEnd w:id="2"/>
            <w:bookmarkEnd w:id="3"/>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63" w:type="pct"/>
                  <w:vMerge w:val="continue"/>
                  <w:tcBorders>
                    <w:top w:val="single" w:color="auto" w:sz="4" w:space="0"/>
                    <w:bottom w:val="single" w:color="auto" w:sz="4" w:space="0"/>
                  </w:tcBorders>
                  <w:vAlign w:val="center"/>
                </w:tcPr>
                <w:p>
                  <w:pPr>
                    <w:snapToGrid w:val="0"/>
                    <w:jc w:val="center"/>
                    <w:rPr>
                      <w:bCs/>
                      <w:szCs w:val="21"/>
                    </w:rPr>
                  </w:pPr>
                </w:p>
              </w:tc>
              <w:tc>
                <w:tcPr>
                  <w:tcW w:w="272" w:type="pct"/>
                  <w:vMerge w:val="restart"/>
                  <w:tcBorders>
                    <w:top w:val="single" w:color="auto" w:sz="4" w:space="0"/>
                    <w:bottom w:val="single" w:color="auto" w:sz="4" w:space="0"/>
                  </w:tcBorders>
                  <w:vAlign w:val="center"/>
                </w:tcPr>
                <w:p>
                  <w:pPr>
                    <w:snapToGrid w:val="0"/>
                    <w:jc w:val="center"/>
                    <w:rPr>
                      <w:bCs/>
                      <w:szCs w:val="21"/>
                    </w:rPr>
                  </w:pPr>
                  <w:r>
                    <w:rPr>
                      <w:bCs/>
                      <w:szCs w:val="21"/>
                    </w:rPr>
                    <w:t>其它</w:t>
                  </w:r>
                </w:p>
              </w:tc>
              <w:tc>
                <w:tcPr>
                  <w:tcW w:w="1068" w:type="pct"/>
                  <w:tcBorders>
                    <w:top w:val="single" w:color="auto" w:sz="4" w:space="0"/>
                    <w:bottom w:val="single" w:color="auto" w:sz="4" w:space="0"/>
                  </w:tcBorders>
                  <w:vAlign w:val="center"/>
                </w:tcPr>
                <w:p>
                  <w:pPr>
                    <w:snapToGrid w:val="0"/>
                    <w:jc w:val="center"/>
                    <w:rPr>
                      <w:bCs/>
                      <w:szCs w:val="21"/>
                    </w:rPr>
                  </w:pPr>
                  <w:r>
                    <w:rPr>
                      <w:bCs/>
                      <w:szCs w:val="21"/>
                    </w:rPr>
                    <w:t>树林Afoli</w:t>
                  </w:r>
                </w:p>
              </w:tc>
              <w:tc>
                <w:tcPr>
                  <w:tcW w:w="800" w:type="pct"/>
                  <w:gridSpan w:val="2"/>
                  <w:tcBorders>
                    <w:top w:val="single" w:color="auto" w:sz="4" w:space="0"/>
                    <w:bottom w:val="single" w:color="auto" w:sz="4" w:space="0"/>
                  </w:tcBorders>
                  <w:vAlign w:val="center"/>
                </w:tcPr>
                <w:p>
                  <w:pPr>
                    <w:snapToGrid w:val="0"/>
                    <w:jc w:val="center"/>
                    <w:rPr>
                      <w:bCs/>
                      <w:szCs w:val="21"/>
                    </w:rPr>
                  </w:pPr>
                  <w:r>
                    <w:rPr>
                      <w:bCs/>
                      <w:szCs w:val="21"/>
                    </w:rPr>
                    <w:t>0</w:t>
                  </w:r>
                </w:p>
              </w:tc>
              <w:tc>
                <w:tcPr>
                  <w:tcW w:w="799" w:type="pct"/>
                  <w:gridSpan w:val="2"/>
                  <w:tcBorders>
                    <w:top w:val="single" w:color="auto" w:sz="4" w:space="0"/>
                    <w:bottom w:val="single" w:color="auto" w:sz="4" w:space="0"/>
                  </w:tcBorders>
                  <w:vAlign w:val="center"/>
                </w:tcPr>
                <w:p>
                  <w:pPr>
                    <w:snapToGrid w:val="0"/>
                    <w:jc w:val="center"/>
                    <w:rPr>
                      <w:bCs/>
                      <w:szCs w:val="21"/>
                    </w:rPr>
                  </w:pPr>
                  <w:r>
                    <w:rPr>
                      <w:bCs/>
                      <w:szCs w:val="21"/>
                    </w:rPr>
                    <w:t>0</w:t>
                  </w:r>
                </w:p>
              </w:tc>
              <w:tc>
                <w:tcPr>
                  <w:tcW w:w="799" w:type="pct"/>
                  <w:gridSpan w:val="2"/>
                  <w:tcBorders>
                    <w:top w:val="single" w:color="auto" w:sz="4" w:space="0"/>
                    <w:bottom w:val="single" w:color="auto" w:sz="4" w:space="0"/>
                  </w:tcBorders>
                  <w:vAlign w:val="center"/>
                </w:tcPr>
                <w:p>
                  <w:pPr>
                    <w:snapToGrid w:val="0"/>
                    <w:jc w:val="center"/>
                    <w:rPr>
                      <w:bCs/>
                      <w:szCs w:val="21"/>
                    </w:rPr>
                  </w:pPr>
                  <w:r>
                    <w:rPr>
                      <w:bCs/>
                      <w:szCs w:val="21"/>
                    </w:rPr>
                    <w:t>0</w:t>
                  </w:r>
                </w:p>
              </w:tc>
              <w:tc>
                <w:tcPr>
                  <w:tcW w:w="795" w:type="pct"/>
                  <w:gridSpan w:val="2"/>
                  <w:tcBorders>
                    <w:top w:val="single" w:color="auto" w:sz="4" w:space="0"/>
                    <w:bottom w:val="single" w:color="auto" w:sz="4" w:space="0"/>
                    <w:right w:val="nil"/>
                  </w:tcBorders>
                  <w:vAlign w:val="center"/>
                </w:tcPr>
                <w:p>
                  <w:pPr>
                    <w:snapToGrid w:val="0"/>
                    <w:jc w:val="center"/>
                    <w:rPr>
                      <w:bCs/>
                      <w:szCs w:val="21"/>
                    </w:rPr>
                  </w:pPr>
                  <w:r>
                    <w:rPr>
                      <w:bCs/>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63" w:type="pct"/>
                  <w:vMerge w:val="continue"/>
                  <w:tcBorders>
                    <w:top w:val="single" w:color="auto" w:sz="4" w:space="0"/>
                    <w:bottom w:val="single" w:color="auto" w:sz="4" w:space="0"/>
                  </w:tcBorders>
                  <w:vAlign w:val="center"/>
                </w:tcPr>
                <w:p>
                  <w:pPr>
                    <w:snapToGrid w:val="0"/>
                    <w:jc w:val="center"/>
                    <w:rPr>
                      <w:bCs/>
                      <w:szCs w:val="21"/>
                    </w:rPr>
                  </w:pPr>
                </w:p>
              </w:tc>
              <w:tc>
                <w:tcPr>
                  <w:tcW w:w="272" w:type="pct"/>
                  <w:vMerge w:val="continue"/>
                  <w:tcBorders>
                    <w:top w:val="single" w:color="auto" w:sz="4" w:space="0"/>
                    <w:bottom w:val="single" w:color="auto" w:sz="4" w:space="0"/>
                  </w:tcBorders>
                  <w:vAlign w:val="center"/>
                </w:tcPr>
                <w:p>
                  <w:pPr>
                    <w:snapToGrid w:val="0"/>
                    <w:jc w:val="center"/>
                    <w:rPr>
                      <w:bCs/>
                      <w:szCs w:val="21"/>
                    </w:rPr>
                  </w:pPr>
                </w:p>
              </w:tc>
              <w:tc>
                <w:tcPr>
                  <w:tcW w:w="1068" w:type="pct"/>
                  <w:tcBorders>
                    <w:top w:val="single" w:color="auto" w:sz="4" w:space="0"/>
                    <w:bottom w:val="single" w:color="auto" w:sz="4" w:space="0"/>
                  </w:tcBorders>
                  <w:vAlign w:val="center"/>
                </w:tcPr>
                <w:p>
                  <w:pPr>
                    <w:snapToGrid w:val="0"/>
                    <w:jc w:val="center"/>
                    <w:rPr>
                      <w:bCs/>
                      <w:szCs w:val="21"/>
                    </w:rPr>
                  </w:pPr>
                  <w:r>
                    <w:rPr>
                      <w:bCs/>
                      <w:szCs w:val="21"/>
                    </w:rPr>
                    <w:t>工业场所Asitei</w:t>
                  </w:r>
                </w:p>
              </w:tc>
              <w:tc>
                <w:tcPr>
                  <w:tcW w:w="800" w:type="pct"/>
                  <w:gridSpan w:val="2"/>
                  <w:tcBorders>
                    <w:top w:val="single" w:color="auto" w:sz="4" w:space="0"/>
                    <w:bottom w:val="single" w:color="auto" w:sz="4" w:space="0"/>
                  </w:tcBorders>
                  <w:vAlign w:val="center"/>
                </w:tcPr>
                <w:p>
                  <w:pPr>
                    <w:snapToGrid w:val="0"/>
                    <w:jc w:val="center"/>
                    <w:rPr>
                      <w:bCs/>
                      <w:szCs w:val="21"/>
                    </w:rPr>
                  </w:pPr>
                  <w:r>
                    <w:rPr>
                      <w:bCs/>
                      <w:szCs w:val="21"/>
                    </w:rPr>
                    <w:t>0</w:t>
                  </w:r>
                </w:p>
              </w:tc>
              <w:tc>
                <w:tcPr>
                  <w:tcW w:w="799" w:type="pct"/>
                  <w:gridSpan w:val="2"/>
                  <w:tcBorders>
                    <w:top w:val="single" w:color="auto" w:sz="4" w:space="0"/>
                    <w:bottom w:val="single" w:color="auto" w:sz="4" w:space="0"/>
                  </w:tcBorders>
                  <w:vAlign w:val="center"/>
                </w:tcPr>
                <w:p>
                  <w:pPr>
                    <w:snapToGrid w:val="0"/>
                    <w:jc w:val="center"/>
                    <w:rPr>
                      <w:bCs/>
                      <w:szCs w:val="21"/>
                    </w:rPr>
                  </w:pPr>
                  <w:r>
                    <w:rPr>
                      <w:bCs/>
                      <w:szCs w:val="21"/>
                    </w:rPr>
                    <w:t>0</w:t>
                  </w:r>
                </w:p>
              </w:tc>
              <w:tc>
                <w:tcPr>
                  <w:tcW w:w="799" w:type="pct"/>
                  <w:gridSpan w:val="2"/>
                  <w:tcBorders>
                    <w:top w:val="single" w:color="auto" w:sz="4" w:space="0"/>
                    <w:bottom w:val="single" w:color="auto" w:sz="4" w:space="0"/>
                  </w:tcBorders>
                  <w:vAlign w:val="center"/>
                </w:tcPr>
                <w:p>
                  <w:pPr>
                    <w:snapToGrid w:val="0"/>
                    <w:jc w:val="center"/>
                    <w:rPr>
                      <w:bCs/>
                      <w:szCs w:val="21"/>
                    </w:rPr>
                  </w:pPr>
                  <w:r>
                    <w:rPr>
                      <w:bCs/>
                      <w:szCs w:val="21"/>
                    </w:rPr>
                    <w:t>0</w:t>
                  </w:r>
                </w:p>
              </w:tc>
              <w:tc>
                <w:tcPr>
                  <w:tcW w:w="795" w:type="pct"/>
                  <w:gridSpan w:val="2"/>
                  <w:tcBorders>
                    <w:top w:val="single" w:color="auto" w:sz="4" w:space="0"/>
                    <w:bottom w:val="single" w:color="auto" w:sz="4" w:space="0"/>
                    <w:right w:val="nil"/>
                  </w:tcBorders>
                  <w:vAlign w:val="center"/>
                </w:tcPr>
                <w:p>
                  <w:pPr>
                    <w:snapToGrid w:val="0"/>
                    <w:jc w:val="center"/>
                    <w:rPr>
                      <w:bCs/>
                      <w:szCs w:val="21"/>
                    </w:rPr>
                  </w:pPr>
                  <w:r>
                    <w:rPr>
                      <w:bCs/>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63" w:type="pct"/>
                  <w:vMerge w:val="continue"/>
                  <w:tcBorders>
                    <w:top w:val="single" w:color="auto" w:sz="4" w:space="0"/>
                    <w:bottom w:val="single" w:color="auto" w:sz="4" w:space="0"/>
                  </w:tcBorders>
                  <w:vAlign w:val="center"/>
                </w:tcPr>
                <w:p>
                  <w:pPr>
                    <w:snapToGrid w:val="0"/>
                    <w:jc w:val="center"/>
                    <w:rPr>
                      <w:bCs/>
                      <w:szCs w:val="21"/>
                    </w:rPr>
                  </w:pPr>
                </w:p>
              </w:tc>
              <w:tc>
                <w:tcPr>
                  <w:tcW w:w="272" w:type="pct"/>
                  <w:vMerge w:val="continue"/>
                  <w:tcBorders>
                    <w:top w:val="single" w:color="auto" w:sz="4" w:space="0"/>
                    <w:bottom w:val="single" w:color="auto" w:sz="4" w:space="0"/>
                  </w:tcBorders>
                  <w:vAlign w:val="center"/>
                </w:tcPr>
                <w:p>
                  <w:pPr>
                    <w:snapToGrid w:val="0"/>
                    <w:jc w:val="center"/>
                    <w:rPr>
                      <w:bCs/>
                      <w:szCs w:val="21"/>
                    </w:rPr>
                  </w:pPr>
                </w:p>
              </w:tc>
              <w:tc>
                <w:tcPr>
                  <w:tcW w:w="1068" w:type="pct"/>
                  <w:tcBorders>
                    <w:top w:val="single" w:color="auto" w:sz="4" w:space="0"/>
                    <w:bottom w:val="single" w:color="auto" w:sz="4" w:space="0"/>
                  </w:tcBorders>
                  <w:vAlign w:val="center"/>
                </w:tcPr>
                <w:p>
                  <w:pPr>
                    <w:snapToGrid w:val="0"/>
                    <w:jc w:val="center"/>
                    <w:rPr>
                      <w:bCs/>
                      <w:szCs w:val="21"/>
                    </w:rPr>
                  </w:pPr>
                  <w:r>
                    <w:rPr>
                      <w:bCs/>
                      <w:szCs w:val="21"/>
                    </w:rPr>
                    <w:t>房屋群Ahousei</w:t>
                  </w:r>
                </w:p>
              </w:tc>
              <w:tc>
                <w:tcPr>
                  <w:tcW w:w="800" w:type="pct"/>
                  <w:gridSpan w:val="2"/>
                  <w:tcBorders>
                    <w:top w:val="single" w:color="auto" w:sz="4" w:space="0"/>
                    <w:bottom w:val="single" w:color="auto" w:sz="4" w:space="0"/>
                  </w:tcBorders>
                  <w:vAlign w:val="center"/>
                </w:tcPr>
                <w:p>
                  <w:pPr>
                    <w:snapToGrid w:val="0"/>
                    <w:jc w:val="center"/>
                    <w:rPr>
                      <w:bCs/>
                      <w:szCs w:val="21"/>
                    </w:rPr>
                  </w:pPr>
                  <w:r>
                    <w:rPr>
                      <w:bCs/>
                      <w:szCs w:val="21"/>
                    </w:rPr>
                    <w:t>0</w:t>
                  </w:r>
                </w:p>
              </w:tc>
              <w:tc>
                <w:tcPr>
                  <w:tcW w:w="799" w:type="pct"/>
                  <w:gridSpan w:val="2"/>
                  <w:tcBorders>
                    <w:top w:val="single" w:color="auto" w:sz="4" w:space="0"/>
                    <w:bottom w:val="single" w:color="auto" w:sz="4" w:space="0"/>
                  </w:tcBorders>
                  <w:vAlign w:val="center"/>
                </w:tcPr>
                <w:p>
                  <w:pPr>
                    <w:snapToGrid w:val="0"/>
                    <w:jc w:val="center"/>
                    <w:rPr>
                      <w:bCs/>
                      <w:szCs w:val="21"/>
                    </w:rPr>
                  </w:pPr>
                  <w:r>
                    <w:rPr>
                      <w:bCs/>
                      <w:szCs w:val="21"/>
                    </w:rPr>
                    <w:t>0</w:t>
                  </w:r>
                </w:p>
              </w:tc>
              <w:tc>
                <w:tcPr>
                  <w:tcW w:w="799" w:type="pct"/>
                  <w:gridSpan w:val="2"/>
                  <w:tcBorders>
                    <w:top w:val="single" w:color="auto" w:sz="4" w:space="0"/>
                    <w:bottom w:val="single" w:color="auto" w:sz="4" w:space="0"/>
                  </w:tcBorders>
                  <w:vAlign w:val="center"/>
                </w:tcPr>
                <w:p>
                  <w:pPr>
                    <w:snapToGrid w:val="0"/>
                    <w:jc w:val="center"/>
                    <w:rPr>
                      <w:bCs/>
                      <w:szCs w:val="21"/>
                    </w:rPr>
                  </w:pPr>
                  <w:r>
                    <w:rPr>
                      <w:bCs/>
                      <w:szCs w:val="21"/>
                    </w:rPr>
                    <w:t>0</w:t>
                  </w:r>
                </w:p>
              </w:tc>
              <w:tc>
                <w:tcPr>
                  <w:tcW w:w="795" w:type="pct"/>
                  <w:gridSpan w:val="2"/>
                  <w:tcBorders>
                    <w:top w:val="single" w:color="auto" w:sz="4" w:space="0"/>
                    <w:bottom w:val="single" w:color="auto" w:sz="4" w:space="0"/>
                    <w:right w:val="nil"/>
                  </w:tcBorders>
                  <w:vAlign w:val="center"/>
                </w:tcPr>
                <w:p>
                  <w:pPr>
                    <w:snapToGrid w:val="0"/>
                    <w:jc w:val="center"/>
                    <w:rPr>
                      <w:bCs/>
                      <w:szCs w:val="21"/>
                    </w:rPr>
                  </w:pPr>
                  <w:r>
                    <w:rPr>
                      <w:bCs/>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804" w:type="pct"/>
                  <w:gridSpan w:val="3"/>
                  <w:tcBorders>
                    <w:top w:val="single" w:color="auto" w:sz="4" w:space="0"/>
                    <w:bottom w:val="single" w:color="auto" w:sz="4" w:space="0"/>
                  </w:tcBorders>
                  <w:vAlign w:val="center"/>
                </w:tcPr>
                <w:p>
                  <w:pPr>
                    <w:snapToGrid w:val="0"/>
                    <w:jc w:val="center"/>
                    <w:rPr>
                      <w:bCs/>
                      <w:color w:val="auto"/>
                      <w:szCs w:val="21"/>
                    </w:rPr>
                  </w:pPr>
                  <w:r>
                    <w:rPr>
                      <w:bCs/>
                      <w:color w:val="auto"/>
                      <w:szCs w:val="21"/>
                    </w:rPr>
                    <w:t>衰减量合计，dB</w:t>
                  </w:r>
                </w:p>
              </w:tc>
              <w:tc>
                <w:tcPr>
                  <w:tcW w:w="800" w:type="pct"/>
                  <w:gridSpan w:val="2"/>
                  <w:tcBorders>
                    <w:top w:val="single" w:color="auto" w:sz="4" w:space="0"/>
                    <w:bottom w:val="single" w:color="auto" w:sz="4" w:space="0"/>
                  </w:tcBorders>
                  <w:vAlign w:val="center"/>
                </w:tcPr>
                <w:p>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29.56</w:t>
                  </w:r>
                </w:p>
              </w:tc>
              <w:tc>
                <w:tcPr>
                  <w:tcW w:w="799" w:type="pct"/>
                  <w:gridSpan w:val="2"/>
                  <w:tcBorders>
                    <w:top w:val="single" w:color="auto" w:sz="4" w:space="0"/>
                    <w:bottom w:val="single" w:color="auto" w:sz="4" w:space="0"/>
                  </w:tcBorders>
                  <w:vAlign w:val="center"/>
                </w:tcPr>
                <w:p>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2.26</w:t>
                  </w:r>
                </w:p>
              </w:tc>
              <w:tc>
                <w:tcPr>
                  <w:tcW w:w="799" w:type="pct"/>
                  <w:gridSpan w:val="2"/>
                  <w:tcBorders>
                    <w:top w:val="single" w:color="auto" w:sz="4" w:space="0"/>
                    <w:bottom w:val="single" w:color="auto" w:sz="4" w:space="0"/>
                  </w:tcBorders>
                  <w:vAlign w:val="center"/>
                </w:tcPr>
                <w:p>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1.43</w:t>
                  </w:r>
                </w:p>
              </w:tc>
              <w:tc>
                <w:tcPr>
                  <w:tcW w:w="795" w:type="pct"/>
                  <w:gridSpan w:val="2"/>
                  <w:tcBorders>
                    <w:top w:val="single" w:color="auto" w:sz="4" w:space="0"/>
                    <w:bottom w:val="single" w:color="auto" w:sz="4" w:space="0"/>
                    <w:right w:val="nil"/>
                  </w:tcBorders>
                  <w:vAlign w:val="center"/>
                </w:tcPr>
                <w:p>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5.67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804" w:type="pct"/>
                  <w:gridSpan w:val="3"/>
                  <w:tcBorders>
                    <w:top w:val="single" w:color="auto" w:sz="4" w:space="0"/>
                    <w:bottom w:val="single" w:color="auto" w:sz="4" w:space="0"/>
                  </w:tcBorders>
                  <w:vAlign w:val="center"/>
                </w:tcPr>
                <w:p>
                  <w:pPr>
                    <w:snapToGrid w:val="0"/>
                    <w:jc w:val="center"/>
                    <w:rPr>
                      <w:color w:val="auto"/>
                      <w:szCs w:val="21"/>
                    </w:rPr>
                  </w:pPr>
                  <w:r>
                    <w:rPr>
                      <w:color w:val="auto"/>
                      <w:szCs w:val="21"/>
                    </w:rPr>
                    <w:t>预测点A声级</w:t>
                  </w:r>
                  <w:r>
                    <w:rPr>
                      <w:bCs/>
                      <w:color w:val="auto"/>
                      <w:szCs w:val="21"/>
                    </w:rPr>
                    <w:t>LA(r)，dB（A）</w:t>
                  </w:r>
                </w:p>
              </w:tc>
              <w:tc>
                <w:tcPr>
                  <w:tcW w:w="800" w:type="pct"/>
                  <w:gridSpan w:val="2"/>
                  <w:tcBorders>
                    <w:top w:val="single" w:color="auto" w:sz="4" w:space="0"/>
                    <w:bottom w:val="single" w:color="auto" w:sz="4" w:space="0"/>
                  </w:tcBorders>
                  <w:vAlign w:val="center"/>
                </w:tcPr>
                <w:p>
                  <w:pPr>
                    <w:jc w:val="center"/>
                    <w:rPr>
                      <w:color w:val="auto"/>
                      <w:szCs w:val="21"/>
                    </w:rPr>
                  </w:pPr>
                  <w:r>
                    <w:rPr>
                      <w:color w:val="auto"/>
                      <w:szCs w:val="21"/>
                    </w:rPr>
                    <w:t>46.59</w:t>
                  </w:r>
                </w:p>
              </w:tc>
              <w:tc>
                <w:tcPr>
                  <w:tcW w:w="799" w:type="pct"/>
                  <w:gridSpan w:val="2"/>
                  <w:tcBorders>
                    <w:top w:val="single" w:color="auto" w:sz="4" w:space="0"/>
                    <w:bottom w:val="single" w:color="auto" w:sz="4" w:space="0"/>
                  </w:tcBorders>
                  <w:vAlign w:val="center"/>
                </w:tcPr>
                <w:p>
                  <w:pPr>
                    <w:jc w:val="center"/>
                    <w:rPr>
                      <w:color w:val="auto"/>
                      <w:szCs w:val="21"/>
                    </w:rPr>
                  </w:pPr>
                  <w:r>
                    <w:rPr>
                      <w:color w:val="auto"/>
                      <w:szCs w:val="21"/>
                    </w:rPr>
                    <w:t>45.06</w:t>
                  </w:r>
                </w:p>
              </w:tc>
              <w:tc>
                <w:tcPr>
                  <w:tcW w:w="799" w:type="pct"/>
                  <w:gridSpan w:val="2"/>
                  <w:tcBorders>
                    <w:top w:val="single" w:color="auto" w:sz="4" w:space="0"/>
                    <w:bottom w:val="single" w:color="auto" w:sz="4" w:space="0"/>
                  </w:tcBorders>
                  <w:vAlign w:val="center"/>
                </w:tcPr>
                <w:p>
                  <w:pPr>
                    <w:jc w:val="center"/>
                    <w:rPr>
                      <w:color w:val="auto"/>
                      <w:szCs w:val="21"/>
                    </w:rPr>
                  </w:pPr>
                  <w:r>
                    <w:rPr>
                      <w:color w:val="auto"/>
                      <w:szCs w:val="21"/>
                    </w:rPr>
                    <w:t>46.77</w:t>
                  </w:r>
                </w:p>
              </w:tc>
              <w:tc>
                <w:tcPr>
                  <w:tcW w:w="795" w:type="pct"/>
                  <w:gridSpan w:val="2"/>
                  <w:tcBorders>
                    <w:top w:val="single" w:color="auto" w:sz="4" w:space="0"/>
                    <w:bottom w:val="single" w:color="auto" w:sz="4" w:space="0"/>
                    <w:right w:val="nil"/>
                  </w:tcBorders>
                  <w:vAlign w:val="center"/>
                </w:tcPr>
                <w:p>
                  <w:pPr>
                    <w:jc w:val="center"/>
                    <w:rPr>
                      <w:color w:val="auto"/>
                      <w:szCs w:val="21"/>
                    </w:rPr>
                  </w:pPr>
                  <w:r>
                    <w:rPr>
                      <w:color w:val="auto"/>
                      <w:szCs w:val="21"/>
                    </w:rPr>
                    <w:t>45.98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804" w:type="pct"/>
                  <w:gridSpan w:val="3"/>
                  <w:vMerge w:val="restart"/>
                  <w:tcBorders>
                    <w:top w:val="single" w:color="auto" w:sz="4" w:space="0"/>
                    <w:bottom w:val="single" w:color="auto" w:sz="4" w:space="0"/>
                  </w:tcBorders>
                  <w:vAlign w:val="center"/>
                </w:tcPr>
                <w:p>
                  <w:pPr>
                    <w:snapToGrid w:val="0"/>
                    <w:jc w:val="center"/>
                    <w:rPr>
                      <w:color w:val="auto"/>
                      <w:szCs w:val="21"/>
                    </w:rPr>
                  </w:pPr>
                  <w:r>
                    <w:rPr>
                      <w:color w:val="auto"/>
                      <w:szCs w:val="21"/>
                    </w:rPr>
                    <w:t>背景值</w:t>
                  </w:r>
                  <w:r>
                    <w:rPr>
                      <w:bCs/>
                      <w:color w:val="auto"/>
                      <w:szCs w:val="21"/>
                    </w:rPr>
                    <w:t>dB（A）</w:t>
                  </w:r>
                </w:p>
              </w:tc>
              <w:tc>
                <w:tcPr>
                  <w:tcW w:w="400" w:type="pct"/>
                  <w:tcBorders>
                    <w:top w:val="single" w:color="auto" w:sz="4" w:space="0"/>
                    <w:bottom w:val="single" w:color="auto" w:sz="4" w:space="0"/>
                  </w:tcBorders>
                  <w:vAlign w:val="center"/>
                </w:tcPr>
                <w:p>
                  <w:pPr>
                    <w:snapToGrid w:val="0"/>
                    <w:jc w:val="center"/>
                    <w:rPr>
                      <w:bCs/>
                      <w:color w:val="auto"/>
                      <w:szCs w:val="21"/>
                    </w:rPr>
                  </w:pPr>
                  <w:r>
                    <w:rPr>
                      <w:bCs/>
                      <w:color w:val="auto"/>
                      <w:szCs w:val="21"/>
                    </w:rPr>
                    <w:t>昼间</w:t>
                  </w:r>
                </w:p>
              </w:tc>
              <w:tc>
                <w:tcPr>
                  <w:tcW w:w="399" w:type="pct"/>
                  <w:tcBorders>
                    <w:top w:val="single" w:color="auto" w:sz="4" w:space="0"/>
                    <w:bottom w:val="single" w:color="auto" w:sz="4" w:space="0"/>
                  </w:tcBorders>
                  <w:vAlign w:val="center"/>
                </w:tcPr>
                <w:p>
                  <w:pPr>
                    <w:snapToGrid w:val="0"/>
                    <w:jc w:val="center"/>
                    <w:rPr>
                      <w:bCs/>
                      <w:color w:val="auto"/>
                      <w:szCs w:val="21"/>
                    </w:rPr>
                  </w:pPr>
                  <w:r>
                    <w:rPr>
                      <w:bCs/>
                      <w:color w:val="auto"/>
                      <w:szCs w:val="21"/>
                    </w:rPr>
                    <w:t>夜间</w:t>
                  </w:r>
                </w:p>
              </w:tc>
              <w:tc>
                <w:tcPr>
                  <w:tcW w:w="399" w:type="pct"/>
                  <w:tcBorders>
                    <w:top w:val="single" w:color="auto" w:sz="4" w:space="0"/>
                    <w:bottom w:val="single" w:color="auto" w:sz="4" w:space="0"/>
                  </w:tcBorders>
                  <w:vAlign w:val="center"/>
                </w:tcPr>
                <w:p>
                  <w:pPr>
                    <w:snapToGrid w:val="0"/>
                    <w:jc w:val="center"/>
                    <w:rPr>
                      <w:bCs/>
                      <w:color w:val="auto"/>
                      <w:szCs w:val="21"/>
                    </w:rPr>
                  </w:pPr>
                  <w:r>
                    <w:rPr>
                      <w:bCs/>
                      <w:color w:val="auto"/>
                      <w:szCs w:val="21"/>
                    </w:rPr>
                    <w:t>昼间</w:t>
                  </w:r>
                </w:p>
              </w:tc>
              <w:tc>
                <w:tcPr>
                  <w:tcW w:w="399" w:type="pct"/>
                  <w:tcBorders>
                    <w:top w:val="single" w:color="auto" w:sz="4" w:space="0"/>
                    <w:bottom w:val="single" w:color="auto" w:sz="4" w:space="0"/>
                  </w:tcBorders>
                  <w:vAlign w:val="center"/>
                </w:tcPr>
                <w:p>
                  <w:pPr>
                    <w:snapToGrid w:val="0"/>
                    <w:jc w:val="center"/>
                    <w:rPr>
                      <w:bCs/>
                      <w:color w:val="auto"/>
                      <w:szCs w:val="21"/>
                    </w:rPr>
                  </w:pPr>
                  <w:r>
                    <w:rPr>
                      <w:bCs/>
                      <w:color w:val="auto"/>
                      <w:szCs w:val="21"/>
                    </w:rPr>
                    <w:t>夜间</w:t>
                  </w:r>
                </w:p>
              </w:tc>
              <w:tc>
                <w:tcPr>
                  <w:tcW w:w="399" w:type="pct"/>
                  <w:tcBorders>
                    <w:top w:val="single" w:color="auto" w:sz="4" w:space="0"/>
                    <w:bottom w:val="single" w:color="auto" w:sz="4" w:space="0"/>
                  </w:tcBorders>
                  <w:vAlign w:val="center"/>
                </w:tcPr>
                <w:p>
                  <w:pPr>
                    <w:snapToGrid w:val="0"/>
                    <w:jc w:val="center"/>
                    <w:rPr>
                      <w:bCs/>
                      <w:color w:val="auto"/>
                      <w:szCs w:val="21"/>
                    </w:rPr>
                  </w:pPr>
                  <w:r>
                    <w:rPr>
                      <w:bCs/>
                      <w:color w:val="auto"/>
                      <w:szCs w:val="21"/>
                    </w:rPr>
                    <w:t>昼间</w:t>
                  </w:r>
                </w:p>
              </w:tc>
              <w:tc>
                <w:tcPr>
                  <w:tcW w:w="399" w:type="pct"/>
                  <w:tcBorders>
                    <w:top w:val="single" w:color="auto" w:sz="4" w:space="0"/>
                    <w:bottom w:val="single" w:color="auto" w:sz="4" w:space="0"/>
                  </w:tcBorders>
                  <w:vAlign w:val="center"/>
                </w:tcPr>
                <w:p>
                  <w:pPr>
                    <w:snapToGrid w:val="0"/>
                    <w:jc w:val="center"/>
                    <w:rPr>
                      <w:bCs/>
                      <w:color w:val="auto"/>
                      <w:szCs w:val="21"/>
                    </w:rPr>
                  </w:pPr>
                  <w:r>
                    <w:rPr>
                      <w:bCs/>
                      <w:color w:val="auto"/>
                      <w:szCs w:val="21"/>
                    </w:rPr>
                    <w:t>夜间</w:t>
                  </w:r>
                </w:p>
              </w:tc>
              <w:tc>
                <w:tcPr>
                  <w:tcW w:w="399" w:type="pct"/>
                  <w:tcBorders>
                    <w:top w:val="single" w:color="auto" w:sz="4" w:space="0"/>
                    <w:bottom w:val="single" w:color="auto" w:sz="4" w:space="0"/>
                  </w:tcBorders>
                  <w:vAlign w:val="center"/>
                </w:tcPr>
                <w:p>
                  <w:pPr>
                    <w:snapToGrid w:val="0"/>
                    <w:jc w:val="center"/>
                    <w:rPr>
                      <w:bCs/>
                      <w:color w:val="auto"/>
                      <w:szCs w:val="21"/>
                    </w:rPr>
                  </w:pPr>
                  <w:r>
                    <w:rPr>
                      <w:bCs/>
                      <w:color w:val="auto"/>
                      <w:szCs w:val="21"/>
                    </w:rPr>
                    <w:t>昼间</w:t>
                  </w:r>
                </w:p>
              </w:tc>
              <w:tc>
                <w:tcPr>
                  <w:tcW w:w="396" w:type="pct"/>
                  <w:tcBorders>
                    <w:top w:val="single" w:color="auto" w:sz="4" w:space="0"/>
                    <w:bottom w:val="single" w:color="auto" w:sz="4" w:space="0"/>
                    <w:right w:val="nil"/>
                  </w:tcBorders>
                  <w:vAlign w:val="center"/>
                </w:tcPr>
                <w:p>
                  <w:pPr>
                    <w:snapToGrid w:val="0"/>
                    <w:jc w:val="center"/>
                    <w:rPr>
                      <w:bCs/>
                      <w:color w:val="auto"/>
                      <w:szCs w:val="21"/>
                    </w:rPr>
                  </w:pPr>
                  <w:r>
                    <w:rPr>
                      <w:bCs/>
                      <w:color w:val="auto"/>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804" w:type="pct"/>
                  <w:gridSpan w:val="3"/>
                  <w:vMerge w:val="continue"/>
                  <w:tcBorders>
                    <w:top w:val="single" w:color="auto" w:sz="4" w:space="0"/>
                    <w:bottom w:val="single" w:color="auto" w:sz="4" w:space="0"/>
                  </w:tcBorders>
                  <w:vAlign w:val="center"/>
                </w:tcPr>
                <w:p>
                  <w:pPr>
                    <w:snapToGrid w:val="0"/>
                    <w:jc w:val="center"/>
                    <w:rPr>
                      <w:color w:val="auto"/>
                      <w:szCs w:val="21"/>
                    </w:rPr>
                  </w:pPr>
                </w:p>
              </w:tc>
              <w:tc>
                <w:tcPr>
                  <w:tcW w:w="400" w:type="pct"/>
                  <w:tcBorders>
                    <w:top w:val="single" w:color="auto" w:sz="4" w:space="0"/>
                    <w:bottom w:val="single" w:color="auto" w:sz="4" w:space="0"/>
                  </w:tcBorders>
                  <w:vAlign w:val="center"/>
                </w:tcPr>
                <w:p>
                  <w:pPr>
                    <w:widowControl/>
                    <w:jc w:val="center"/>
                    <w:textAlignment w:val="center"/>
                    <w:rPr>
                      <w:rFonts w:hint="default" w:eastAsia="宋体"/>
                      <w:color w:val="auto"/>
                      <w:kern w:val="0"/>
                      <w:szCs w:val="21"/>
                      <w:lang w:val="en-US" w:eastAsia="zh-CN"/>
                    </w:rPr>
                  </w:pPr>
                  <w:r>
                    <w:rPr>
                      <w:rFonts w:hint="eastAsia"/>
                      <w:color w:val="auto"/>
                      <w:kern w:val="0"/>
                      <w:szCs w:val="21"/>
                      <w:lang w:val="en-US" w:eastAsia="zh-CN"/>
                    </w:rPr>
                    <w:t>56</w:t>
                  </w:r>
                </w:p>
              </w:tc>
              <w:tc>
                <w:tcPr>
                  <w:tcW w:w="399" w:type="pct"/>
                  <w:tcBorders>
                    <w:top w:val="single" w:color="auto" w:sz="4" w:space="0"/>
                    <w:bottom w:val="single" w:color="auto" w:sz="4" w:space="0"/>
                  </w:tcBorders>
                  <w:vAlign w:val="center"/>
                </w:tcPr>
                <w:p>
                  <w:pPr>
                    <w:widowControl/>
                    <w:jc w:val="center"/>
                    <w:textAlignment w:val="center"/>
                    <w:rPr>
                      <w:rFonts w:hint="default" w:eastAsia="宋体"/>
                      <w:color w:val="auto"/>
                      <w:kern w:val="0"/>
                      <w:szCs w:val="21"/>
                      <w:lang w:val="en-US" w:eastAsia="zh-CN"/>
                    </w:rPr>
                  </w:pPr>
                  <w:r>
                    <w:rPr>
                      <w:rFonts w:hint="eastAsia"/>
                      <w:color w:val="auto"/>
                      <w:kern w:val="0"/>
                      <w:szCs w:val="21"/>
                      <w:lang w:val="en-US" w:eastAsia="zh-CN"/>
                    </w:rPr>
                    <w:t>46</w:t>
                  </w:r>
                </w:p>
              </w:tc>
              <w:tc>
                <w:tcPr>
                  <w:tcW w:w="399" w:type="pct"/>
                  <w:tcBorders>
                    <w:top w:val="single" w:color="auto" w:sz="4" w:space="0"/>
                    <w:bottom w:val="single" w:color="auto" w:sz="4" w:space="0"/>
                  </w:tcBorders>
                  <w:vAlign w:val="center"/>
                </w:tcPr>
                <w:p>
                  <w:pPr>
                    <w:widowControl/>
                    <w:jc w:val="center"/>
                    <w:textAlignment w:val="center"/>
                    <w:rPr>
                      <w:rFonts w:hint="default" w:eastAsia="宋体"/>
                      <w:color w:val="auto"/>
                      <w:kern w:val="0"/>
                      <w:szCs w:val="21"/>
                      <w:lang w:val="en-US" w:eastAsia="zh-CN"/>
                    </w:rPr>
                  </w:pPr>
                  <w:r>
                    <w:rPr>
                      <w:rFonts w:hint="eastAsia"/>
                      <w:color w:val="auto"/>
                      <w:kern w:val="0"/>
                      <w:szCs w:val="21"/>
                      <w:lang w:val="en-US" w:eastAsia="zh-CN"/>
                    </w:rPr>
                    <w:t>57</w:t>
                  </w:r>
                </w:p>
              </w:tc>
              <w:tc>
                <w:tcPr>
                  <w:tcW w:w="399" w:type="pct"/>
                  <w:tcBorders>
                    <w:top w:val="single" w:color="auto" w:sz="4" w:space="0"/>
                    <w:bottom w:val="single" w:color="auto" w:sz="4" w:space="0"/>
                  </w:tcBorders>
                  <w:vAlign w:val="center"/>
                </w:tcPr>
                <w:p>
                  <w:pPr>
                    <w:widowControl/>
                    <w:jc w:val="center"/>
                    <w:textAlignment w:val="center"/>
                    <w:rPr>
                      <w:rFonts w:hint="default" w:eastAsia="宋体"/>
                      <w:color w:val="auto"/>
                      <w:kern w:val="0"/>
                      <w:szCs w:val="21"/>
                      <w:lang w:val="en-US" w:eastAsia="zh-CN"/>
                    </w:rPr>
                  </w:pPr>
                  <w:r>
                    <w:rPr>
                      <w:rFonts w:hint="eastAsia"/>
                      <w:color w:val="auto"/>
                      <w:kern w:val="0"/>
                      <w:szCs w:val="21"/>
                      <w:lang w:val="en-US" w:eastAsia="zh-CN"/>
                    </w:rPr>
                    <w:t>46</w:t>
                  </w:r>
                </w:p>
              </w:tc>
              <w:tc>
                <w:tcPr>
                  <w:tcW w:w="399" w:type="pct"/>
                  <w:tcBorders>
                    <w:top w:val="single" w:color="auto" w:sz="4" w:space="0"/>
                    <w:bottom w:val="single" w:color="auto" w:sz="4" w:space="0"/>
                  </w:tcBorders>
                  <w:vAlign w:val="center"/>
                </w:tcPr>
                <w:p>
                  <w:pPr>
                    <w:widowControl/>
                    <w:jc w:val="center"/>
                    <w:textAlignment w:val="center"/>
                    <w:rPr>
                      <w:rFonts w:hint="default" w:eastAsia="宋体"/>
                      <w:color w:val="auto"/>
                      <w:kern w:val="0"/>
                      <w:szCs w:val="21"/>
                      <w:lang w:val="en-US" w:eastAsia="zh-CN"/>
                    </w:rPr>
                  </w:pPr>
                  <w:r>
                    <w:rPr>
                      <w:rFonts w:hint="eastAsia"/>
                      <w:color w:val="auto"/>
                      <w:kern w:val="0"/>
                      <w:szCs w:val="21"/>
                      <w:lang w:val="en-US" w:eastAsia="zh-CN"/>
                    </w:rPr>
                    <w:t>57</w:t>
                  </w:r>
                </w:p>
              </w:tc>
              <w:tc>
                <w:tcPr>
                  <w:tcW w:w="399" w:type="pct"/>
                  <w:tcBorders>
                    <w:top w:val="single" w:color="auto" w:sz="4" w:space="0"/>
                    <w:bottom w:val="single" w:color="auto" w:sz="4" w:space="0"/>
                  </w:tcBorders>
                  <w:vAlign w:val="center"/>
                </w:tcPr>
                <w:p>
                  <w:pPr>
                    <w:widowControl/>
                    <w:jc w:val="center"/>
                    <w:textAlignment w:val="center"/>
                    <w:rPr>
                      <w:rFonts w:hint="default" w:eastAsia="宋体"/>
                      <w:color w:val="auto"/>
                      <w:kern w:val="0"/>
                      <w:szCs w:val="21"/>
                      <w:lang w:val="en-US" w:eastAsia="zh-CN"/>
                    </w:rPr>
                  </w:pPr>
                  <w:r>
                    <w:rPr>
                      <w:rFonts w:hint="eastAsia"/>
                      <w:color w:val="auto"/>
                      <w:kern w:val="0"/>
                      <w:szCs w:val="21"/>
                      <w:lang w:val="en-US" w:eastAsia="zh-CN"/>
                    </w:rPr>
                    <w:t>46</w:t>
                  </w:r>
                </w:p>
              </w:tc>
              <w:tc>
                <w:tcPr>
                  <w:tcW w:w="399" w:type="pct"/>
                  <w:tcBorders>
                    <w:top w:val="single" w:color="auto" w:sz="4" w:space="0"/>
                    <w:bottom w:val="single" w:color="auto" w:sz="4" w:space="0"/>
                  </w:tcBorders>
                  <w:vAlign w:val="center"/>
                </w:tcPr>
                <w:p>
                  <w:pPr>
                    <w:widowControl/>
                    <w:jc w:val="center"/>
                    <w:textAlignment w:val="center"/>
                    <w:rPr>
                      <w:rFonts w:hint="default" w:eastAsia="宋体"/>
                      <w:color w:val="auto"/>
                      <w:kern w:val="0"/>
                      <w:szCs w:val="21"/>
                      <w:lang w:val="en-US" w:eastAsia="zh-CN"/>
                    </w:rPr>
                  </w:pPr>
                  <w:r>
                    <w:rPr>
                      <w:rFonts w:hint="eastAsia"/>
                      <w:color w:val="auto"/>
                      <w:kern w:val="0"/>
                      <w:szCs w:val="21"/>
                      <w:lang w:val="en-US" w:eastAsia="zh-CN"/>
                    </w:rPr>
                    <w:t>56</w:t>
                  </w:r>
                </w:p>
              </w:tc>
              <w:tc>
                <w:tcPr>
                  <w:tcW w:w="396" w:type="pct"/>
                  <w:tcBorders>
                    <w:top w:val="single" w:color="auto" w:sz="4" w:space="0"/>
                    <w:bottom w:val="single" w:color="auto" w:sz="4" w:space="0"/>
                    <w:right w:val="nil"/>
                  </w:tcBorders>
                  <w:vAlign w:val="center"/>
                </w:tcPr>
                <w:p>
                  <w:pPr>
                    <w:widowControl/>
                    <w:jc w:val="center"/>
                    <w:textAlignment w:val="center"/>
                    <w:rPr>
                      <w:rFonts w:hint="default" w:eastAsia="宋体"/>
                      <w:color w:val="auto"/>
                      <w:kern w:val="0"/>
                      <w:szCs w:val="21"/>
                      <w:lang w:val="en-US" w:eastAsia="zh-CN"/>
                    </w:rPr>
                  </w:pPr>
                  <w:r>
                    <w:rPr>
                      <w:rFonts w:hint="eastAsia"/>
                      <w:color w:val="auto"/>
                      <w:kern w:val="0"/>
                      <w:szCs w:val="21"/>
                      <w:lang w:val="en-US" w:eastAsia="zh-CN"/>
                    </w:rPr>
                    <w:t>47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804" w:type="pct"/>
                  <w:gridSpan w:val="3"/>
                  <w:tcBorders>
                    <w:top w:val="single" w:color="auto" w:sz="4" w:space="0"/>
                    <w:bottom w:val="single" w:color="auto" w:sz="4" w:space="0"/>
                  </w:tcBorders>
                  <w:vAlign w:val="center"/>
                </w:tcPr>
                <w:p>
                  <w:pPr>
                    <w:snapToGrid w:val="0"/>
                    <w:jc w:val="center"/>
                    <w:rPr>
                      <w:bCs/>
                      <w:color w:val="auto"/>
                      <w:szCs w:val="21"/>
                    </w:rPr>
                  </w:pPr>
                  <w:r>
                    <w:rPr>
                      <w:bCs/>
                      <w:color w:val="auto"/>
                      <w:szCs w:val="21"/>
                    </w:rPr>
                    <w:t>叠加值dB（A）</w:t>
                  </w:r>
                </w:p>
              </w:tc>
              <w:tc>
                <w:tcPr>
                  <w:tcW w:w="400" w:type="pct"/>
                  <w:tcBorders>
                    <w:top w:val="single" w:color="auto" w:sz="4" w:space="0"/>
                    <w:bottom w:val="single" w:color="auto" w:sz="4" w:space="0"/>
                  </w:tcBorders>
                  <w:vAlign w:val="center"/>
                </w:tcPr>
                <w:p>
                  <w:pPr>
                    <w:snapToGrid w:val="0"/>
                    <w:jc w:val="center"/>
                    <w:rPr>
                      <w:bCs/>
                      <w:color w:val="auto"/>
                      <w:szCs w:val="21"/>
                    </w:rPr>
                  </w:pPr>
                  <w:r>
                    <w:rPr>
                      <w:rFonts w:hint="eastAsia"/>
                      <w:bCs/>
                      <w:color w:val="auto"/>
                      <w:szCs w:val="21"/>
                      <w:lang w:val="en-US" w:eastAsia="zh-CN"/>
                    </w:rPr>
                    <w:t xml:space="preserve">57.4 </w:t>
                  </w:r>
                </w:p>
              </w:tc>
              <w:tc>
                <w:tcPr>
                  <w:tcW w:w="399" w:type="pct"/>
                  <w:tcBorders>
                    <w:top w:val="single" w:color="auto" w:sz="4" w:space="0"/>
                    <w:bottom w:val="single" w:color="auto" w:sz="4" w:space="0"/>
                  </w:tcBorders>
                  <w:vAlign w:val="center"/>
                </w:tcPr>
                <w:p>
                  <w:pPr>
                    <w:snapToGrid w:val="0"/>
                    <w:jc w:val="center"/>
                    <w:rPr>
                      <w:rFonts w:hint="default"/>
                      <w:bCs/>
                      <w:color w:val="auto"/>
                      <w:szCs w:val="21"/>
                      <w:lang w:val="en-US" w:eastAsia="zh-CN"/>
                    </w:rPr>
                  </w:pPr>
                  <w:r>
                    <w:rPr>
                      <w:rFonts w:hint="eastAsia"/>
                      <w:bCs/>
                      <w:color w:val="auto"/>
                      <w:szCs w:val="21"/>
                      <w:lang w:val="en-US" w:eastAsia="zh-CN"/>
                    </w:rPr>
                    <w:t>46.1</w:t>
                  </w:r>
                </w:p>
              </w:tc>
              <w:tc>
                <w:tcPr>
                  <w:tcW w:w="399" w:type="pct"/>
                  <w:tcBorders>
                    <w:top w:val="single" w:color="auto" w:sz="4" w:space="0"/>
                    <w:bottom w:val="single" w:color="auto" w:sz="4" w:space="0"/>
                  </w:tcBorders>
                  <w:vAlign w:val="center"/>
                </w:tcPr>
                <w:p>
                  <w:pPr>
                    <w:snapToGrid w:val="0"/>
                    <w:jc w:val="center"/>
                    <w:rPr>
                      <w:bCs/>
                      <w:color w:val="auto"/>
                      <w:szCs w:val="21"/>
                      <w:lang w:val="en-US" w:eastAsia="zh-CN"/>
                    </w:rPr>
                  </w:pPr>
                  <w:r>
                    <w:rPr>
                      <w:rFonts w:hint="eastAsia"/>
                      <w:bCs/>
                      <w:color w:val="auto"/>
                      <w:szCs w:val="21"/>
                      <w:lang w:val="en-US" w:eastAsia="zh-CN"/>
                    </w:rPr>
                    <w:t xml:space="preserve">45.2 </w:t>
                  </w:r>
                </w:p>
              </w:tc>
              <w:tc>
                <w:tcPr>
                  <w:tcW w:w="399" w:type="pct"/>
                  <w:tcBorders>
                    <w:top w:val="single" w:color="auto" w:sz="4" w:space="0"/>
                    <w:bottom w:val="single" w:color="auto" w:sz="4" w:space="0"/>
                  </w:tcBorders>
                  <w:vAlign w:val="center"/>
                </w:tcPr>
                <w:p>
                  <w:pPr>
                    <w:snapToGrid w:val="0"/>
                    <w:jc w:val="center"/>
                    <w:rPr>
                      <w:rFonts w:hint="default"/>
                      <w:bCs/>
                      <w:color w:val="auto"/>
                      <w:szCs w:val="21"/>
                      <w:lang w:val="en-US" w:eastAsia="zh-CN"/>
                    </w:rPr>
                  </w:pPr>
                  <w:r>
                    <w:rPr>
                      <w:rFonts w:hint="eastAsia"/>
                      <w:bCs/>
                      <w:color w:val="auto"/>
                      <w:szCs w:val="21"/>
                      <w:lang w:val="en-US" w:eastAsia="zh-CN"/>
                    </w:rPr>
                    <w:t>46.0</w:t>
                  </w:r>
                </w:p>
              </w:tc>
              <w:tc>
                <w:tcPr>
                  <w:tcW w:w="399" w:type="pct"/>
                  <w:tcBorders>
                    <w:top w:val="single" w:color="auto" w:sz="4" w:space="0"/>
                    <w:bottom w:val="single" w:color="auto" w:sz="4" w:space="0"/>
                  </w:tcBorders>
                  <w:vAlign w:val="center"/>
                </w:tcPr>
                <w:p>
                  <w:pPr>
                    <w:snapToGrid w:val="0"/>
                    <w:jc w:val="center"/>
                    <w:rPr>
                      <w:rFonts w:hint="default"/>
                      <w:bCs/>
                      <w:color w:val="auto"/>
                      <w:szCs w:val="21"/>
                      <w:lang w:val="en-US" w:eastAsia="zh-CN"/>
                    </w:rPr>
                  </w:pPr>
                  <w:r>
                    <w:rPr>
                      <w:rFonts w:hint="eastAsia"/>
                      <w:bCs/>
                      <w:color w:val="auto"/>
                      <w:szCs w:val="21"/>
                      <w:lang w:val="en-US" w:eastAsia="zh-CN"/>
                    </w:rPr>
                    <w:t>54.90</w:t>
                  </w:r>
                </w:p>
              </w:tc>
              <w:tc>
                <w:tcPr>
                  <w:tcW w:w="399" w:type="pct"/>
                  <w:tcBorders>
                    <w:top w:val="single" w:color="auto" w:sz="4" w:space="0"/>
                    <w:bottom w:val="single" w:color="auto" w:sz="4" w:space="0"/>
                  </w:tcBorders>
                  <w:vAlign w:val="center"/>
                </w:tcPr>
                <w:p>
                  <w:pPr>
                    <w:snapToGrid w:val="0"/>
                    <w:jc w:val="center"/>
                    <w:rPr>
                      <w:rFonts w:hint="default"/>
                      <w:bCs/>
                      <w:color w:val="auto"/>
                      <w:szCs w:val="21"/>
                      <w:lang w:val="en-US" w:eastAsia="zh-CN"/>
                    </w:rPr>
                  </w:pPr>
                  <w:r>
                    <w:rPr>
                      <w:rFonts w:hint="eastAsia"/>
                      <w:bCs/>
                      <w:color w:val="auto"/>
                      <w:szCs w:val="21"/>
                      <w:lang w:val="en-US" w:eastAsia="zh-CN"/>
                    </w:rPr>
                    <w:t>46.0</w:t>
                  </w:r>
                </w:p>
              </w:tc>
              <w:tc>
                <w:tcPr>
                  <w:tcW w:w="399" w:type="pct"/>
                  <w:tcBorders>
                    <w:top w:val="single" w:color="auto" w:sz="4" w:space="0"/>
                    <w:bottom w:val="single" w:color="auto" w:sz="4" w:space="0"/>
                  </w:tcBorders>
                  <w:vAlign w:val="center"/>
                </w:tcPr>
                <w:p>
                  <w:pPr>
                    <w:snapToGrid w:val="0"/>
                    <w:jc w:val="center"/>
                    <w:rPr>
                      <w:bCs/>
                      <w:color w:val="auto"/>
                      <w:szCs w:val="21"/>
                      <w:lang w:val="en-US" w:eastAsia="zh-CN"/>
                    </w:rPr>
                  </w:pPr>
                  <w:r>
                    <w:rPr>
                      <w:rFonts w:hint="eastAsia"/>
                      <w:bCs/>
                      <w:color w:val="auto"/>
                      <w:szCs w:val="21"/>
                      <w:lang w:val="en-US" w:eastAsia="zh-CN"/>
                    </w:rPr>
                    <w:t>45.6</w:t>
                  </w:r>
                </w:p>
              </w:tc>
              <w:tc>
                <w:tcPr>
                  <w:tcW w:w="396" w:type="pct"/>
                  <w:tcBorders>
                    <w:top w:val="single" w:color="auto" w:sz="4" w:space="0"/>
                    <w:bottom w:val="single" w:color="auto" w:sz="4" w:space="0"/>
                    <w:right w:val="nil"/>
                  </w:tcBorders>
                  <w:vAlign w:val="center"/>
                </w:tcPr>
                <w:p>
                  <w:pPr>
                    <w:snapToGrid w:val="0"/>
                    <w:jc w:val="center"/>
                    <w:rPr>
                      <w:rFonts w:hint="default"/>
                      <w:bCs/>
                      <w:color w:val="auto"/>
                      <w:szCs w:val="21"/>
                      <w:lang w:val="en-US" w:eastAsia="zh-CN"/>
                    </w:rPr>
                  </w:pPr>
                  <w:r>
                    <w:rPr>
                      <w:rFonts w:hint="eastAsia"/>
                      <w:bCs/>
                      <w:color w:val="auto"/>
                      <w:szCs w:val="21"/>
                      <w:lang w:val="en-US" w:eastAsia="zh-CN"/>
                    </w:rPr>
                    <w:t>47.0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804" w:type="pct"/>
                  <w:gridSpan w:val="3"/>
                  <w:tcBorders>
                    <w:top w:val="single" w:color="auto" w:sz="4" w:space="0"/>
                    <w:bottom w:val="single" w:color="auto" w:sz="4" w:space="0"/>
                  </w:tcBorders>
                  <w:vAlign w:val="center"/>
                </w:tcPr>
                <w:p>
                  <w:pPr>
                    <w:snapToGrid w:val="0"/>
                    <w:jc w:val="center"/>
                    <w:rPr>
                      <w:bCs/>
                      <w:color w:val="auto"/>
                      <w:szCs w:val="21"/>
                    </w:rPr>
                  </w:pPr>
                  <w:r>
                    <w:rPr>
                      <w:bCs/>
                      <w:color w:val="auto"/>
                      <w:szCs w:val="21"/>
                    </w:rPr>
                    <w:t>标准值dB（A）</w:t>
                  </w:r>
                </w:p>
              </w:tc>
              <w:tc>
                <w:tcPr>
                  <w:tcW w:w="400" w:type="pct"/>
                  <w:tcBorders>
                    <w:top w:val="single" w:color="auto" w:sz="4" w:space="0"/>
                    <w:bottom w:val="single" w:color="auto" w:sz="4" w:space="0"/>
                  </w:tcBorders>
                  <w:vAlign w:val="center"/>
                </w:tcPr>
                <w:p>
                  <w:pPr>
                    <w:snapToGrid w:val="0"/>
                    <w:jc w:val="center"/>
                    <w:rPr>
                      <w:bCs/>
                      <w:color w:val="auto"/>
                      <w:szCs w:val="21"/>
                    </w:rPr>
                  </w:pPr>
                  <w:r>
                    <w:rPr>
                      <w:bCs/>
                      <w:color w:val="auto"/>
                      <w:szCs w:val="21"/>
                    </w:rPr>
                    <w:t>60</w:t>
                  </w:r>
                </w:p>
              </w:tc>
              <w:tc>
                <w:tcPr>
                  <w:tcW w:w="399" w:type="pct"/>
                  <w:tcBorders>
                    <w:top w:val="single" w:color="auto" w:sz="4" w:space="0"/>
                    <w:bottom w:val="single" w:color="auto" w:sz="4" w:space="0"/>
                  </w:tcBorders>
                  <w:vAlign w:val="center"/>
                </w:tcPr>
                <w:p>
                  <w:pPr>
                    <w:snapToGrid w:val="0"/>
                    <w:jc w:val="center"/>
                    <w:rPr>
                      <w:bCs/>
                      <w:color w:val="auto"/>
                      <w:szCs w:val="21"/>
                    </w:rPr>
                  </w:pPr>
                  <w:r>
                    <w:rPr>
                      <w:bCs/>
                      <w:color w:val="auto"/>
                      <w:szCs w:val="21"/>
                    </w:rPr>
                    <w:t>50</w:t>
                  </w:r>
                </w:p>
              </w:tc>
              <w:tc>
                <w:tcPr>
                  <w:tcW w:w="399" w:type="pct"/>
                  <w:tcBorders>
                    <w:top w:val="single" w:color="auto" w:sz="4" w:space="0"/>
                    <w:bottom w:val="single" w:color="auto" w:sz="4" w:space="0"/>
                  </w:tcBorders>
                  <w:vAlign w:val="center"/>
                </w:tcPr>
                <w:p>
                  <w:pPr>
                    <w:snapToGrid w:val="0"/>
                    <w:jc w:val="center"/>
                    <w:rPr>
                      <w:bCs/>
                      <w:color w:val="auto"/>
                      <w:szCs w:val="21"/>
                    </w:rPr>
                  </w:pPr>
                  <w:r>
                    <w:rPr>
                      <w:bCs/>
                      <w:color w:val="auto"/>
                      <w:szCs w:val="21"/>
                    </w:rPr>
                    <w:t>60</w:t>
                  </w:r>
                </w:p>
              </w:tc>
              <w:tc>
                <w:tcPr>
                  <w:tcW w:w="399" w:type="pct"/>
                  <w:tcBorders>
                    <w:top w:val="single" w:color="auto" w:sz="4" w:space="0"/>
                    <w:bottom w:val="single" w:color="auto" w:sz="4" w:space="0"/>
                  </w:tcBorders>
                  <w:vAlign w:val="center"/>
                </w:tcPr>
                <w:p>
                  <w:pPr>
                    <w:snapToGrid w:val="0"/>
                    <w:jc w:val="center"/>
                    <w:rPr>
                      <w:bCs/>
                      <w:color w:val="auto"/>
                      <w:szCs w:val="21"/>
                    </w:rPr>
                  </w:pPr>
                  <w:r>
                    <w:rPr>
                      <w:bCs/>
                      <w:color w:val="auto"/>
                      <w:szCs w:val="21"/>
                    </w:rPr>
                    <w:t>50</w:t>
                  </w:r>
                </w:p>
              </w:tc>
              <w:tc>
                <w:tcPr>
                  <w:tcW w:w="399" w:type="pct"/>
                  <w:tcBorders>
                    <w:top w:val="single" w:color="auto" w:sz="4" w:space="0"/>
                    <w:bottom w:val="single" w:color="auto" w:sz="4" w:space="0"/>
                  </w:tcBorders>
                  <w:vAlign w:val="center"/>
                </w:tcPr>
                <w:p>
                  <w:pPr>
                    <w:snapToGrid w:val="0"/>
                    <w:jc w:val="center"/>
                    <w:rPr>
                      <w:bCs/>
                      <w:color w:val="auto"/>
                      <w:szCs w:val="21"/>
                    </w:rPr>
                  </w:pPr>
                  <w:r>
                    <w:rPr>
                      <w:bCs/>
                      <w:color w:val="auto"/>
                      <w:szCs w:val="21"/>
                    </w:rPr>
                    <w:t>60</w:t>
                  </w:r>
                </w:p>
              </w:tc>
              <w:tc>
                <w:tcPr>
                  <w:tcW w:w="399" w:type="pct"/>
                  <w:tcBorders>
                    <w:top w:val="single" w:color="auto" w:sz="4" w:space="0"/>
                    <w:bottom w:val="single" w:color="auto" w:sz="4" w:space="0"/>
                  </w:tcBorders>
                  <w:vAlign w:val="center"/>
                </w:tcPr>
                <w:p>
                  <w:pPr>
                    <w:snapToGrid w:val="0"/>
                    <w:jc w:val="center"/>
                    <w:rPr>
                      <w:bCs/>
                      <w:color w:val="auto"/>
                      <w:szCs w:val="21"/>
                    </w:rPr>
                  </w:pPr>
                  <w:r>
                    <w:rPr>
                      <w:bCs/>
                      <w:color w:val="auto"/>
                      <w:szCs w:val="21"/>
                    </w:rPr>
                    <w:t>50</w:t>
                  </w:r>
                </w:p>
              </w:tc>
              <w:tc>
                <w:tcPr>
                  <w:tcW w:w="399" w:type="pct"/>
                  <w:tcBorders>
                    <w:top w:val="single" w:color="auto" w:sz="4" w:space="0"/>
                    <w:bottom w:val="single" w:color="auto" w:sz="4" w:space="0"/>
                  </w:tcBorders>
                  <w:vAlign w:val="center"/>
                </w:tcPr>
                <w:p>
                  <w:pPr>
                    <w:snapToGrid w:val="0"/>
                    <w:jc w:val="center"/>
                    <w:rPr>
                      <w:bCs/>
                      <w:color w:val="auto"/>
                      <w:szCs w:val="21"/>
                    </w:rPr>
                  </w:pPr>
                  <w:r>
                    <w:rPr>
                      <w:bCs/>
                      <w:color w:val="auto"/>
                      <w:szCs w:val="21"/>
                    </w:rPr>
                    <w:t>60</w:t>
                  </w:r>
                </w:p>
              </w:tc>
              <w:tc>
                <w:tcPr>
                  <w:tcW w:w="396" w:type="pct"/>
                  <w:tcBorders>
                    <w:top w:val="single" w:color="auto" w:sz="4" w:space="0"/>
                    <w:bottom w:val="single" w:color="auto" w:sz="4" w:space="0"/>
                    <w:right w:val="nil"/>
                  </w:tcBorders>
                  <w:vAlign w:val="center"/>
                </w:tcPr>
                <w:p>
                  <w:pPr>
                    <w:snapToGrid w:val="0"/>
                    <w:jc w:val="center"/>
                    <w:rPr>
                      <w:bCs/>
                      <w:color w:val="auto"/>
                      <w:szCs w:val="21"/>
                    </w:rPr>
                  </w:pPr>
                  <w:r>
                    <w:rPr>
                      <w:bCs/>
                      <w:color w:val="auto"/>
                      <w:szCs w:val="21"/>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804" w:type="pct"/>
                  <w:gridSpan w:val="3"/>
                  <w:tcBorders>
                    <w:top w:val="single" w:color="auto" w:sz="4" w:space="0"/>
                    <w:bottom w:val="single" w:color="auto" w:sz="12" w:space="0"/>
                  </w:tcBorders>
                  <w:vAlign w:val="center"/>
                </w:tcPr>
                <w:p>
                  <w:pPr>
                    <w:snapToGrid w:val="0"/>
                    <w:jc w:val="center"/>
                    <w:rPr>
                      <w:bCs/>
                      <w:color w:val="auto"/>
                      <w:szCs w:val="21"/>
                    </w:rPr>
                  </w:pPr>
                  <w:r>
                    <w:rPr>
                      <w:bCs/>
                      <w:color w:val="auto"/>
                      <w:szCs w:val="21"/>
                    </w:rPr>
                    <w:t>超标量</w:t>
                  </w:r>
                </w:p>
              </w:tc>
              <w:tc>
                <w:tcPr>
                  <w:tcW w:w="800" w:type="pct"/>
                  <w:gridSpan w:val="2"/>
                  <w:tcBorders>
                    <w:top w:val="single" w:color="auto" w:sz="4" w:space="0"/>
                    <w:bottom w:val="single" w:color="auto" w:sz="12" w:space="0"/>
                  </w:tcBorders>
                  <w:vAlign w:val="center"/>
                </w:tcPr>
                <w:p>
                  <w:pPr>
                    <w:snapToGrid w:val="0"/>
                    <w:jc w:val="center"/>
                    <w:rPr>
                      <w:bCs/>
                      <w:color w:val="auto"/>
                      <w:szCs w:val="21"/>
                    </w:rPr>
                  </w:pPr>
                  <w:r>
                    <w:rPr>
                      <w:bCs/>
                      <w:color w:val="auto"/>
                      <w:szCs w:val="21"/>
                    </w:rPr>
                    <w:t>0</w:t>
                  </w:r>
                </w:p>
              </w:tc>
              <w:tc>
                <w:tcPr>
                  <w:tcW w:w="799" w:type="pct"/>
                  <w:gridSpan w:val="2"/>
                  <w:tcBorders>
                    <w:top w:val="single" w:color="auto" w:sz="4" w:space="0"/>
                    <w:bottom w:val="single" w:color="auto" w:sz="12" w:space="0"/>
                  </w:tcBorders>
                  <w:vAlign w:val="center"/>
                </w:tcPr>
                <w:p>
                  <w:pPr>
                    <w:snapToGrid w:val="0"/>
                    <w:jc w:val="center"/>
                    <w:rPr>
                      <w:bCs/>
                      <w:color w:val="auto"/>
                      <w:szCs w:val="21"/>
                    </w:rPr>
                  </w:pPr>
                  <w:r>
                    <w:rPr>
                      <w:bCs/>
                      <w:color w:val="auto"/>
                      <w:szCs w:val="21"/>
                    </w:rPr>
                    <w:t>0</w:t>
                  </w:r>
                </w:p>
              </w:tc>
              <w:tc>
                <w:tcPr>
                  <w:tcW w:w="799" w:type="pct"/>
                  <w:gridSpan w:val="2"/>
                  <w:tcBorders>
                    <w:top w:val="single" w:color="auto" w:sz="4" w:space="0"/>
                    <w:bottom w:val="single" w:color="auto" w:sz="12" w:space="0"/>
                  </w:tcBorders>
                  <w:vAlign w:val="center"/>
                </w:tcPr>
                <w:p>
                  <w:pPr>
                    <w:snapToGrid w:val="0"/>
                    <w:jc w:val="center"/>
                    <w:rPr>
                      <w:bCs/>
                      <w:color w:val="auto"/>
                      <w:szCs w:val="21"/>
                    </w:rPr>
                  </w:pPr>
                  <w:r>
                    <w:rPr>
                      <w:bCs/>
                      <w:color w:val="auto"/>
                      <w:szCs w:val="21"/>
                    </w:rPr>
                    <w:t>0</w:t>
                  </w:r>
                </w:p>
              </w:tc>
              <w:tc>
                <w:tcPr>
                  <w:tcW w:w="795" w:type="pct"/>
                  <w:gridSpan w:val="2"/>
                  <w:tcBorders>
                    <w:top w:val="single" w:color="auto" w:sz="4" w:space="0"/>
                    <w:bottom w:val="single" w:color="auto" w:sz="12" w:space="0"/>
                    <w:right w:val="nil"/>
                  </w:tcBorders>
                  <w:vAlign w:val="center"/>
                </w:tcPr>
                <w:p>
                  <w:pPr>
                    <w:snapToGrid w:val="0"/>
                    <w:jc w:val="center"/>
                    <w:rPr>
                      <w:bCs/>
                      <w:color w:val="auto"/>
                      <w:szCs w:val="21"/>
                    </w:rPr>
                  </w:pPr>
                  <w:r>
                    <w:rPr>
                      <w:bCs/>
                      <w:color w:val="auto"/>
                      <w:szCs w:val="21"/>
                    </w:rPr>
                    <w:t>0</w:t>
                  </w:r>
                </w:p>
              </w:tc>
            </w:tr>
          </w:tbl>
          <w:p>
            <w:pPr>
              <w:adjustRightInd w:val="0"/>
              <w:snapToGrid w:val="0"/>
              <w:spacing w:line="360" w:lineRule="auto"/>
              <w:ind w:firstLine="480" w:firstLineChars="200"/>
              <w:rPr>
                <w:sz w:val="24"/>
              </w:rPr>
            </w:pPr>
            <w:r>
              <w:rPr>
                <w:sz w:val="24"/>
              </w:rPr>
              <w:t>根据上述预测可知，本项目厂界噪声满足《</w:t>
            </w:r>
            <w:r>
              <w:rPr>
                <w:bCs/>
                <w:sz w:val="24"/>
              </w:rPr>
              <w:t>工业企业厂界环境噪声排放标准》(GB12348-2008)</w:t>
            </w:r>
            <w:r>
              <w:rPr>
                <w:sz w:val="24"/>
              </w:rPr>
              <w:t>的2类区域标准，项目正常生产过程中产生的噪声对周边环境影响较小，并且距离居民点（距离本项目最近敏感点为锅炉房南侧275米处的桑园里）较远，不会造成噪声扰民现象。</w:t>
            </w:r>
          </w:p>
          <w:p>
            <w:pPr>
              <w:spacing w:line="360" w:lineRule="auto"/>
              <w:ind w:firstLine="480" w:firstLineChars="200"/>
              <w:rPr>
                <w:sz w:val="24"/>
              </w:rPr>
            </w:pPr>
            <w:bookmarkStart w:id="4" w:name="OLE_LINK11"/>
            <w:r>
              <w:rPr>
                <w:sz w:val="24"/>
              </w:rPr>
              <w:t>（4）噪声监测计划</w:t>
            </w:r>
          </w:p>
          <w:p>
            <w:pPr>
              <w:adjustRightInd w:val="0"/>
              <w:snapToGrid w:val="0"/>
              <w:spacing w:line="360" w:lineRule="auto"/>
              <w:ind w:firstLine="480" w:firstLineChars="200"/>
              <w:rPr>
                <w:sz w:val="24"/>
              </w:rPr>
            </w:pPr>
            <w:r>
              <w:rPr>
                <w:sz w:val="24"/>
              </w:rPr>
              <w:t>监测点位：厂界四周布设4个点位；</w:t>
            </w:r>
          </w:p>
          <w:p>
            <w:pPr>
              <w:adjustRightInd w:val="0"/>
              <w:snapToGrid w:val="0"/>
              <w:spacing w:line="360" w:lineRule="auto"/>
              <w:ind w:firstLine="480" w:firstLineChars="200"/>
              <w:rPr>
                <w:sz w:val="24"/>
              </w:rPr>
            </w:pPr>
            <w:r>
              <w:rPr>
                <w:sz w:val="24"/>
              </w:rPr>
              <w:t>监测频次：按照《排污单位自行监测技术指南总则》（HJ819-2017）、《排污单位自行监测技术指南 火力发电及锅炉》(HJ820—2017）中相关要求</w:t>
            </w:r>
          </w:p>
          <w:p>
            <w:pPr>
              <w:spacing w:line="360" w:lineRule="auto"/>
              <w:ind w:firstLine="480" w:firstLineChars="200"/>
              <w:rPr>
                <w:sz w:val="24"/>
              </w:rPr>
            </w:pPr>
            <w:r>
              <w:rPr>
                <w:sz w:val="24"/>
              </w:rPr>
              <w:t>监测因子：</w:t>
            </w:r>
            <w:r>
              <w:rPr>
                <w:bCs/>
                <w:sz w:val="24"/>
              </w:rPr>
              <w:t>厂界噪声</w:t>
            </w:r>
            <w:r>
              <w:rPr>
                <w:sz w:val="24"/>
              </w:rPr>
              <w:t>昼夜间</w:t>
            </w:r>
            <w:r>
              <w:rPr>
                <w:bCs/>
                <w:sz w:val="24"/>
              </w:rPr>
              <w:t>等效连续A声级</w:t>
            </w:r>
            <w:r>
              <w:rPr>
                <w:sz w:val="24"/>
              </w:rPr>
              <w:t>Leq(A)。</w:t>
            </w:r>
          </w:p>
          <w:p>
            <w:pPr>
              <w:spacing w:line="360" w:lineRule="auto"/>
              <w:ind w:firstLine="480" w:firstLineChars="200"/>
              <w:rPr>
                <w:sz w:val="24"/>
              </w:rPr>
            </w:pPr>
            <w:r>
              <w:rPr>
                <w:sz w:val="24"/>
              </w:rPr>
              <w:t>噪声监测位置、监测因子、频率等详见下表。</w:t>
            </w:r>
          </w:p>
          <w:p>
            <w:pPr>
              <w:adjustRightInd w:val="0"/>
              <w:snapToGrid w:val="0"/>
              <w:jc w:val="center"/>
              <w:rPr>
                <w:b/>
                <w:bCs/>
                <w:sz w:val="24"/>
              </w:rPr>
            </w:pPr>
            <w:r>
              <w:rPr>
                <w:b/>
                <w:bCs/>
                <w:sz w:val="24"/>
              </w:rPr>
              <w:t>表4-</w:t>
            </w:r>
            <w:r>
              <w:rPr>
                <w:rFonts w:hint="eastAsia"/>
                <w:b/>
                <w:bCs/>
                <w:sz w:val="24"/>
                <w:lang w:val="en-US" w:eastAsia="zh-CN"/>
              </w:rPr>
              <w:t>8</w:t>
            </w:r>
            <w:r>
              <w:rPr>
                <w:b/>
                <w:bCs/>
                <w:sz w:val="24"/>
              </w:rPr>
              <w:t xml:space="preserve">  营运期监测计划表</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2298"/>
              <w:gridCol w:w="2708"/>
              <w:gridCol w:w="217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pct"/>
                  <w:tcBorders>
                    <w:top w:val="single" w:color="auto" w:sz="12" w:space="0"/>
                    <w:left w:val="nil"/>
                    <w:bottom w:val="single" w:color="auto" w:sz="4" w:space="0"/>
                    <w:right w:val="single" w:color="auto" w:sz="4" w:space="0"/>
                  </w:tcBorders>
                  <w:vAlign w:val="center"/>
                </w:tcPr>
                <w:p>
                  <w:pPr>
                    <w:adjustRightInd w:val="0"/>
                    <w:snapToGrid w:val="0"/>
                    <w:jc w:val="center"/>
                    <w:rPr>
                      <w:b/>
                      <w:bCs/>
                      <w:szCs w:val="21"/>
                    </w:rPr>
                  </w:pPr>
                  <w:r>
                    <w:rPr>
                      <w:b/>
                      <w:bCs/>
                    </w:rPr>
                    <w:t>污染种类</w:t>
                  </w:r>
                </w:p>
              </w:tc>
              <w:tc>
                <w:tcPr>
                  <w:tcW w:w="1367" w:type="pc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b/>
                      <w:bCs/>
                      <w:szCs w:val="21"/>
                    </w:rPr>
                  </w:pPr>
                  <w:r>
                    <w:rPr>
                      <w:b/>
                      <w:bCs/>
                    </w:rPr>
                    <w:t>监测点位</w:t>
                  </w:r>
                </w:p>
              </w:tc>
              <w:tc>
                <w:tcPr>
                  <w:tcW w:w="1611" w:type="pc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b/>
                      <w:bCs/>
                      <w:szCs w:val="21"/>
                    </w:rPr>
                  </w:pPr>
                  <w:r>
                    <w:rPr>
                      <w:b/>
                      <w:bCs/>
                    </w:rPr>
                    <w:t>监测项目</w:t>
                  </w:r>
                </w:p>
              </w:tc>
              <w:tc>
                <w:tcPr>
                  <w:tcW w:w="1291" w:type="pct"/>
                  <w:tcBorders>
                    <w:top w:val="single" w:color="auto" w:sz="12" w:space="0"/>
                    <w:left w:val="single" w:color="auto" w:sz="4" w:space="0"/>
                    <w:bottom w:val="single" w:color="auto" w:sz="4" w:space="0"/>
                    <w:right w:val="nil"/>
                  </w:tcBorders>
                  <w:vAlign w:val="center"/>
                </w:tcPr>
                <w:p>
                  <w:pPr>
                    <w:adjustRightInd w:val="0"/>
                    <w:snapToGrid w:val="0"/>
                    <w:jc w:val="center"/>
                    <w:rPr>
                      <w:b/>
                      <w:bCs/>
                      <w:szCs w:val="21"/>
                    </w:rPr>
                  </w:pPr>
                  <w:r>
                    <w:rPr>
                      <w:b/>
                      <w:bCs/>
                    </w:rPr>
                    <w:t>监测频率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pct"/>
                  <w:tcBorders>
                    <w:top w:val="single" w:color="auto" w:sz="4" w:space="0"/>
                    <w:left w:val="nil"/>
                    <w:bottom w:val="single" w:color="auto" w:sz="12" w:space="0"/>
                    <w:right w:val="single" w:color="auto" w:sz="4" w:space="0"/>
                  </w:tcBorders>
                  <w:vAlign w:val="center"/>
                </w:tcPr>
                <w:p>
                  <w:pPr>
                    <w:adjustRightInd w:val="0"/>
                    <w:snapToGrid w:val="0"/>
                    <w:jc w:val="center"/>
                    <w:rPr>
                      <w:szCs w:val="21"/>
                    </w:rPr>
                  </w:pPr>
                  <w:r>
                    <w:t>噪声</w:t>
                  </w:r>
                </w:p>
              </w:tc>
              <w:tc>
                <w:tcPr>
                  <w:tcW w:w="1367"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szCs w:val="21"/>
                    </w:rPr>
                  </w:pPr>
                  <w:r>
                    <w:t>厂界四周边界</w:t>
                  </w:r>
                </w:p>
              </w:tc>
              <w:tc>
                <w:tcPr>
                  <w:tcW w:w="1611"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szCs w:val="21"/>
                    </w:rPr>
                  </w:pPr>
                  <w:r>
                    <w:t>连续等效A声级</w:t>
                  </w:r>
                </w:p>
              </w:tc>
              <w:tc>
                <w:tcPr>
                  <w:tcW w:w="1291" w:type="pct"/>
                  <w:tcBorders>
                    <w:top w:val="single" w:color="auto" w:sz="4" w:space="0"/>
                    <w:left w:val="single" w:color="auto" w:sz="4" w:space="0"/>
                    <w:bottom w:val="single" w:color="auto" w:sz="12" w:space="0"/>
                    <w:right w:val="nil"/>
                  </w:tcBorders>
                  <w:vAlign w:val="center"/>
                </w:tcPr>
                <w:p>
                  <w:pPr>
                    <w:adjustRightInd w:val="0"/>
                    <w:snapToGrid w:val="0"/>
                    <w:jc w:val="center"/>
                    <w:rPr>
                      <w:szCs w:val="21"/>
                    </w:rPr>
                  </w:pPr>
                  <w:r>
                    <w:t>每季度监测1次</w:t>
                  </w:r>
                </w:p>
                <w:p>
                  <w:pPr>
                    <w:adjustRightInd w:val="0"/>
                    <w:snapToGrid w:val="0"/>
                    <w:jc w:val="center"/>
                    <w:rPr>
                      <w:szCs w:val="21"/>
                    </w:rPr>
                  </w:pPr>
                  <w:r>
                    <w:t>昼间、夜间</w:t>
                  </w:r>
                </w:p>
              </w:tc>
            </w:tr>
            <w:bookmarkEnd w:id="4"/>
          </w:tbl>
          <w:p>
            <w:pPr>
              <w:adjustRightInd w:val="0"/>
              <w:snapToGrid w:val="0"/>
              <w:spacing w:line="360" w:lineRule="auto"/>
              <w:rPr>
                <w:b/>
                <w:sz w:val="24"/>
              </w:rPr>
            </w:pPr>
            <w:r>
              <w:rPr>
                <w:b/>
                <w:sz w:val="24"/>
              </w:rPr>
              <w:t>4、固体废物</w:t>
            </w:r>
          </w:p>
          <w:p>
            <w:pPr>
              <w:adjustRightInd w:val="0"/>
              <w:snapToGrid w:val="0"/>
              <w:spacing w:beforeLines="50" w:line="360" w:lineRule="auto"/>
              <w:ind w:firstLine="480" w:firstLineChars="200"/>
              <w:rPr>
                <w:bCs/>
                <w:sz w:val="24"/>
              </w:rPr>
            </w:pPr>
            <w:r>
              <w:rPr>
                <w:bCs/>
                <w:sz w:val="24"/>
              </w:rPr>
              <w:t>（1）项目固体废物产生情况</w:t>
            </w:r>
          </w:p>
          <w:p>
            <w:pPr>
              <w:pStyle w:val="5"/>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1）一般固废</w:t>
            </w:r>
          </w:p>
          <w:p>
            <w:pPr>
              <w:adjustRightInd w:val="0"/>
              <w:snapToGrid w:val="0"/>
              <w:spacing w:line="360" w:lineRule="auto"/>
              <w:ind w:firstLine="480" w:firstLineChars="200"/>
              <w:rPr>
                <w:sz w:val="24"/>
              </w:rPr>
            </w:pPr>
            <w:r>
              <w:rPr>
                <w:sz w:val="24"/>
              </w:rPr>
              <w:t>本项目无一般固废产生。</w:t>
            </w:r>
          </w:p>
          <w:p>
            <w:pPr>
              <w:adjustRightInd w:val="0"/>
              <w:snapToGrid w:val="0"/>
              <w:spacing w:line="360" w:lineRule="auto"/>
              <w:ind w:firstLine="480" w:firstLineChars="200"/>
              <w:rPr>
                <w:sz w:val="24"/>
              </w:rPr>
            </w:pPr>
            <w:r>
              <w:rPr>
                <w:bCs/>
                <w:sz w:val="24"/>
              </w:rPr>
              <w:t>2）危险固废</w:t>
            </w:r>
          </w:p>
          <w:p>
            <w:pPr>
              <w:pStyle w:val="5"/>
              <w:adjustRightInd w:val="0"/>
              <w:snapToGrid w:val="0"/>
              <w:spacing w:line="360" w:lineRule="auto"/>
              <w:ind w:firstLine="480" w:firstLineChars="200"/>
              <w:rPr>
                <w:rFonts w:ascii="Times New Roman" w:hAnsi="Times New Roman"/>
                <w:bCs/>
                <w:sz w:val="24"/>
              </w:rPr>
            </w:pPr>
            <w:r>
              <w:rPr>
                <w:rFonts w:ascii="Times New Roman" w:hAnsi="Times New Roman"/>
                <w:sz w:val="24"/>
              </w:rPr>
              <w:t>废导热油：</w:t>
            </w:r>
            <w:r>
              <w:rPr>
                <w:rFonts w:ascii="Times New Roman" w:hAnsi="Times New Roman"/>
                <w:bCs/>
                <w:sz w:val="24"/>
              </w:rPr>
              <w:t>本项目锅炉过滤器会产生少量过滤出来的废导热油，每年会产生约10t，导热油的主要成分为矿物油，经查《国家危险废物名录》（2021年版），废导热油为危险固废，废物类别HW08，废物代码900-249-08，收集后委托有资质单位处理。</w:t>
            </w:r>
          </w:p>
          <w:p>
            <w:pPr>
              <w:adjustRightInd w:val="0"/>
              <w:snapToGrid w:val="0"/>
              <w:spacing w:line="360" w:lineRule="auto"/>
              <w:ind w:firstLine="480" w:firstLineChars="200"/>
              <w:rPr>
                <w:bCs/>
                <w:sz w:val="24"/>
              </w:rPr>
            </w:pPr>
            <w:r>
              <w:rPr>
                <w:sz w:val="24"/>
              </w:rPr>
              <w:t>废包装桶：</w:t>
            </w:r>
            <w:r>
              <w:rPr>
                <w:bCs/>
                <w:sz w:val="24"/>
              </w:rPr>
              <w:t>本项目导热油为桶装，产生废包装桶为3t/a</w:t>
            </w:r>
            <w:r>
              <w:rPr>
                <w:rFonts w:hint="eastAsia"/>
                <w:bCs/>
                <w:sz w:val="24"/>
                <w:lang w:eastAsia="zh-CN"/>
              </w:rPr>
              <w:t>（</w:t>
            </w:r>
            <w:r>
              <w:rPr>
                <w:rFonts w:hint="eastAsia"/>
                <w:bCs/>
                <w:sz w:val="24"/>
                <w:lang w:val="en-US" w:eastAsia="zh-CN"/>
              </w:rPr>
              <w:t>150只</w:t>
            </w:r>
            <w:r>
              <w:rPr>
                <w:rFonts w:hint="eastAsia"/>
                <w:bCs/>
                <w:sz w:val="24"/>
                <w:lang w:eastAsia="zh-CN"/>
              </w:rPr>
              <w:t>）</w:t>
            </w:r>
            <w:r>
              <w:rPr>
                <w:bCs/>
                <w:sz w:val="24"/>
              </w:rPr>
              <w:t>，经查《国家危险废物名录》（2021年版），废包装桶为危险固废，废物类别HW08，废物代码900-249-08，收集后委托有资质单位处理。</w:t>
            </w:r>
          </w:p>
          <w:p>
            <w:pPr>
              <w:adjustRightInd w:val="0"/>
              <w:snapToGrid w:val="0"/>
              <w:spacing w:line="360" w:lineRule="auto"/>
              <w:ind w:firstLine="480" w:firstLineChars="200"/>
              <w:rPr>
                <w:bCs/>
                <w:sz w:val="24"/>
              </w:rPr>
            </w:pPr>
            <w:r>
              <w:rPr>
                <w:bCs/>
                <w:sz w:val="24"/>
              </w:rPr>
              <w:t>根据《固体废物鉴别标准通则》（GB34330-2017）的规定，对本项目产生的固体废物属性进行判定，判定依据及结果见下表。</w:t>
            </w:r>
          </w:p>
          <w:p>
            <w:pPr>
              <w:adjustRightInd w:val="0"/>
              <w:snapToGrid w:val="0"/>
              <w:ind w:firstLine="482" w:firstLineChars="200"/>
              <w:jc w:val="center"/>
              <w:rPr>
                <w:b/>
                <w:sz w:val="28"/>
                <w:szCs w:val="28"/>
              </w:rPr>
            </w:pPr>
            <w:r>
              <w:rPr>
                <w:b/>
                <w:sz w:val="24"/>
              </w:rPr>
              <w:t>表4-</w:t>
            </w:r>
            <w:r>
              <w:rPr>
                <w:rFonts w:hint="eastAsia"/>
                <w:b/>
                <w:sz w:val="24"/>
                <w:lang w:val="en-US" w:eastAsia="zh-CN"/>
              </w:rPr>
              <w:t>9</w:t>
            </w:r>
            <w:r>
              <w:rPr>
                <w:b/>
                <w:sz w:val="24"/>
              </w:rPr>
              <w:t xml:space="preserve">  项目副产物产生情况汇总</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418"/>
              <w:gridCol w:w="1289"/>
              <w:gridCol w:w="939"/>
              <w:gridCol w:w="668"/>
              <w:gridCol w:w="921"/>
              <w:gridCol w:w="995"/>
              <w:gridCol w:w="1030"/>
              <w:gridCol w:w="804"/>
              <w:gridCol w:w="13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48" w:type="pct"/>
                  <w:vMerge w:val="restart"/>
                  <w:vAlign w:val="center"/>
                </w:tcPr>
                <w:p>
                  <w:pPr>
                    <w:adjustRightInd w:val="0"/>
                    <w:snapToGrid w:val="0"/>
                    <w:jc w:val="center"/>
                    <w:rPr>
                      <w:b/>
                      <w:bCs/>
                      <w:szCs w:val="21"/>
                    </w:rPr>
                  </w:pPr>
                  <w:r>
                    <w:rPr>
                      <w:b/>
                      <w:bCs/>
                      <w:szCs w:val="21"/>
                    </w:rPr>
                    <w:t>序号</w:t>
                  </w:r>
                </w:p>
              </w:tc>
              <w:tc>
                <w:tcPr>
                  <w:tcW w:w="766" w:type="pct"/>
                  <w:vMerge w:val="restart"/>
                  <w:vAlign w:val="center"/>
                </w:tcPr>
                <w:p>
                  <w:pPr>
                    <w:adjustRightInd w:val="0"/>
                    <w:snapToGrid w:val="0"/>
                    <w:jc w:val="center"/>
                    <w:rPr>
                      <w:b/>
                      <w:bCs/>
                      <w:szCs w:val="21"/>
                    </w:rPr>
                  </w:pPr>
                  <w:r>
                    <w:rPr>
                      <w:b/>
                      <w:bCs/>
                      <w:szCs w:val="21"/>
                    </w:rPr>
                    <w:t>副产物</w:t>
                  </w:r>
                </w:p>
                <w:p>
                  <w:pPr>
                    <w:adjustRightInd w:val="0"/>
                    <w:snapToGrid w:val="0"/>
                    <w:jc w:val="center"/>
                    <w:rPr>
                      <w:b/>
                      <w:bCs/>
                      <w:szCs w:val="21"/>
                    </w:rPr>
                  </w:pPr>
                  <w:r>
                    <w:rPr>
                      <w:b/>
                      <w:bCs/>
                      <w:szCs w:val="21"/>
                    </w:rPr>
                    <w:t>名称</w:t>
                  </w:r>
                </w:p>
              </w:tc>
              <w:tc>
                <w:tcPr>
                  <w:tcW w:w="558" w:type="pct"/>
                  <w:vMerge w:val="restart"/>
                  <w:vAlign w:val="center"/>
                </w:tcPr>
                <w:p>
                  <w:pPr>
                    <w:adjustRightInd w:val="0"/>
                    <w:snapToGrid w:val="0"/>
                    <w:jc w:val="center"/>
                    <w:rPr>
                      <w:b/>
                      <w:bCs/>
                      <w:szCs w:val="21"/>
                    </w:rPr>
                  </w:pPr>
                  <w:r>
                    <w:rPr>
                      <w:b/>
                      <w:bCs/>
                      <w:szCs w:val="21"/>
                    </w:rPr>
                    <w:t>产生</w:t>
                  </w:r>
                </w:p>
                <w:p>
                  <w:pPr>
                    <w:adjustRightInd w:val="0"/>
                    <w:snapToGrid w:val="0"/>
                    <w:jc w:val="center"/>
                    <w:rPr>
                      <w:b/>
                      <w:bCs/>
                      <w:szCs w:val="21"/>
                    </w:rPr>
                  </w:pPr>
                  <w:r>
                    <w:rPr>
                      <w:b/>
                      <w:bCs/>
                      <w:szCs w:val="21"/>
                    </w:rPr>
                    <w:t>来源</w:t>
                  </w:r>
                </w:p>
              </w:tc>
              <w:tc>
                <w:tcPr>
                  <w:tcW w:w="397" w:type="pct"/>
                  <w:vMerge w:val="restart"/>
                  <w:vAlign w:val="center"/>
                </w:tcPr>
                <w:p>
                  <w:pPr>
                    <w:adjustRightInd w:val="0"/>
                    <w:snapToGrid w:val="0"/>
                    <w:jc w:val="center"/>
                    <w:rPr>
                      <w:b/>
                      <w:bCs/>
                      <w:szCs w:val="21"/>
                    </w:rPr>
                  </w:pPr>
                  <w:r>
                    <w:rPr>
                      <w:b/>
                      <w:bCs/>
                      <w:szCs w:val="21"/>
                    </w:rPr>
                    <w:t>形态</w:t>
                  </w:r>
                </w:p>
              </w:tc>
              <w:tc>
                <w:tcPr>
                  <w:tcW w:w="547" w:type="pct"/>
                  <w:vMerge w:val="restart"/>
                  <w:vAlign w:val="center"/>
                </w:tcPr>
                <w:p>
                  <w:pPr>
                    <w:adjustRightInd w:val="0"/>
                    <w:snapToGrid w:val="0"/>
                    <w:jc w:val="center"/>
                    <w:rPr>
                      <w:b/>
                      <w:bCs/>
                      <w:szCs w:val="21"/>
                    </w:rPr>
                  </w:pPr>
                  <w:r>
                    <w:rPr>
                      <w:b/>
                      <w:bCs/>
                      <w:szCs w:val="21"/>
                    </w:rPr>
                    <w:t>主要</w:t>
                  </w:r>
                </w:p>
                <w:p>
                  <w:pPr>
                    <w:adjustRightInd w:val="0"/>
                    <w:snapToGrid w:val="0"/>
                    <w:jc w:val="center"/>
                    <w:rPr>
                      <w:b/>
                      <w:bCs/>
                      <w:szCs w:val="21"/>
                    </w:rPr>
                  </w:pPr>
                  <w:r>
                    <w:rPr>
                      <w:b/>
                      <w:bCs/>
                      <w:szCs w:val="21"/>
                    </w:rPr>
                    <w:t>成分</w:t>
                  </w:r>
                </w:p>
              </w:tc>
              <w:tc>
                <w:tcPr>
                  <w:tcW w:w="592" w:type="pct"/>
                  <w:vMerge w:val="restart"/>
                  <w:vAlign w:val="center"/>
                </w:tcPr>
                <w:p>
                  <w:pPr>
                    <w:adjustRightInd w:val="0"/>
                    <w:snapToGrid w:val="0"/>
                    <w:jc w:val="center"/>
                    <w:rPr>
                      <w:b/>
                      <w:bCs/>
                      <w:szCs w:val="21"/>
                    </w:rPr>
                  </w:pPr>
                  <w:r>
                    <w:rPr>
                      <w:b/>
                      <w:bCs/>
                      <w:szCs w:val="21"/>
                    </w:rPr>
                    <w:t>预测产生量（t/a）</w:t>
                  </w:r>
                </w:p>
              </w:tc>
              <w:tc>
                <w:tcPr>
                  <w:tcW w:w="1889" w:type="pct"/>
                  <w:gridSpan w:val="3"/>
                  <w:vAlign w:val="center"/>
                </w:tcPr>
                <w:p>
                  <w:pPr>
                    <w:adjustRightInd w:val="0"/>
                    <w:snapToGrid w:val="0"/>
                    <w:jc w:val="center"/>
                    <w:rPr>
                      <w:b/>
                      <w:bCs/>
                      <w:szCs w:val="21"/>
                    </w:rPr>
                  </w:pPr>
                  <w:r>
                    <w:rPr>
                      <w:b/>
                      <w:bCs/>
                      <w:szCs w:val="21"/>
                    </w:rPr>
                    <w:t>种类判断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48" w:type="pct"/>
                  <w:vMerge w:val="continue"/>
                  <w:vAlign w:val="center"/>
                </w:tcPr>
                <w:p>
                  <w:pPr>
                    <w:adjustRightInd w:val="0"/>
                    <w:snapToGrid w:val="0"/>
                    <w:jc w:val="center"/>
                    <w:rPr>
                      <w:b/>
                      <w:bCs/>
                      <w:szCs w:val="21"/>
                    </w:rPr>
                  </w:pPr>
                </w:p>
              </w:tc>
              <w:tc>
                <w:tcPr>
                  <w:tcW w:w="766" w:type="pct"/>
                  <w:vMerge w:val="continue"/>
                  <w:vAlign w:val="center"/>
                </w:tcPr>
                <w:p>
                  <w:pPr>
                    <w:adjustRightInd w:val="0"/>
                    <w:snapToGrid w:val="0"/>
                    <w:jc w:val="center"/>
                    <w:rPr>
                      <w:b/>
                      <w:bCs/>
                      <w:szCs w:val="21"/>
                    </w:rPr>
                  </w:pPr>
                </w:p>
              </w:tc>
              <w:tc>
                <w:tcPr>
                  <w:tcW w:w="558" w:type="pct"/>
                  <w:vMerge w:val="continue"/>
                  <w:vAlign w:val="center"/>
                </w:tcPr>
                <w:p>
                  <w:pPr>
                    <w:adjustRightInd w:val="0"/>
                    <w:snapToGrid w:val="0"/>
                    <w:jc w:val="center"/>
                    <w:rPr>
                      <w:b/>
                      <w:bCs/>
                      <w:szCs w:val="21"/>
                    </w:rPr>
                  </w:pPr>
                </w:p>
              </w:tc>
              <w:tc>
                <w:tcPr>
                  <w:tcW w:w="397" w:type="pct"/>
                  <w:vMerge w:val="continue"/>
                  <w:vAlign w:val="center"/>
                </w:tcPr>
                <w:p>
                  <w:pPr>
                    <w:adjustRightInd w:val="0"/>
                    <w:snapToGrid w:val="0"/>
                    <w:jc w:val="center"/>
                    <w:rPr>
                      <w:b/>
                      <w:bCs/>
                      <w:szCs w:val="21"/>
                    </w:rPr>
                  </w:pPr>
                </w:p>
              </w:tc>
              <w:tc>
                <w:tcPr>
                  <w:tcW w:w="547" w:type="pct"/>
                  <w:vMerge w:val="continue"/>
                  <w:vAlign w:val="center"/>
                </w:tcPr>
                <w:p>
                  <w:pPr>
                    <w:adjustRightInd w:val="0"/>
                    <w:snapToGrid w:val="0"/>
                    <w:jc w:val="center"/>
                    <w:rPr>
                      <w:b/>
                      <w:bCs/>
                      <w:szCs w:val="21"/>
                    </w:rPr>
                  </w:pPr>
                </w:p>
              </w:tc>
              <w:tc>
                <w:tcPr>
                  <w:tcW w:w="592" w:type="pct"/>
                  <w:vMerge w:val="continue"/>
                  <w:vAlign w:val="center"/>
                </w:tcPr>
                <w:p>
                  <w:pPr>
                    <w:adjustRightInd w:val="0"/>
                    <w:snapToGrid w:val="0"/>
                    <w:jc w:val="center"/>
                    <w:rPr>
                      <w:b/>
                      <w:bCs/>
                      <w:szCs w:val="21"/>
                    </w:rPr>
                  </w:pPr>
                </w:p>
              </w:tc>
              <w:tc>
                <w:tcPr>
                  <w:tcW w:w="613" w:type="pct"/>
                  <w:vAlign w:val="center"/>
                </w:tcPr>
                <w:p>
                  <w:pPr>
                    <w:adjustRightInd w:val="0"/>
                    <w:snapToGrid w:val="0"/>
                    <w:jc w:val="center"/>
                    <w:rPr>
                      <w:b/>
                      <w:bCs/>
                      <w:szCs w:val="21"/>
                    </w:rPr>
                  </w:pPr>
                  <w:r>
                    <w:rPr>
                      <w:b/>
                      <w:bCs/>
                      <w:szCs w:val="21"/>
                    </w:rPr>
                    <w:t>固体废物</w:t>
                  </w:r>
                </w:p>
              </w:tc>
              <w:tc>
                <w:tcPr>
                  <w:tcW w:w="478" w:type="pct"/>
                  <w:vAlign w:val="center"/>
                </w:tcPr>
                <w:p>
                  <w:pPr>
                    <w:adjustRightInd w:val="0"/>
                    <w:snapToGrid w:val="0"/>
                    <w:jc w:val="center"/>
                    <w:rPr>
                      <w:b/>
                      <w:bCs/>
                      <w:szCs w:val="21"/>
                    </w:rPr>
                  </w:pPr>
                  <w:r>
                    <w:rPr>
                      <w:b/>
                      <w:bCs/>
                      <w:szCs w:val="21"/>
                    </w:rPr>
                    <w:t>副产品</w:t>
                  </w:r>
                </w:p>
              </w:tc>
              <w:tc>
                <w:tcPr>
                  <w:tcW w:w="797" w:type="pct"/>
                  <w:tcBorders>
                    <w:bottom w:val="single" w:color="auto" w:sz="4" w:space="0"/>
                  </w:tcBorders>
                  <w:vAlign w:val="center"/>
                </w:tcPr>
                <w:p>
                  <w:pPr>
                    <w:adjustRightInd w:val="0"/>
                    <w:snapToGrid w:val="0"/>
                    <w:jc w:val="center"/>
                    <w:rPr>
                      <w:b/>
                      <w:bCs/>
                      <w:szCs w:val="21"/>
                    </w:rPr>
                  </w:pPr>
                  <w:r>
                    <w:rPr>
                      <w:b/>
                      <w:bCs/>
                      <w:szCs w:val="21"/>
                    </w:rPr>
                    <w:t>判定依据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46" w:hRule="atLeast"/>
                <w:jc w:val="center"/>
              </w:trPr>
              <w:tc>
                <w:tcPr>
                  <w:tcW w:w="248" w:type="pct"/>
                  <w:vAlign w:val="center"/>
                </w:tcPr>
                <w:p>
                  <w:pPr>
                    <w:adjustRightInd w:val="0"/>
                    <w:snapToGrid w:val="0"/>
                    <w:jc w:val="center"/>
                    <w:rPr>
                      <w:szCs w:val="21"/>
                    </w:rPr>
                  </w:pPr>
                  <w:r>
                    <w:rPr>
                      <w:szCs w:val="21"/>
                    </w:rPr>
                    <w:t>1</w:t>
                  </w:r>
                </w:p>
              </w:tc>
              <w:tc>
                <w:tcPr>
                  <w:tcW w:w="766" w:type="pct"/>
                  <w:vAlign w:val="center"/>
                </w:tcPr>
                <w:p>
                  <w:pPr>
                    <w:pStyle w:val="5"/>
                    <w:adjustRightInd w:val="0"/>
                    <w:snapToGrid w:val="0"/>
                    <w:ind w:firstLine="0"/>
                    <w:jc w:val="center"/>
                    <w:rPr>
                      <w:rFonts w:ascii="Times New Roman" w:hAnsi="Times New Roman"/>
                      <w:szCs w:val="21"/>
                    </w:rPr>
                  </w:pPr>
                  <w:r>
                    <w:rPr>
                      <w:rFonts w:ascii="Times New Roman" w:hAnsi="Times New Roman"/>
                      <w:szCs w:val="21"/>
                    </w:rPr>
                    <w:t>废导热油</w:t>
                  </w:r>
                </w:p>
              </w:tc>
              <w:tc>
                <w:tcPr>
                  <w:tcW w:w="558" w:type="pct"/>
                  <w:vAlign w:val="center"/>
                </w:tcPr>
                <w:p>
                  <w:pPr>
                    <w:pStyle w:val="5"/>
                    <w:adjustRightInd w:val="0"/>
                    <w:snapToGrid w:val="0"/>
                    <w:ind w:firstLine="0"/>
                    <w:jc w:val="center"/>
                    <w:rPr>
                      <w:rFonts w:ascii="Times New Roman" w:hAnsi="Times New Roman"/>
                      <w:szCs w:val="21"/>
                    </w:rPr>
                  </w:pPr>
                  <w:r>
                    <w:rPr>
                      <w:rFonts w:ascii="Times New Roman" w:hAnsi="Times New Roman"/>
                      <w:szCs w:val="21"/>
                    </w:rPr>
                    <w:t>过滤</w:t>
                  </w:r>
                </w:p>
              </w:tc>
              <w:tc>
                <w:tcPr>
                  <w:tcW w:w="397" w:type="pct"/>
                  <w:vAlign w:val="center"/>
                </w:tcPr>
                <w:p>
                  <w:pPr>
                    <w:pStyle w:val="5"/>
                    <w:adjustRightInd w:val="0"/>
                    <w:snapToGrid w:val="0"/>
                    <w:ind w:firstLine="0"/>
                    <w:jc w:val="center"/>
                    <w:rPr>
                      <w:rFonts w:ascii="Times New Roman" w:hAnsi="Times New Roman"/>
                      <w:szCs w:val="21"/>
                    </w:rPr>
                  </w:pPr>
                  <w:r>
                    <w:rPr>
                      <w:rFonts w:ascii="Times New Roman" w:hAnsi="Times New Roman"/>
                      <w:szCs w:val="21"/>
                    </w:rPr>
                    <w:t>液态</w:t>
                  </w:r>
                </w:p>
              </w:tc>
              <w:tc>
                <w:tcPr>
                  <w:tcW w:w="547" w:type="pct"/>
                  <w:vAlign w:val="center"/>
                </w:tcPr>
                <w:p>
                  <w:pPr>
                    <w:adjustRightInd w:val="0"/>
                    <w:snapToGrid w:val="0"/>
                    <w:jc w:val="center"/>
                    <w:rPr>
                      <w:szCs w:val="21"/>
                    </w:rPr>
                  </w:pPr>
                  <w:r>
                    <w:rPr>
                      <w:szCs w:val="21"/>
                    </w:rPr>
                    <w:t>矿物油</w:t>
                  </w:r>
                </w:p>
              </w:tc>
              <w:tc>
                <w:tcPr>
                  <w:tcW w:w="592" w:type="pct"/>
                  <w:vAlign w:val="center"/>
                </w:tcPr>
                <w:p>
                  <w:pPr>
                    <w:adjustRightInd w:val="0"/>
                    <w:snapToGrid w:val="0"/>
                    <w:jc w:val="center"/>
                    <w:rPr>
                      <w:szCs w:val="21"/>
                    </w:rPr>
                  </w:pPr>
                  <w:r>
                    <w:rPr>
                      <w:szCs w:val="21"/>
                    </w:rPr>
                    <w:t>10</w:t>
                  </w:r>
                </w:p>
              </w:tc>
              <w:tc>
                <w:tcPr>
                  <w:tcW w:w="613" w:type="pct"/>
                  <w:vAlign w:val="center"/>
                </w:tcPr>
                <w:p>
                  <w:pPr>
                    <w:adjustRightInd w:val="0"/>
                    <w:snapToGrid w:val="0"/>
                    <w:jc w:val="center"/>
                    <w:rPr>
                      <w:szCs w:val="21"/>
                    </w:rPr>
                  </w:pPr>
                  <w:r>
                    <w:rPr>
                      <w:szCs w:val="21"/>
                    </w:rPr>
                    <w:t>√</w:t>
                  </w:r>
                </w:p>
              </w:tc>
              <w:tc>
                <w:tcPr>
                  <w:tcW w:w="478" w:type="pct"/>
                  <w:vAlign w:val="center"/>
                </w:tcPr>
                <w:p>
                  <w:pPr>
                    <w:adjustRightInd w:val="0"/>
                    <w:snapToGrid w:val="0"/>
                    <w:jc w:val="center"/>
                    <w:rPr>
                      <w:szCs w:val="21"/>
                    </w:rPr>
                  </w:pPr>
                  <w:r>
                    <w:rPr>
                      <w:szCs w:val="21"/>
                    </w:rPr>
                    <w:t>/</w:t>
                  </w:r>
                </w:p>
              </w:tc>
              <w:tc>
                <w:tcPr>
                  <w:tcW w:w="797" w:type="pct"/>
                  <w:vMerge w:val="restart"/>
                  <w:vAlign w:val="center"/>
                </w:tcPr>
                <w:p>
                  <w:pPr>
                    <w:wordWrap w:val="0"/>
                    <w:jc w:val="center"/>
                    <w:rPr>
                      <w:szCs w:val="21"/>
                    </w:rPr>
                  </w:pPr>
                  <w:r>
                    <w:rPr>
                      <w:szCs w:val="21"/>
                    </w:rPr>
                    <w:t>《固体废物鉴别标准通则》</w:t>
                  </w:r>
                  <w:r>
                    <w:rPr>
                      <w:bCs/>
                      <w:szCs w:val="21"/>
                    </w:rPr>
                    <w:t>（GB34330-2017）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48" w:type="pct"/>
                  <w:vAlign w:val="center"/>
                </w:tcPr>
                <w:p>
                  <w:pPr>
                    <w:adjustRightInd w:val="0"/>
                    <w:snapToGrid w:val="0"/>
                    <w:jc w:val="center"/>
                    <w:rPr>
                      <w:szCs w:val="21"/>
                    </w:rPr>
                  </w:pPr>
                  <w:r>
                    <w:rPr>
                      <w:szCs w:val="21"/>
                    </w:rPr>
                    <w:t>2</w:t>
                  </w:r>
                </w:p>
              </w:tc>
              <w:tc>
                <w:tcPr>
                  <w:tcW w:w="766" w:type="pct"/>
                  <w:vAlign w:val="center"/>
                </w:tcPr>
                <w:p>
                  <w:pPr>
                    <w:pStyle w:val="5"/>
                    <w:adjustRightInd w:val="0"/>
                    <w:snapToGrid w:val="0"/>
                    <w:ind w:firstLine="0"/>
                    <w:jc w:val="center"/>
                    <w:rPr>
                      <w:rFonts w:ascii="Times New Roman" w:hAnsi="Times New Roman"/>
                      <w:szCs w:val="21"/>
                    </w:rPr>
                  </w:pPr>
                  <w:r>
                    <w:rPr>
                      <w:rFonts w:ascii="Times New Roman" w:hAnsi="Times New Roman"/>
                      <w:szCs w:val="21"/>
                    </w:rPr>
                    <w:t>废包装桶</w:t>
                  </w:r>
                </w:p>
              </w:tc>
              <w:tc>
                <w:tcPr>
                  <w:tcW w:w="558" w:type="pct"/>
                  <w:vAlign w:val="center"/>
                </w:tcPr>
                <w:p>
                  <w:pPr>
                    <w:pStyle w:val="5"/>
                    <w:adjustRightInd w:val="0"/>
                    <w:snapToGrid w:val="0"/>
                    <w:ind w:firstLine="0"/>
                    <w:jc w:val="center"/>
                    <w:rPr>
                      <w:rFonts w:ascii="Times New Roman" w:hAnsi="Times New Roman"/>
                      <w:szCs w:val="21"/>
                    </w:rPr>
                  </w:pPr>
                  <w:r>
                    <w:rPr>
                      <w:rFonts w:ascii="Times New Roman" w:hAnsi="Times New Roman"/>
                      <w:szCs w:val="21"/>
                    </w:rPr>
                    <w:t>原辅料包装</w:t>
                  </w:r>
                </w:p>
              </w:tc>
              <w:tc>
                <w:tcPr>
                  <w:tcW w:w="397" w:type="pct"/>
                  <w:vAlign w:val="center"/>
                </w:tcPr>
                <w:p>
                  <w:pPr>
                    <w:pStyle w:val="5"/>
                    <w:adjustRightInd w:val="0"/>
                    <w:snapToGrid w:val="0"/>
                    <w:ind w:firstLine="0"/>
                    <w:jc w:val="center"/>
                    <w:rPr>
                      <w:rFonts w:ascii="Times New Roman" w:hAnsi="Times New Roman"/>
                      <w:szCs w:val="21"/>
                    </w:rPr>
                  </w:pPr>
                  <w:r>
                    <w:rPr>
                      <w:rFonts w:ascii="Times New Roman" w:hAnsi="Times New Roman"/>
                      <w:szCs w:val="21"/>
                    </w:rPr>
                    <w:t>固态</w:t>
                  </w:r>
                </w:p>
              </w:tc>
              <w:tc>
                <w:tcPr>
                  <w:tcW w:w="547" w:type="pct"/>
                  <w:vAlign w:val="center"/>
                </w:tcPr>
                <w:p>
                  <w:pPr>
                    <w:pStyle w:val="5"/>
                    <w:adjustRightInd w:val="0"/>
                    <w:snapToGrid w:val="0"/>
                    <w:ind w:firstLine="0"/>
                    <w:jc w:val="center"/>
                    <w:rPr>
                      <w:rFonts w:ascii="Times New Roman" w:hAnsi="Times New Roman"/>
                      <w:szCs w:val="21"/>
                    </w:rPr>
                  </w:pPr>
                  <w:r>
                    <w:rPr>
                      <w:rFonts w:ascii="Times New Roman" w:hAnsi="Times New Roman"/>
                      <w:szCs w:val="21"/>
                    </w:rPr>
                    <w:t>金属、矿物油</w:t>
                  </w:r>
                </w:p>
              </w:tc>
              <w:tc>
                <w:tcPr>
                  <w:tcW w:w="592" w:type="pct"/>
                  <w:vAlign w:val="center"/>
                </w:tcPr>
                <w:p>
                  <w:pPr>
                    <w:adjustRightInd w:val="0"/>
                    <w:snapToGrid w:val="0"/>
                    <w:jc w:val="center"/>
                    <w:rPr>
                      <w:szCs w:val="21"/>
                    </w:rPr>
                  </w:pPr>
                  <w:r>
                    <w:rPr>
                      <w:szCs w:val="21"/>
                    </w:rPr>
                    <w:t>3</w:t>
                  </w:r>
                </w:p>
              </w:tc>
              <w:tc>
                <w:tcPr>
                  <w:tcW w:w="613" w:type="pct"/>
                  <w:vAlign w:val="center"/>
                </w:tcPr>
                <w:p>
                  <w:pPr>
                    <w:adjustRightInd w:val="0"/>
                    <w:snapToGrid w:val="0"/>
                    <w:jc w:val="center"/>
                    <w:rPr>
                      <w:szCs w:val="21"/>
                    </w:rPr>
                  </w:pPr>
                  <w:r>
                    <w:rPr>
                      <w:szCs w:val="21"/>
                    </w:rPr>
                    <w:t>√</w:t>
                  </w:r>
                </w:p>
              </w:tc>
              <w:tc>
                <w:tcPr>
                  <w:tcW w:w="478" w:type="pct"/>
                  <w:tcBorders>
                    <w:bottom w:val="single" w:color="auto" w:sz="12" w:space="0"/>
                  </w:tcBorders>
                  <w:vAlign w:val="center"/>
                </w:tcPr>
                <w:p>
                  <w:pPr>
                    <w:adjustRightInd w:val="0"/>
                    <w:snapToGrid w:val="0"/>
                    <w:jc w:val="center"/>
                    <w:rPr>
                      <w:szCs w:val="21"/>
                    </w:rPr>
                  </w:pPr>
                  <w:r>
                    <w:rPr>
                      <w:szCs w:val="21"/>
                    </w:rPr>
                    <w:t>/</w:t>
                  </w:r>
                </w:p>
              </w:tc>
              <w:tc>
                <w:tcPr>
                  <w:tcW w:w="797" w:type="pct"/>
                  <w:vMerge w:val="continue"/>
                  <w:tcBorders>
                    <w:bottom w:val="single" w:color="auto" w:sz="12" w:space="0"/>
                  </w:tcBorders>
                  <w:vAlign w:val="center"/>
                </w:tcPr>
                <w:p>
                  <w:pPr>
                    <w:wordWrap w:val="0"/>
                    <w:rPr>
                      <w:szCs w:val="21"/>
                    </w:rPr>
                  </w:pPr>
                </w:p>
              </w:tc>
            </w:tr>
          </w:tbl>
          <w:p>
            <w:pPr>
              <w:spacing w:line="360" w:lineRule="auto"/>
              <w:ind w:firstLine="480" w:firstLineChars="200"/>
              <w:rPr>
                <w:bCs/>
                <w:sz w:val="24"/>
              </w:rPr>
            </w:pPr>
            <w:r>
              <w:rPr>
                <w:bCs/>
                <w:sz w:val="24"/>
              </w:rPr>
              <w:t>本项目固体废物分析结果汇总表见下表：</w:t>
            </w:r>
          </w:p>
          <w:p>
            <w:pPr>
              <w:pStyle w:val="52"/>
              <w:tabs>
                <w:tab w:val="left" w:pos="3240"/>
              </w:tabs>
              <w:adjustRightInd w:val="0"/>
              <w:snapToGrid w:val="0"/>
              <w:spacing w:line="240" w:lineRule="auto"/>
              <w:jc w:val="center"/>
              <w:rPr>
                <w:rFonts w:ascii="Times New Roman" w:hAnsi="Times New Roman"/>
                <w:b/>
                <w:sz w:val="24"/>
              </w:rPr>
            </w:pPr>
            <w:r>
              <w:rPr>
                <w:rFonts w:ascii="Times New Roman" w:hAnsi="Times New Roman"/>
                <w:b/>
                <w:sz w:val="24"/>
              </w:rPr>
              <w:t>表4-</w:t>
            </w:r>
            <w:r>
              <w:rPr>
                <w:rFonts w:hint="eastAsia" w:ascii="Times New Roman" w:hAnsi="Times New Roman"/>
                <w:b/>
                <w:sz w:val="24"/>
              </w:rPr>
              <w:t>1</w:t>
            </w:r>
            <w:r>
              <w:rPr>
                <w:rFonts w:hint="eastAsia" w:ascii="Times New Roman" w:hAnsi="Times New Roman"/>
                <w:b/>
                <w:sz w:val="24"/>
                <w:lang w:val="en-US" w:eastAsia="zh-CN"/>
              </w:rPr>
              <w:t>0</w:t>
            </w:r>
            <w:r>
              <w:rPr>
                <w:rFonts w:ascii="Times New Roman" w:hAnsi="Times New Roman"/>
                <w:b/>
                <w:sz w:val="24"/>
              </w:rPr>
              <w:t xml:space="preserve">  本项目固废产生及排放情况</w:t>
            </w:r>
          </w:p>
          <w:tbl>
            <w:tblPr>
              <w:tblStyle w:val="21"/>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374"/>
              <w:gridCol w:w="1214"/>
              <w:gridCol w:w="655"/>
              <w:gridCol w:w="937"/>
              <w:gridCol w:w="601"/>
              <w:gridCol w:w="1284"/>
              <w:gridCol w:w="546"/>
              <w:gridCol w:w="790"/>
              <w:gridCol w:w="1166"/>
              <w:gridCol w:w="83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222" w:type="pct"/>
                  <w:vAlign w:val="center"/>
                </w:tcPr>
                <w:p>
                  <w:pPr>
                    <w:adjustRightInd w:val="0"/>
                    <w:snapToGrid w:val="0"/>
                    <w:jc w:val="center"/>
                    <w:rPr>
                      <w:b/>
                      <w:bCs/>
                      <w:szCs w:val="21"/>
                    </w:rPr>
                  </w:pPr>
                  <w:r>
                    <w:rPr>
                      <w:b/>
                      <w:bCs/>
                      <w:szCs w:val="21"/>
                    </w:rPr>
                    <w:t>序号</w:t>
                  </w:r>
                </w:p>
              </w:tc>
              <w:tc>
                <w:tcPr>
                  <w:tcW w:w="722" w:type="pct"/>
                  <w:vAlign w:val="center"/>
                </w:tcPr>
                <w:p>
                  <w:pPr>
                    <w:adjustRightInd w:val="0"/>
                    <w:snapToGrid w:val="0"/>
                    <w:jc w:val="center"/>
                    <w:rPr>
                      <w:b/>
                      <w:bCs/>
                      <w:szCs w:val="21"/>
                    </w:rPr>
                  </w:pPr>
                  <w:r>
                    <w:rPr>
                      <w:b/>
                      <w:bCs/>
                      <w:szCs w:val="21"/>
                    </w:rPr>
                    <w:t>固废名称</w:t>
                  </w:r>
                </w:p>
              </w:tc>
              <w:tc>
                <w:tcPr>
                  <w:tcW w:w="389" w:type="pct"/>
                  <w:vAlign w:val="center"/>
                </w:tcPr>
                <w:p>
                  <w:pPr>
                    <w:adjustRightInd w:val="0"/>
                    <w:snapToGrid w:val="0"/>
                    <w:jc w:val="center"/>
                    <w:rPr>
                      <w:b/>
                      <w:bCs/>
                      <w:szCs w:val="21"/>
                    </w:rPr>
                  </w:pPr>
                  <w:r>
                    <w:rPr>
                      <w:b/>
                      <w:bCs/>
                      <w:szCs w:val="21"/>
                    </w:rPr>
                    <w:t>属性</w:t>
                  </w:r>
                </w:p>
              </w:tc>
              <w:tc>
                <w:tcPr>
                  <w:tcW w:w="557" w:type="pct"/>
                  <w:vAlign w:val="center"/>
                </w:tcPr>
                <w:p>
                  <w:pPr>
                    <w:adjustRightInd w:val="0"/>
                    <w:snapToGrid w:val="0"/>
                    <w:jc w:val="center"/>
                    <w:rPr>
                      <w:b/>
                      <w:bCs/>
                      <w:szCs w:val="21"/>
                    </w:rPr>
                  </w:pPr>
                  <w:r>
                    <w:rPr>
                      <w:b/>
                      <w:bCs/>
                      <w:szCs w:val="21"/>
                    </w:rPr>
                    <w:t>产生来源</w:t>
                  </w:r>
                </w:p>
              </w:tc>
              <w:tc>
                <w:tcPr>
                  <w:tcW w:w="358" w:type="pct"/>
                  <w:vAlign w:val="center"/>
                </w:tcPr>
                <w:p>
                  <w:pPr>
                    <w:adjustRightInd w:val="0"/>
                    <w:snapToGrid w:val="0"/>
                    <w:jc w:val="center"/>
                    <w:rPr>
                      <w:b/>
                      <w:bCs/>
                      <w:szCs w:val="21"/>
                    </w:rPr>
                  </w:pPr>
                  <w:r>
                    <w:rPr>
                      <w:b/>
                      <w:bCs/>
                      <w:szCs w:val="21"/>
                    </w:rPr>
                    <w:t>形态</w:t>
                  </w:r>
                </w:p>
              </w:tc>
              <w:tc>
                <w:tcPr>
                  <w:tcW w:w="764" w:type="pct"/>
                  <w:vAlign w:val="center"/>
                </w:tcPr>
                <w:p>
                  <w:pPr>
                    <w:adjustRightInd w:val="0"/>
                    <w:snapToGrid w:val="0"/>
                    <w:jc w:val="center"/>
                    <w:rPr>
                      <w:b/>
                      <w:bCs/>
                      <w:szCs w:val="21"/>
                    </w:rPr>
                  </w:pPr>
                  <w:r>
                    <w:rPr>
                      <w:b/>
                      <w:bCs/>
                      <w:szCs w:val="21"/>
                    </w:rPr>
                    <w:t>主要成分</w:t>
                  </w:r>
                </w:p>
              </w:tc>
              <w:tc>
                <w:tcPr>
                  <w:tcW w:w="325" w:type="pct"/>
                  <w:vAlign w:val="center"/>
                </w:tcPr>
                <w:p>
                  <w:pPr>
                    <w:adjustRightInd w:val="0"/>
                    <w:snapToGrid w:val="0"/>
                    <w:jc w:val="center"/>
                    <w:rPr>
                      <w:b/>
                      <w:bCs/>
                      <w:szCs w:val="21"/>
                    </w:rPr>
                  </w:pPr>
                  <w:r>
                    <w:rPr>
                      <w:b/>
                      <w:bCs/>
                      <w:szCs w:val="21"/>
                    </w:rPr>
                    <w:t>危废毒性</w:t>
                  </w:r>
                </w:p>
              </w:tc>
              <w:tc>
                <w:tcPr>
                  <w:tcW w:w="470" w:type="pct"/>
                  <w:vAlign w:val="center"/>
                </w:tcPr>
                <w:p>
                  <w:pPr>
                    <w:adjustRightInd w:val="0"/>
                    <w:snapToGrid w:val="0"/>
                    <w:jc w:val="center"/>
                    <w:rPr>
                      <w:b/>
                      <w:bCs/>
                      <w:szCs w:val="21"/>
                    </w:rPr>
                  </w:pPr>
                  <w:r>
                    <w:rPr>
                      <w:b/>
                      <w:bCs/>
                      <w:szCs w:val="21"/>
                    </w:rPr>
                    <w:t>废物类别</w:t>
                  </w:r>
                </w:p>
              </w:tc>
              <w:tc>
                <w:tcPr>
                  <w:tcW w:w="694" w:type="pct"/>
                  <w:vAlign w:val="center"/>
                </w:tcPr>
                <w:p>
                  <w:pPr>
                    <w:adjustRightInd w:val="0"/>
                    <w:snapToGrid w:val="0"/>
                    <w:jc w:val="center"/>
                    <w:rPr>
                      <w:b/>
                      <w:bCs/>
                      <w:szCs w:val="21"/>
                    </w:rPr>
                  </w:pPr>
                  <w:r>
                    <w:rPr>
                      <w:b/>
                      <w:bCs/>
                      <w:szCs w:val="21"/>
                    </w:rPr>
                    <w:t>废物代码</w:t>
                  </w:r>
                </w:p>
              </w:tc>
              <w:tc>
                <w:tcPr>
                  <w:tcW w:w="496" w:type="pct"/>
                  <w:vAlign w:val="center"/>
                </w:tcPr>
                <w:p>
                  <w:pPr>
                    <w:adjustRightInd w:val="0"/>
                    <w:snapToGrid w:val="0"/>
                    <w:jc w:val="center"/>
                    <w:rPr>
                      <w:b/>
                      <w:bCs/>
                      <w:szCs w:val="21"/>
                    </w:rPr>
                  </w:pPr>
                  <w:r>
                    <w:rPr>
                      <w:b/>
                      <w:bCs/>
                      <w:szCs w:val="21"/>
                    </w:rPr>
                    <w:t>估算产生量（t/a）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222" w:type="pct"/>
                  <w:vAlign w:val="center"/>
                </w:tcPr>
                <w:p>
                  <w:pPr>
                    <w:adjustRightInd w:val="0"/>
                    <w:snapToGrid w:val="0"/>
                    <w:jc w:val="center"/>
                    <w:rPr>
                      <w:szCs w:val="21"/>
                    </w:rPr>
                  </w:pPr>
                  <w:r>
                    <w:rPr>
                      <w:szCs w:val="21"/>
                    </w:rPr>
                    <w:t>1</w:t>
                  </w:r>
                </w:p>
              </w:tc>
              <w:tc>
                <w:tcPr>
                  <w:tcW w:w="722" w:type="pct"/>
                  <w:vAlign w:val="center"/>
                </w:tcPr>
                <w:p>
                  <w:pPr>
                    <w:pStyle w:val="5"/>
                    <w:adjustRightInd w:val="0"/>
                    <w:snapToGrid w:val="0"/>
                    <w:ind w:firstLine="0"/>
                    <w:jc w:val="center"/>
                    <w:rPr>
                      <w:rFonts w:ascii="Times New Roman" w:hAnsi="Times New Roman"/>
                      <w:szCs w:val="21"/>
                    </w:rPr>
                  </w:pPr>
                  <w:r>
                    <w:rPr>
                      <w:rFonts w:ascii="Times New Roman" w:hAnsi="Times New Roman"/>
                      <w:szCs w:val="21"/>
                    </w:rPr>
                    <w:t>废导热油</w:t>
                  </w:r>
                </w:p>
              </w:tc>
              <w:tc>
                <w:tcPr>
                  <w:tcW w:w="389" w:type="pct"/>
                  <w:vMerge w:val="restart"/>
                  <w:vAlign w:val="center"/>
                </w:tcPr>
                <w:p>
                  <w:pPr>
                    <w:adjustRightInd w:val="0"/>
                    <w:snapToGrid w:val="0"/>
                    <w:jc w:val="center"/>
                    <w:rPr>
                      <w:szCs w:val="21"/>
                    </w:rPr>
                  </w:pPr>
                  <w:r>
                    <w:rPr>
                      <w:szCs w:val="21"/>
                    </w:rPr>
                    <w:t>危险危废</w:t>
                  </w:r>
                </w:p>
              </w:tc>
              <w:tc>
                <w:tcPr>
                  <w:tcW w:w="557" w:type="pct"/>
                  <w:vAlign w:val="center"/>
                </w:tcPr>
                <w:p>
                  <w:pPr>
                    <w:pStyle w:val="5"/>
                    <w:adjustRightInd w:val="0"/>
                    <w:snapToGrid w:val="0"/>
                    <w:ind w:firstLine="0"/>
                    <w:jc w:val="center"/>
                    <w:rPr>
                      <w:rFonts w:ascii="Times New Roman" w:hAnsi="Times New Roman"/>
                      <w:szCs w:val="21"/>
                    </w:rPr>
                  </w:pPr>
                  <w:r>
                    <w:rPr>
                      <w:rFonts w:ascii="Times New Roman" w:hAnsi="Times New Roman"/>
                      <w:szCs w:val="21"/>
                    </w:rPr>
                    <w:t>过滤</w:t>
                  </w:r>
                </w:p>
              </w:tc>
              <w:tc>
                <w:tcPr>
                  <w:tcW w:w="358" w:type="pct"/>
                  <w:vAlign w:val="center"/>
                </w:tcPr>
                <w:p>
                  <w:pPr>
                    <w:pStyle w:val="5"/>
                    <w:adjustRightInd w:val="0"/>
                    <w:snapToGrid w:val="0"/>
                    <w:ind w:firstLine="0"/>
                    <w:jc w:val="center"/>
                    <w:rPr>
                      <w:rFonts w:ascii="Times New Roman" w:hAnsi="Times New Roman"/>
                      <w:szCs w:val="21"/>
                    </w:rPr>
                  </w:pPr>
                  <w:r>
                    <w:rPr>
                      <w:rFonts w:ascii="Times New Roman" w:hAnsi="Times New Roman"/>
                      <w:szCs w:val="21"/>
                    </w:rPr>
                    <w:t>液态</w:t>
                  </w:r>
                </w:p>
              </w:tc>
              <w:tc>
                <w:tcPr>
                  <w:tcW w:w="764" w:type="pct"/>
                  <w:vAlign w:val="center"/>
                </w:tcPr>
                <w:p>
                  <w:pPr>
                    <w:adjustRightInd w:val="0"/>
                    <w:snapToGrid w:val="0"/>
                    <w:jc w:val="center"/>
                    <w:rPr>
                      <w:szCs w:val="21"/>
                    </w:rPr>
                  </w:pPr>
                  <w:r>
                    <w:rPr>
                      <w:szCs w:val="21"/>
                    </w:rPr>
                    <w:t>矿物油</w:t>
                  </w:r>
                </w:p>
              </w:tc>
              <w:tc>
                <w:tcPr>
                  <w:tcW w:w="325" w:type="pct"/>
                  <w:vAlign w:val="center"/>
                </w:tcPr>
                <w:p>
                  <w:pPr>
                    <w:adjustRightInd w:val="0"/>
                    <w:snapToGrid w:val="0"/>
                    <w:jc w:val="center"/>
                    <w:rPr>
                      <w:bCs/>
                      <w:szCs w:val="21"/>
                    </w:rPr>
                  </w:pPr>
                  <w:r>
                    <w:rPr>
                      <w:bCs/>
                      <w:szCs w:val="21"/>
                    </w:rPr>
                    <w:t>T，I</w:t>
                  </w:r>
                </w:p>
              </w:tc>
              <w:tc>
                <w:tcPr>
                  <w:tcW w:w="470" w:type="pct"/>
                  <w:vAlign w:val="center"/>
                </w:tcPr>
                <w:p>
                  <w:pPr>
                    <w:adjustRightInd w:val="0"/>
                    <w:snapToGrid w:val="0"/>
                    <w:jc w:val="center"/>
                    <w:rPr>
                      <w:bCs/>
                      <w:szCs w:val="21"/>
                    </w:rPr>
                  </w:pPr>
                  <w:r>
                    <w:rPr>
                      <w:bCs/>
                      <w:szCs w:val="21"/>
                    </w:rPr>
                    <w:t>HW08</w:t>
                  </w:r>
                </w:p>
              </w:tc>
              <w:tc>
                <w:tcPr>
                  <w:tcW w:w="694" w:type="pct"/>
                  <w:vAlign w:val="center"/>
                </w:tcPr>
                <w:p>
                  <w:pPr>
                    <w:adjustRightInd w:val="0"/>
                    <w:snapToGrid w:val="0"/>
                    <w:jc w:val="center"/>
                    <w:rPr>
                      <w:bCs/>
                      <w:szCs w:val="21"/>
                    </w:rPr>
                  </w:pPr>
                  <w:r>
                    <w:rPr>
                      <w:bCs/>
                      <w:szCs w:val="21"/>
                    </w:rPr>
                    <w:t>900-249-08</w:t>
                  </w:r>
                </w:p>
              </w:tc>
              <w:tc>
                <w:tcPr>
                  <w:tcW w:w="496" w:type="pct"/>
                  <w:vAlign w:val="center"/>
                </w:tcPr>
                <w:p>
                  <w:pPr>
                    <w:adjustRightInd w:val="0"/>
                    <w:snapToGrid w:val="0"/>
                    <w:jc w:val="center"/>
                    <w:rPr>
                      <w:szCs w:val="21"/>
                    </w:rPr>
                  </w:pPr>
                  <w:r>
                    <w:rPr>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222" w:type="pct"/>
                  <w:vAlign w:val="center"/>
                </w:tcPr>
                <w:p>
                  <w:pPr>
                    <w:adjustRightInd w:val="0"/>
                    <w:snapToGrid w:val="0"/>
                    <w:jc w:val="center"/>
                    <w:rPr>
                      <w:szCs w:val="21"/>
                    </w:rPr>
                  </w:pPr>
                  <w:r>
                    <w:rPr>
                      <w:szCs w:val="21"/>
                    </w:rPr>
                    <w:t>2</w:t>
                  </w:r>
                </w:p>
              </w:tc>
              <w:tc>
                <w:tcPr>
                  <w:tcW w:w="722" w:type="pct"/>
                  <w:vAlign w:val="center"/>
                </w:tcPr>
                <w:p>
                  <w:pPr>
                    <w:pStyle w:val="5"/>
                    <w:adjustRightInd w:val="0"/>
                    <w:snapToGrid w:val="0"/>
                    <w:ind w:firstLine="0"/>
                    <w:jc w:val="center"/>
                    <w:rPr>
                      <w:rFonts w:ascii="Times New Roman" w:hAnsi="Times New Roman"/>
                      <w:szCs w:val="21"/>
                    </w:rPr>
                  </w:pPr>
                  <w:r>
                    <w:rPr>
                      <w:rFonts w:ascii="Times New Roman" w:hAnsi="Times New Roman"/>
                      <w:szCs w:val="21"/>
                    </w:rPr>
                    <w:t>废包装袋</w:t>
                  </w:r>
                </w:p>
              </w:tc>
              <w:tc>
                <w:tcPr>
                  <w:tcW w:w="389" w:type="pct"/>
                  <w:vMerge w:val="continue"/>
                  <w:vAlign w:val="center"/>
                </w:tcPr>
                <w:p>
                  <w:pPr>
                    <w:adjustRightInd w:val="0"/>
                    <w:snapToGrid w:val="0"/>
                    <w:jc w:val="center"/>
                    <w:rPr>
                      <w:szCs w:val="21"/>
                    </w:rPr>
                  </w:pPr>
                </w:p>
              </w:tc>
              <w:tc>
                <w:tcPr>
                  <w:tcW w:w="557" w:type="pct"/>
                  <w:vAlign w:val="center"/>
                </w:tcPr>
                <w:p>
                  <w:pPr>
                    <w:pStyle w:val="5"/>
                    <w:adjustRightInd w:val="0"/>
                    <w:snapToGrid w:val="0"/>
                    <w:ind w:firstLine="0"/>
                    <w:jc w:val="center"/>
                    <w:rPr>
                      <w:rFonts w:ascii="Times New Roman" w:hAnsi="Times New Roman"/>
                      <w:szCs w:val="21"/>
                    </w:rPr>
                  </w:pPr>
                  <w:r>
                    <w:rPr>
                      <w:rFonts w:ascii="Times New Roman" w:hAnsi="Times New Roman"/>
                      <w:szCs w:val="21"/>
                    </w:rPr>
                    <w:t>过滤</w:t>
                  </w:r>
                </w:p>
              </w:tc>
              <w:tc>
                <w:tcPr>
                  <w:tcW w:w="358" w:type="pct"/>
                  <w:vAlign w:val="center"/>
                </w:tcPr>
                <w:p>
                  <w:pPr>
                    <w:pStyle w:val="5"/>
                    <w:adjustRightInd w:val="0"/>
                    <w:snapToGrid w:val="0"/>
                    <w:ind w:firstLine="0"/>
                    <w:jc w:val="center"/>
                    <w:rPr>
                      <w:rFonts w:ascii="Times New Roman" w:hAnsi="Times New Roman"/>
                      <w:szCs w:val="21"/>
                    </w:rPr>
                  </w:pPr>
                  <w:r>
                    <w:rPr>
                      <w:rFonts w:ascii="Times New Roman" w:hAnsi="Times New Roman"/>
                      <w:szCs w:val="21"/>
                    </w:rPr>
                    <w:t>固态</w:t>
                  </w:r>
                </w:p>
              </w:tc>
              <w:tc>
                <w:tcPr>
                  <w:tcW w:w="764" w:type="pct"/>
                  <w:vAlign w:val="center"/>
                </w:tcPr>
                <w:p>
                  <w:pPr>
                    <w:adjustRightInd w:val="0"/>
                    <w:snapToGrid w:val="0"/>
                    <w:jc w:val="center"/>
                    <w:rPr>
                      <w:szCs w:val="21"/>
                    </w:rPr>
                  </w:pPr>
                  <w:r>
                    <w:rPr>
                      <w:szCs w:val="21"/>
                    </w:rPr>
                    <w:t>金属、矿物油</w:t>
                  </w:r>
                </w:p>
              </w:tc>
              <w:tc>
                <w:tcPr>
                  <w:tcW w:w="325" w:type="pct"/>
                  <w:vAlign w:val="center"/>
                </w:tcPr>
                <w:p>
                  <w:pPr>
                    <w:adjustRightInd w:val="0"/>
                    <w:snapToGrid w:val="0"/>
                    <w:jc w:val="center"/>
                    <w:rPr>
                      <w:bCs/>
                      <w:szCs w:val="21"/>
                    </w:rPr>
                  </w:pPr>
                  <w:r>
                    <w:rPr>
                      <w:bCs/>
                      <w:szCs w:val="21"/>
                    </w:rPr>
                    <w:t>T，I</w:t>
                  </w:r>
                </w:p>
              </w:tc>
              <w:tc>
                <w:tcPr>
                  <w:tcW w:w="470" w:type="pct"/>
                  <w:vAlign w:val="center"/>
                </w:tcPr>
                <w:p>
                  <w:pPr>
                    <w:adjustRightInd w:val="0"/>
                    <w:snapToGrid w:val="0"/>
                    <w:jc w:val="center"/>
                    <w:rPr>
                      <w:bCs/>
                      <w:szCs w:val="21"/>
                    </w:rPr>
                  </w:pPr>
                  <w:r>
                    <w:rPr>
                      <w:bCs/>
                      <w:szCs w:val="21"/>
                    </w:rPr>
                    <w:t>HW08</w:t>
                  </w:r>
                </w:p>
              </w:tc>
              <w:tc>
                <w:tcPr>
                  <w:tcW w:w="694" w:type="pct"/>
                  <w:vAlign w:val="center"/>
                </w:tcPr>
                <w:p>
                  <w:pPr>
                    <w:adjustRightInd w:val="0"/>
                    <w:snapToGrid w:val="0"/>
                    <w:jc w:val="center"/>
                    <w:rPr>
                      <w:bCs/>
                      <w:szCs w:val="21"/>
                    </w:rPr>
                  </w:pPr>
                  <w:r>
                    <w:rPr>
                      <w:bCs/>
                      <w:szCs w:val="21"/>
                    </w:rPr>
                    <w:t>900-249-08</w:t>
                  </w:r>
                </w:p>
              </w:tc>
              <w:tc>
                <w:tcPr>
                  <w:tcW w:w="496" w:type="pct"/>
                  <w:vAlign w:val="center"/>
                </w:tcPr>
                <w:p>
                  <w:pPr>
                    <w:adjustRightInd w:val="0"/>
                    <w:snapToGrid w:val="0"/>
                    <w:jc w:val="center"/>
                    <w:rPr>
                      <w:szCs w:val="21"/>
                    </w:rPr>
                  </w:pPr>
                  <w:r>
                    <w:rPr>
                      <w:szCs w:val="21"/>
                    </w:rPr>
                    <w:t>3</w:t>
                  </w:r>
                </w:p>
              </w:tc>
            </w:tr>
          </w:tbl>
          <w:p>
            <w:pPr>
              <w:adjustRightInd w:val="0"/>
              <w:snapToGrid w:val="0"/>
              <w:spacing w:line="360" w:lineRule="auto"/>
              <w:ind w:left="482"/>
              <w:rPr>
                <w:sz w:val="24"/>
              </w:rPr>
            </w:pPr>
            <w:r>
              <w:rPr>
                <w:sz w:val="24"/>
              </w:rPr>
              <w:t>（2）防治措施</w:t>
            </w:r>
          </w:p>
          <w:p>
            <w:pPr>
              <w:pStyle w:val="5"/>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危险固废：废导热油、废包装桶收集后委托有资质单位处理。</w:t>
            </w:r>
          </w:p>
          <w:p>
            <w:pPr>
              <w:pStyle w:val="5"/>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本项目在依托厂区内原有的危废仓库，位于厂区内部，大小为30m</w:t>
            </w:r>
            <w:r>
              <w:rPr>
                <w:rFonts w:ascii="Times New Roman" w:hAnsi="Times New Roman"/>
                <w:sz w:val="24"/>
                <w:szCs w:val="24"/>
                <w:vertAlign w:val="superscript"/>
              </w:rPr>
              <w:t>2</w:t>
            </w:r>
            <w:r>
              <w:rPr>
                <w:rFonts w:ascii="Times New Roman" w:hAnsi="Times New Roman"/>
                <w:sz w:val="24"/>
                <w:szCs w:val="24"/>
              </w:rPr>
              <w:t>，危废堆场做到防渗漏措施，并设置标示牌。</w:t>
            </w:r>
          </w:p>
          <w:p>
            <w:pPr>
              <w:adjustRightInd w:val="0"/>
              <w:snapToGrid w:val="0"/>
              <w:spacing w:line="360" w:lineRule="auto"/>
              <w:ind w:firstLine="480" w:firstLineChars="200"/>
              <w:rPr>
                <w:sz w:val="24"/>
              </w:rPr>
            </w:pPr>
            <w:r>
              <w:rPr>
                <w:sz w:val="24"/>
              </w:rPr>
              <w:t>具体采取的措施如下：</w:t>
            </w:r>
          </w:p>
          <w:p>
            <w:pPr>
              <w:adjustRightInd w:val="0"/>
              <w:snapToGrid w:val="0"/>
              <w:spacing w:line="360" w:lineRule="auto"/>
              <w:ind w:firstLine="480" w:firstLineChars="200"/>
              <w:rPr>
                <w:sz w:val="24"/>
              </w:rPr>
            </w:pPr>
            <w:r>
              <w:rPr>
                <w:sz w:val="24"/>
              </w:rPr>
              <w:t>（一）废物贮存设施必须按《环境保护图形标志（GB15562-1995）》的规定设置警示标志；</w:t>
            </w:r>
          </w:p>
          <w:p>
            <w:pPr>
              <w:adjustRightInd w:val="0"/>
              <w:snapToGrid w:val="0"/>
              <w:spacing w:line="360" w:lineRule="auto"/>
              <w:ind w:firstLine="480" w:firstLineChars="200"/>
              <w:rPr>
                <w:sz w:val="24"/>
              </w:rPr>
            </w:pPr>
            <w:r>
              <w:rPr>
                <w:sz w:val="24"/>
              </w:rPr>
              <w:t>（二）废物贮存设施周围应设置围墙或其它防护栅栏；</w:t>
            </w:r>
          </w:p>
          <w:p>
            <w:pPr>
              <w:adjustRightInd w:val="0"/>
              <w:snapToGrid w:val="0"/>
              <w:spacing w:line="360" w:lineRule="auto"/>
              <w:ind w:firstLine="480" w:firstLineChars="200"/>
              <w:rPr>
                <w:sz w:val="24"/>
              </w:rPr>
            </w:pPr>
            <w:r>
              <w:rPr>
                <w:sz w:val="24"/>
              </w:rPr>
              <w:t>（三）废物贮存设施应配备通讯设备、照明设施、安全防护服装及工具，并设有应急防护设施；</w:t>
            </w:r>
          </w:p>
          <w:p>
            <w:pPr>
              <w:adjustRightInd w:val="0"/>
              <w:snapToGrid w:val="0"/>
              <w:spacing w:line="360" w:lineRule="auto"/>
              <w:ind w:firstLine="480" w:firstLineChars="200"/>
              <w:rPr>
                <w:sz w:val="24"/>
              </w:rPr>
            </w:pPr>
            <w:r>
              <w:rPr>
                <w:sz w:val="24"/>
              </w:rPr>
              <w:t>（四）废物贮存设施内清理出来的泄漏物，一律按危险废物处理；</w:t>
            </w:r>
          </w:p>
          <w:p>
            <w:pPr>
              <w:adjustRightInd w:val="0"/>
              <w:snapToGrid w:val="0"/>
              <w:spacing w:line="360" w:lineRule="auto"/>
              <w:ind w:firstLine="480" w:firstLineChars="200"/>
              <w:rPr>
                <w:sz w:val="24"/>
              </w:rPr>
            </w:pPr>
            <w:r>
              <w:rPr>
                <w:sz w:val="24"/>
              </w:rPr>
              <w:t>（五）危废暂存场地面与裙脚要用坚固、防渗的材料建造，建筑材料必须与危险废物相容；</w:t>
            </w:r>
          </w:p>
          <w:p>
            <w:pPr>
              <w:adjustRightInd w:val="0"/>
              <w:snapToGrid w:val="0"/>
              <w:spacing w:line="360" w:lineRule="auto"/>
              <w:ind w:firstLine="480" w:firstLineChars="200"/>
              <w:rPr>
                <w:sz w:val="24"/>
              </w:rPr>
            </w:pPr>
            <w:r>
              <w:rPr>
                <w:sz w:val="24"/>
              </w:rPr>
              <w:t>（六）基础防渗层为粘土层的，其厚度应在1米以上，渗透系数应小于1.0×10</w:t>
            </w:r>
            <w:r>
              <w:rPr>
                <w:sz w:val="24"/>
                <w:vertAlign w:val="superscript"/>
              </w:rPr>
              <w:t>-7</w:t>
            </w:r>
            <w:r>
              <w:rPr>
                <w:sz w:val="24"/>
              </w:rPr>
              <w:t>厘米/秒；基础防渗层也可用厚度在2毫米以上的高密度聚乙烯或其他人工防渗材料组成，渗透系数应小于1.0×10</w:t>
            </w:r>
            <w:r>
              <w:rPr>
                <w:sz w:val="24"/>
                <w:vertAlign w:val="superscript"/>
              </w:rPr>
              <w:t>-10</w:t>
            </w:r>
            <w:r>
              <w:rPr>
                <w:sz w:val="24"/>
              </w:rPr>
              <w:t>厘米/秒。</w:t>
            </w:r>
          </w:p>
          <w:p>
            <w:pPr>
              <w:spacing w:line="360" w:lineRule="auto"/>
              <w:ind w:firstLine="480" w:firstLineChars="200"/>
              <w:rPr>
                <w:sz w:val="24"/>
              </w:rPr>
            </w:pPr>
            <w:r>
              <w:rPr>
                <w:sz w:val="24"/>
              </w:rPr>
              <w:t>（3）环境管理要求</w:t>
            </w:r>
          </w:p>
          <w:p>
            <w:pPr>
              <w:spacing w:line="360" w:lineRule="auto"/>
              <w:ind w:firstLine="480" w:firstLineChars="200"/>
              <w:rPr>
                <w:sz w:val="24"/>
              </w:rPr>
            </w:pPr>
            <w:r>
              <w:rPr>
                <w:sz w:val="24"/>
              </w:rPr>
              <w:t>根据《省生态环境厅关于进一步加强危险废物污染防治工作的实施意见》（苏环办[2019]327号）中要求，危废贮存场所管理要求见下表。</w:t>
            </w:r>
          </w:p>
          <w:p>
            <w:pPr>
              <w:pStyle w:val="8"/>
              <w:spacing w:after="0"/>
              <w:ind w:left="0" w:leftChars="0" w:right="0" w:rightChars="0"/>
              <w:jc w:val="center"/>
              <w:rPr>
                <w:rFonts w:ascii="Times New Roman" w:hAnsi="Times New Roman"/>
                <w:b/>
                <w:sz w:val="24"/>
                <w:szCs w:val="24"/>
              </w:rPr>
            </w:pPr>
            <w:r>
              <w:rPr>
                <w:rFonts w:ascii="Times New Roman" w:hAnsi="Times New Roman"/>
                <w:b/>
                <w:sz w:val="24"/>
                <w:szCs w:val="24"/>
              </w:rPr>
              <w:t>表4-1</w:t>
            </w:r>
            <w:r>
              <w:rPr>
                <w:rFonts w:hint="eastAsia" w:ascii="Times New Roman" w:hAnsi="Times New Roman"/>
                <w:b/>
                <w:sz w:val="24"/>
                <w:szCs w:val="24"/>
                <w:lang w:val="en-US" w:eastAsia="zh-CN"/>
              </w:rPr>
              <w:t>1</w:t>
            </w:r>
            <w:r>
              <w:rPr>
                <w:rFonts w:ascii="Times New Roman" w:hAnsi="Times New Roman"/>
                <w:b/>
                <w:sz w:val="24"/>
                <w:szCs w:val="24"/>
              </w:rPr>
              <w:t xml:space="preserve">  危险废物贮存场所管理要求一览表</w:t>
            </w:r>
          </w:p>
          <w:tbl>
            <w:tblPr>
              <w:tblStyle w:val="2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71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8" w:type="pct"/>
                  <w:vAlign w:val="center"/>
                </w:tcPr>
                <w:p>
                  <w:pPr>
                    <w:jc w:val="center"/>
                    <w:rPr>
                      <w:b/>
                    </w:rPr>
                  </w:pPr>
                  <w:r>
                    <w:rPr>
                      <w:b/>
                    </w:rPr>
                    <w:t>管理类别</w:t>
                  </w:r>
                </w:p>
              </w:tc>
              <w:tc>
                <w:tcPr>
                  <w:tcW w:w="4262" w:type="pct"/>
                  <w:vAlign w:val="center"/>
                </w:tcPr>
                <w:p>
                  <w:pPr>
                    <w:jc w:val="center"/>
                    <w:rPr>
                      <w:b/>
                    </w:rPr>
                  </w:pPr>
                  <w:r>
                    <w:rPr>
                      <w:b/>
                    </w:rPr>
                    <w:t>管理要求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8" w:type="pct"/>
                  <w:vAlign w:val="center"/>
                </w:tcPr>
                <w:p>
                  <w:pPr>
                    <w:jc w:val="center"/>
                  </w:pPr>
                  <w:r>
                    <w:t>强危险废物申报登记</w:t>
                  </w:r>
                </w:p>
              </w:tc>
              <w:tc>
                <w:tcPr>
                  <w:tcW w:w="4262" w:type="pct"/>
                  <w:vAlign w:val="center"/>
                </w:tcPr>
                <w:p>
                  <w:pPr>
                    <w:jc w:val="center"/>
                  </w:pPr>
                  <w:r>
                    <w:t>危险废物产生单位应按规定申报危险废物产生、贮存、转移、利用处置等信息，制定危险废物年度管理计划，并在“江苏省危险废物动态管理信息系统”中备案。管理计划如需调整变更的，应重新在系统中申请备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8" w:type="pct"/>
                  <w:vAlign w:val="center"/>
                </w:tcPr>
                <w:p>
                  <w:pPr>
                    <w:jc w:val="center"/>
                  </w:pPr>
                  <w:r>
                    <w:t>落实信息公开制度</w:t>
                  </w:r>
                </w:p>
              </w:tc>
              <w:tc>
                <w:tcPr>
                  <w:tcW w:w="4262" w:type="pct"/>
                  <w:vAlign w:val="center"/>
                </w:tcPr>
                <w:p>
                  <w:pPr>
                    <w:jc w:val="center"/>
                  </w:pPr>
                  <w:r>
                    <w:t>加大企业危险废物信息公开力度，纳入重点排污单位的涉危企业应每年定期向社会发布企业年度环境报告。各地生态环境部门应督促危险废物产生单位和经营单位按照附件1要求在厂区门口显著位置设置危险废物信息公开栏，主动公开危险废物产生、利用处置等情况；企业有官方网站的，在官网上同时公开相关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8" w:type="pct"/>
                  <w:vMerge w:val="restart"/>
                  <w:vAlign w:val="center"/>
                </w:tcPr>
                <w:p>
                  <w:pPr>
                    <w:jc w:val="center"/>
                  </w:pPr>
                  <w:r>
                    <w:t>规范危险废物贮存设施</w:t>
                  </w:r>
                </w:p>
              </w:tc>
              <w:tc>
                <w:tcPr>
                  <w:tcW w:w="4262" w:type="pct"/>
                  <w:vAlign w:val="center"/>
                </w:tcPr>
                <w:p>
                  <w:pPr>
                    <w:jc w:val="center"/>
                  </w:pPr>
                  <w:r>
                    <w:t>按照《环境保护图形标志固体废物贮存（处置）场》（GB15562.2-1995）和危险废物识别标识设置规范设置标志，配备通讯设备、照明设施和消防设施，设置气体导出口及气体净化装置，确保废气达标排放；在出入口、设施内部、危险废物运输车辆通道等关键位置按照危险废物贮存设施视频监控布设要求设置视频监控，并与中控室联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8" w:type="pct"/>
                  <w:vMerge w:val="continue"/>
                  <w:vAlign w:val="center"/>
                </w:tcPr>
                <w:p>
                  <w:pPr>
                    <w:jc w:val="center"/>
                  </w:pPr>
                </w:p>
              </w:tc>
              <w:tc>
                <w:tcPr>
                  <w:tcW w:w="4262" w:type="pct"/>
                  <w:vAlign w:val="center"/>
                </w:tcPr>
                <w:p>
                  <w:pPr>
                    <w:jc w:val="center"/>
                  </w:pPr>
                  <w:r>
                    <w:t>企业应根据危险废物的种类和特性进行分区、分类贮存，设置防雨、防火、防雷、防扬散、防渗漏装置及泄漏液体收集装置。对易爆、易燃及排出有毒气体的危险废物进行预处理，稳定后贮存，否则按易爆、易燃危险品贮存。贮存废弃剧毒化学品的，应按照公安机关要求落实治安防范措施。危险废物经营单位需制定废物入场控制措施，并不得接受核准经营许可以外的种类；贮存设施周转的累积贮存量不得超过年许可经营能力的六分之一，贮存期限原则上不得超过一年。对不满足识别标识设置规范（危险废物信息公开栏、贮存设施警示标志牌、包装识别标签）、未完成关键位置视频监控布设的企业，属地生态环境部门要责令其自本意见印发之日起三个月内完成整改，逾期未完成的，依法依规进行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8" w:type="pct"/>
                  <w:vAlign w:val="center"/>
                </w:tcPr>
                <w:p>
                  <w:pPr>
                    <w:jc w:val="center"/>
                  </w:pPr>
                  <w:r>
                    <w:t>危险废物识别标识设置规范</w:t>
                  </w:r>
                </w:p>
              </w:tc>
              <w:tc>
                <w:tcPr>
                  <w:tcW w:w="4262" w:type="pct"/>
                  <w:vAlign w:val="center"/>
                </w:tcPr>
                <w:p>
                  <w:pPr>
                    <w:jc w:val="center"/>
                  </w:pPr>
                  <w:r>
                    <w:t>中华人民共和国环境保护法》第五十二条规定，“对危险废物的容器和包装物以及收集、贮存、运输、处置危险废物的设施、场所，必须设置危险废物识别标志”。根据《危险废物贮存污染控制标准》（GB18597-2001）《危险废物收集贮存运输技术规范》（HB/T2025-2012）《环境保护图形标志固体废物贮存（处置）场（GB15562.2-1995）》等文件要求，为规范我省企业危险废物信息公开、贮存设施警示标志设置等，对识别标识的设置位置、规格参数、公开内容等作出具体规定。在识别标识外观质量上，应确保公开栏、标志牌、立柱、支架无明显变形；立柱、支架的材料、内外径大小及地下部分高度应确保公开栏、标志牌等安全、稳定固定，避免发生倾倒情况；公开栏、标志牌、立柱、支架等均应经过防腐处理；公开栏、标志牌表面无气泡，膜或搪瓷无脱落，无开裂、脱落及其它破损；公开栏、标志牌、标签等图案清晰，色泽一致，不得有明显缺损。当发现形象损坏、颜色污染或有变化、退色等情况时，应及时修复或更换。</w:t>
                  </w:r>
                </w:p>
              </w:tc>
            </w:tr>
          </w:tbl>
          <w:p>
            <w:pPr>
              <w:jc w:val="center"/>
              <w:rPr>
                <w:b/>
                <w:sz w:val="24"/>
              </w:rPr>
            </w:pPr>
            <w:r>
              <w:rPr>
                <w:b/>
                <w:sz w:val="24"/>
              </w:rPr>
              <w:t>表4-1</w:t>
            </w:r>
            <w:r>
              <w:rPr>
                <w:rFonts w:hint="eastAsia"/>
                <w:b/>
                <w:sz w:val="24"/>
                <w:lang w:val="en-US" w:eastAsia="zh-CN"/>
              </w:rPr>
              <w:t>2</w:t>
            </w:r>
            <w:r>
              <w:rPr>
                <w:b/>
                <w:sz w:val="24"/>
              </w:rPr>
              <w:t xml:space="preserve">  危险废物贮存场所（设施）监控设施布设要求表</w:t>
            </w:r>
          </w:p>
          <w:tbl>
            <w:tblPr>
              <w:tblStyle w:val="22"/>
              <w:tblW w:w="8499"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29"/>
              <w:gridCol w:w="1541"/>
              <w:gridCol w:w="1791"/>
              <w:gridCol w:w="2257"/>
              <w:gridCol w:w="14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5" w:type="dxa"/>
                  <w:gridSpan w:val="2"/>
                  <w:vMerge w:val="restart"/>
                  <w:vAlign w:val="center"/>
                </w:tcPr>
                <w:p>
                  <w:pPr>
                    <w:jc w:val="center"/>
                    <w:rPr>
                      <w:b/>
                    </w:rPr>
                  </w:pPr>
                  <w:r>
                    <w:rPr>
                      <w:b/>
                    </w:rPr>
                    <w:t>设置位置</w:t>
                  </w:r>
                </w:p>
              </w:tc>
              <w:tc>
                <w:tcPr>
                  <w:tcW w:w="1541" w:type="dxa"/>
                  <w:vMerge w:val="restart"/>
                  <w:vAlign w:val="center"/>
                </w:tcPr>
                <w:p>
                  <w:pPr>
                    <w:jc w:val="center"/>
                    <w:rPr>
                      <w:b/>
                    </w:rPr>
                  </w:pPr>
                  <w:r>
                    <w:rPr>
                      <w:b/>
                    </w:rPr>
                    <w:t>监控范围</w:t>
                  </w:r>
                </w:p>
              </w:tc>
              <w:tc>
                <w:tcPr>
                  <w:tcW w:w="5493" w:type="dxa"/>
                  <w:gridSpan w:val="3"/>
                  <w:vAlign w:val="center"/>
                </w:tcPr>
                <w:p>
                  <w:pPr>
                    <w:jc w:val="center"/>
                    <w:rPr>
                      <w:b/>
                    </w:rPr>
                  </w:pPr>
                  <w:r>
                    <w:rPr>
                      <w:b/>
                    </w:rPr>
                    <w:t>监控系统要求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5" w:type="dxa"/>
                  <w:gridSpan w:val="2"/>
                  <w:vMerge w:val="continue"/>
                  <w:vAlign w:val="center"/>
                </w:tcPr>
                <w:p>
                  <w:pPr>
                    <w:jc w:val="center"/>
                    <w:rPr>
                      <w:b/>
                    </w:rPr>
                  </w:pPr>
                </w:p>
              </w:tc>
              <w:tc>
                <w:tcPr>
                  <w:tcW w:w="1541" w:type="dxa"/>
                  <w:vMerge w:val="continue"/>
                  <w:vAlign w:val="center"/>
                </w:tcPr>
                <w:p>
                  <w:pPr>
                    <w:jc w:val="center"/>
                    <w:rPr>
                      <w:b/>
                    </w:rPr>
                  </w:pPr>
                </w:p>
              </w:tc>
              <w:tc>
                <w:tcPr>
                  <w:tcW w:w="1791" w:type="dxa"/>
                  <w:vAlign w:val="center"/>
                </w:tcPr>
                <w:p>
                  <w:pPr>
                    <w:jc w:val="center"/>
                    <w:rPr>
                      <w:b/>
                    </w:rPr>
                  </w:pPr>
                  <w:r>
                    <w:rPr>
                      <w:b/>
                    </w:rPr>
                    <w:t>设置标准</w:t>
                  </w:r>
                </w:p>
              </w:tc>
              <w:tc>
                <w:tcPr>
                  <w:tcW w:w="2257" w:type="dxa"/>
                  <w:vAlign w:val="center"/>
                </w:tcPr>
                <w:p>
                  <w:pPr>
                    <w:jc w:val="center"/>
                    <w:rPr>
                      <w:b/>
                    </w:rPr>
                  </w:pPr>
                  <w:r>
                    <w:rPr>
                      <w:b/>
                    </w:rPr>
                    <w:t>监控质量要求</w:t>
                  </w:r>
                </w:p>
              </w:tc>
              <w:tc>
                <w:tcPr>
                  <w:tcW w:w="1445" w:type="dxa"/>
                  <w:vAlign w:val="center"/>
                </w:tcPr>
                <w:p>
                  <w:pPr>
                    <w:jc w:val="center"/>
                    <w:rPr>
                      <w:b/>
                    </w:rPr>
                  </w:pPr>
                  <w:r>
                    <w:rPr>
                      <w:b/>
                    </w:rPr>
                    <w:t>存储传输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6" w:type="dxa"/>
                  <w:vMerge w:val="restart"/>
                  <w:vAlign w:val="center"/>
                </w:tcPr>
                <w:p>
                  <w:pPr>
                    <w:jc w:val="center"/>
                  </w:pPr>
                  <w:r>
                    <w:t>一、贮存设施</w:t>
                  </w:r>
                </w:p>
              </w:tc>
              <w:tc>
                <w:tcPr>
                  <w:tcW w:w="829" w:type="dxa"/>
                  <w:vAlign w:val="center"/>
                </w:tcPr>
                <w:p>
                  <w:pPr>
                    <w:jc w:val="center"/>
                  </w:pPr>
                  <w:r>
                    <w:t>全封闭式仓库出入口</w:t>
                  </w:r>
                </w:p>
              </w:tc>
              <w:tc>
                <w:tcPr>
                  <w:tcW w:w="1541" w:type="dxa"/>
                  <w:vAlign w:val="center"/>
                </w:tcPr>
                <w:p>
                  <w:pPr>
                    <w:jc w:val="center"/>
                  </w:pPr>
                  <w:r>
                    <w:t>全景视频监控，清晰记录危险废物入库、出库行为。</w:t>
                  </w:r>
                </w:p>
              </w:tc>
              <w:tc>
                <w:tcPr>
                  <w:tcW w:w="1791" w:type="dxa"/>
                  <w:vMerge w:val="restart"/>
                  <w:vAlign w:val="center"/>
                </w:tcPr>
                <w:p>
                  <w:pPr>
                    <w:jc w:val="center"/>
                  </w:pPr>
                  <w:r>
                    <w:t>1、监控系统须满足《公共安全视频监控联网系统信息传输、交换、控制技术要求》(GB/T28181-2016)，《安全防范高清视频监控系统技术要求》(GA/T1211-2014)等标准；</w:t>
                  </w:r>
                </w:p>
                <w:p>
                  <w:pPr>
                    <w:jc w:val="center"/>
                  </w:pPr>
                  <w:r>
                    <w:t>2、所有摄像机须支持0NVIF、GB/T28181-2016标准协议。</w:t>
                  </w:r>
                </w:p>
              </w:tc>
              <w:tc>
                <w:tcPr>
                  <w:tcW w:w="2257" w:type="dxa"/>
                  <w:vMerge w:val="restart"/>
                  <w:vAlign w:val="center"/>
                </w:tcPr>
                <w:p>
                  <w:pPr>
                    <w:jc w:val="center"/>
                  </w:pPr>
                  <w:r>
                    <w:t>1、须连续记录危险废物出入库情况和物流情况，包含录制日期及时间显示，不得对原始影像文件进行拼接、剪辑和编辑，保证影像连贯；2、摄像头距离监控对象的位置应保证监控对象全部摄入监控视频中，同时避免人员、设备、建筑物等的遮挡，清楚辨识贮存、处理等关键环节；3、监控区域24小时须有足够的光源以保证画面清晰辨识。无法保证24小时足够光源的区域，应安装全景红外夜视高清视频监控；4、视频监控录像画面分辨率须达到300万像素以上。</w:t>
                  </w:r>
                </w:p>
              </w:tc>
              <w:tc>
                <w:tcPr>
                  <w:tcW w:w="1445" w:type="dxa"/>
                  <w:vMerge w:val="restart"/>
                  <w:vAlign w:val="center"/>
                </w:tcPr>
                <w:p>
                  <w:pPr>
                    <w:jc w:val="center"/>
                  </w:pPr>
                  <w:r>
                    <w:t>1、包含储罐、贮槽液位计在内的视频监控系统应与中控室联网，并存储于中控系统。没有配备中控系统的，应采用硬盘或其他安全的方式存储，鼓励使用云存储方式，将视频记录传输至网络云端按相关规定存储；2、企业应当做好备用电源、视频双备份等保障措施，确保视频监控全天24小时不间断录像，监控视频保存时间至少为3个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36" w:type="dxa"/>
                  <w:vMerge w:val="continue"/>
                  <w:vAlign w:val="center"/>
                </w:tcPr>
                <w:p>
                  <w:pPr>
                    <w:jc w:val="center"/>
                  </w:pPr>
                </w:p>
              </w:tc>
              <w:tc>
                <w:tcPr>
                  <w:tcW w:w="829" w:type="dxa"/>
                  <w:vAlign w:val="center"/>
                </w:tcPr>
                <w:p>
                  <w:pPr>
                    <w:jc w:val="center"/>
                  </w:pPr>
                  <w:r>
                    <w:t>全封闭式仓库内部</w:t>
                  </w:r>
                </w:p>
              </w:tc>
              <w:tc>
                <w:tcPr>
                  <w:tcW w:w="1541" w:type="dxa"/>
                  <w:vAlign w:val="center"/>
                </w:tcPr>
                <w:p>
                  <w:pPr>
                    <w:jc w:val="center"/>
                  </w:pPr>
                  <w:r>
                    <w:t>全景视频监控，清晰记录仓库内部所有位置危险废物情况。</w:t>
                  </w:r>
                </w:p>
              </w:tc>
              <w:tc>
                <w:tcPr>
                  <w:tcW w:w="1791" w:type="dxa"/>
                  <w:vMerge w:val="continue"/>
                  <w:vAlign w:val="center"/>
                </w:tcPr>
                <w:p>
                  <w:pPr>
                    <w:jc w:val="center"/>
                  </w:pPr>
                </w:p>
              </w:tc>
              <w:tc>
                <w:tcPr>
                  <w:tcW w:w="2257" w:type="dxa"/>
                  <w:vMerge w:val="continue"/>
                  <w:vAlign w:val="center"/>
                </w:tcPr>
                <w:p>
                  <w:pPr>
                    <w:jc w:val="center"/>
                  </w:pPr>
                </w:p>
              </w:tc>
              <w:tc>
                <w:tcPr>
                  <w:tcW w:w="1445" w:type="dxa"/>
                  <w:vMerge w:val="continue"/>
                  <w:vAlign w:val="center"/>
                </w:tcPr>
                <w:p>
                  <w:pPr>
                    <w:jc w:val="cente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pPr>
                    <w:jc w:val="center"/>
                  </w:pPr>
                </w:p>
              </w:tc>
              <w:tc>
                <w:tcPr>
                  <w:tcW w:w="829" w:type="dxa"/>
                  <w:vAlign w:val="center"/>
                </w:tcPr>
                <w:p>
                  <w:pPr>
                    <w:jc w:val="center"/>
                  </w:pPr>
                  <w:r>
                    <w:t>围墙、防护栅栏隔离区域。</w:t>
                  </w:r>
                </w:p>
              </w:tc>
              <w:tc>
                <w:tcPr>
                  <w:tcW w:w="1541" w:type="dxa"/>
                  <w:vAlign w:val="center"/>
                </w:tcPr>
                <w:p>
                  <w:pPr>
                    <w:jc w:val="center"/>
                  </w:pPr>
                  <w:r>
                    <w:t>全景视频监控，画面须完全覆盖围墙围挡区域、防护栅栏隔离区域。</w:t>
                  </w:r>
                </w:p>
              </w:tc>
              <w:tc>
                <w:tcPr>
                  <w:tcW w:w="1791" w:type="dxa"/>
                  <w:vMerge w:val="continue"/>
                  <w:vAlign w:val="center"/>
                </w:tcPr>
                <w:p>
                  <w:pPr>
                    <w:jc w:val="center"/>
                  </w:pPr>
                </w:p>
              </w:tc>
              <w:tc>
                <w:tcPr>
                  <w:tcW w:w="2257" w:type="dxa"/>
                  <w:vMerge w:val="continue"/>
                  <w:vAlign w:val="center"/>
                </w:tcPr>
                <w:p>
                  <w:pPr>
                    <w:jc w:val="center"/>
                  </w:pPr>
                </w:p>
              </w:tc>
              <w:tc>
                <w:tcPr>
                  <w:tcW w:w="1445" w:type="dxa"/>
                  <w:vMerge w:val="continue"/>
                  <w:vAlign w:val="center"/>
                </w:tcPr>
                <w:p>
                  <w:pPr>
                    <w:jc w:val="cente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65" w:type="dxa"/>
                  <w:gridSpan w:val="2"/>
                  <w:vAlign w:val="center"/>
                </w:tcPr>
                <w:p>
                  <w:pPr>
                    <w:jc w:val="center"/>
                  </w:pPr>
                  <w:r>
                    <w:t>二、装卸区域</w:t>
                  </w:r>
                </w:p>
              </w:tc>
              <w:tc>
                <w:tcPr>
                  <w:tcW w:w="1541" w:type="dxa"/>
                  <w:vAlign w:val="center"/>
                </w:tcPr>
                <w:p>
                  <w:pPr>
                    <w:jc w:val="center"/>
                  </w:pPr>
                  <w:r>
                    <w:t>全景视频监控，能清晰记录装卸过程，抓拍驾驶员和运输车辆车牌号码等信息。</w:t>
                  </w:r>
                </w:p>
              </w:tc>
              <w:tc>
                <w:tcPr>
                  <w:tcW w:w="1791" w:type="dxa"/>
                  <w:vAlign w:val="center"/>
                </w:tcPr>
                <w:p>
                  <w:pPr>
                    <w:jc w:val="center"/>
                  </w:pPr>
                  <w:r>
                    <w:t>同上</w:t>
                  </w:r>
                </w:p>
              </w:tc>
              <w:tc>
                <w:tcPr>
                  <w:tcW w:w="2257" w:type="dxa"/>
                  <w:vAlign w:val="center"/>
                </w:tcPr>
                <w:p>
                  <w:pPr>
                    <w:jc w:val="center"/>
                  </w:pPr>
                  <w:r>
                    <w:t>同上</w:t>
                  </w:r>
                </w:p>
              </w:tc>
              <w:tc>
                <w:tcPr>
                  <w:tcW w:w="1445" w:type="dxa"/>
                  <w:vAlign w:val="center"/>
                </w:tcPr>
                <w:p>
                  <w:pPr>
                    <w:jc w:val="center"/>
                  </w:pPr>
                  <w:r>
                    <w:t>同上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465" w:type="dxa"/>
                  <w:gridSpan w:val="2"/>
                  <w:vAlign w:val="center"/>
                </w:tcPr>
                <w:p>
                  <w:pPr>
                    <w:jc w:val="center"/>
                  </w:pPr>
                  <w:r>
                    <w:t>三、危废运输车辆通道(含车辆出口和入口)</w:t>
                  </w:r>
                </w:p>
              </w:tc>
              <w:tc>
                <w:tcPr>
                  <w:tcW w:w="1541" w:type="dxa"/>
                  <w:vAlign w:val="center"/>
                </w:tcPr>
                <w:p>
                  <w:pPr>
                    <w:jc w:val="center"/>
                  </w:pPr>
                  <w:r>
                    <w:t>1、全景视频监控，清晰记录车辆出入况；2、摄像机应具备抓拍驾驶员和车牌号码功能。</w:t>
                  </w:r>
                </w:p>
              </w:tc>
              <w:tc>
                <w:tcPr>
                  <w:tcW w:w="1791" w:type="dxa"/>
                  <w:vAlign w:val="center"/>
                </w:tcPr>
                <w:p>
                  <w:pPr>
                    <w:jc w:val="center"/>
                  </w:pPr>
                  <w:r>
                    <w:t>同上</w:t>
                  </w:r>
                </w:p>
              </w:tc>
              <w:tc>
                <w:tcPr>
                  <w:tcW w:w="2257" w:type="dxa"/>
                  <w:vAlign w:val="center"/>
                </w:tcPr>
                <w:p>
                  <w:pPr>
                    <w:jc w:val="center"/>
                  </w:pPr>
                  <w:r>
                    <w:t>同上</w:t>
                  </w:r>
                </w:p>
              </w:tc>
              <w:tc>
                <w:tcPr>
                  <w:tcW w:w="1445" w:type="dxa"/>
                  <w:vAlign w:val="center"/>
                </w:tcPr>
                <w:p>
                  <w:pPr>
                    <w:jc w:val="center"/>
                  </w:pPr>
                  <w:r>
                    <w:t>同上</w:t>
                  </w:r>
                </w:p>
              </w:tc>
            </w:tr>
          </w:tbl>
          <w:p>
            <w:pPr>
              <w:spacing w:line="360" w:lineRule="auto"/>
              <w:ind w:firstLine="480" w:firstLineChars="200"/>
              <w:rPr>
                <w:sz w:val="24"/>
              </w:rPr>
            </w:pPr>
            <w:r>
              <w:rPr>
                <w:sz w:val="24"/>
              </w:rPr>
              <w:t>（4）危废暂存分析</w:t>
            </w:r>
          </w:p>
          <w:p>
            <w:pPr>
              <w:spacing w:line="360" w:lineRule="auto"/>
              <w:ind w:firstLine="480" w:firstLineChars="200"/>
              <w:rPr>
                <w:sz w:val="24"/>
              </w:rPr>
            </w:pPr>
            <w:r>
              <w:rPr>
                <w:sz w:val="24"/>
              </w:rPr>
              <w:t>项目产生的废物应分类收集、分类贮存，并张贴标签储存在专门的场所内，一般固废、生活垃圾、危险废物分开，不得混放。危废定期周转，危废暂存场按照《危险废物贮存污染控制标准》(GB18597-2001) 及标准修改单（环保局公告2013年36号，2013年6月8日）规范要求设置，设有防渗漏、防雨淋、防扬散措施，并设置危险废物标识和警示牌。各堆场场所按照《环境保护图形标志-固体废物贮存（处置场）》设置标示牌。</w:t>
            </w:r>
          </w:p>
          <w:p>
            <w:pPr>
              <w:snapToGrid w:val="0"/>
              <w:spacing w:line="360" w:lineRule="auto"/>
              <w:ind w:firstLine="480" w:firstLineChars="200"/>
              <w:rPr>
                <w:sz w:val="24"/>
              </w:rPr>
            </w:pPr>
            <w:r>
              <w:rPr>
                <w:sz w:val="24"/>
              </w:rPr>
              <w:t>本项目生产中产生的危险固废堆场依托原有危废仓库，原有危废仓库位于厂区内部，占地面积为30m</w:t>
            </w:r>
            <w:r>
              <w:rPr>
                <w:sz w:val="24"/>
                <w:vertAlign w:val="superscript"/>
              </w:rPr>
              <w:t>2</w:t>
            </w:r>
            <w:r>
              <w:rPr>
                <w:sz w:val="24"/>
              </w:rPr>
              <w:t>。地面进行防渗防腐处理。本项目的危险废物仓库贮存能力可满足要求，各危废都得到妥善处理，经安全收集、妥善处理，对外环境影响较小，对周围环境不产生二次影响。</w:t>
            </w:r>
          </w:p>
          <w:p>
            <w:pPr>
              <w:spacing w:line="360" w:lineRule="auto"/>
              <w:ind w:firstLine="480" w:firstLineChars="200"/>
              <w:rPr>
                <w:sz w:val="24"/>
              </w:rPr>
            </w:pPr>
            <w:r>
              <w:rPr>
                <w:sz w:val="24"/>
              </w:rPr>
              <w:t>项目危险废物贮存场所基本情况详见下表。</w:t>
            </w:r>
          </w:p>
          <w:p>
            <w:pPr>
              <w:pStyle w:val="8"/>
              <w:rPr>
                <w:sz w:val="24"/>
              </w:rPr>
            </w:pPr>
          </w:p>
          <w:p>
            <w:pPr>
              <w:pStyle w:val="8"/>
              <w:rPr>
                <w:sz w:val="24"/>
              </w:rPr>
            </w:pPr>
          </w:p>
          <w:p>
            <w:pPr>
              <w:pStyle w:val="8"/>
              <w:rPr>
                <w:sz w:val="24"/>
              </w:rPr>
            </w:pPr>
          </w:p>
          <w:p>
            <w:pPr>
              <w:adjustRightInd w:val="0"/>
              <w:snapToGrid w:val="0"/>
              <w:jc w:val="center"/>
              <w:rPr>
                <w:b/>
                <w:sz w:val="24"/>
              </w:rPr>
            </w:pPr>
            <w:r>
              <w:rPr>
                <w:b/>
                <w:sz w:val="24"/>
              </w:rPr>
              <w:t>表4-1</w:t>
            </w:r>
            <w:r>
              <w:rPr>
                <w:rFonts w:hint="eastAsia"/>
                <w:b/>
                <w:sz w:val="24"/>
                <w:lang w:val="en-US" w:eastAsia="zh-CN"/>
              </w:rPr>
              <w:t>3</w:t>
            </w:r>
            <w:r>
              <w:rPr>
                <w:b/>
                <w:sz w:val="24"/>
              </w:rPr>
              <w:t xml:space="preserve">  危废仓库现状情况表</w:t>
            </w:r>
          </w:p>
          <w:tbl>
            <w:tblPr>
              <w:tblStyle w:val="21"/>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6"/>
              <w:gridCol w:w="830"/>
              <w:gridCol w:w="1063"/>
              <w:gridCol w:w="720"/>
              <w:gridCol w:w="905"/>
              <w:gridCol w:w="993"/>
              <w:gridCol w:w="709"/>
              <w:gridCol w:w="848"/>
              <w:gridCol w:w="993"/>
              <w:gridCol w:w="9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0" w:type="pct"/>
                  <w:tcBorders>
                    <w:top w:val="single" w:color="auto" w:sz="12" w:space="0"/>
                  </w:tcBorders>
                  <w:vAlign w:val="center"/>
                </w:tcPr>
                <w:p>
                  <w:pPr>
                    <w:adjustRightInd w:val="0"/>
                    <w:snapToGrid w:val="0"/>
                    <w:ind w:left="-63" w:leftChars="-30" w:right="-63" w:rightChars="-30"/>
                    <w:jc w:val="center"/>
                    <w:rPr>
                      <w:b/>
                      <w:szCs w:val="21"/>
                    </w:rPr>
                  </w:pPr>
                  <w:r>
                    <w:rPr>
                      <w:b/>
                      <w:szCs w:val="21"/>
                    </w:rPr>
                    <w:t>序号</w:t>
                  </w:r>
                </w:p>
              </w:tc>
              <w:tc>
                <w:tcPr>
                  <w:tcW w:w="495" w:type="pct"/>
                  <w:tcBorders>
                    <w:top w:val="single" w:color="auto" w:sz="12" w:space="0"/>
                    <w:bottom w:val="single" w:color="auto" w:sz="2" w:space="0"/>
                  </w:tcBorders>
                  <w:vAlign w:val="center"/>
                </w:tcPr>
                <w:p>
                  <w:pPr>
                    <w:adjustRightInd w:val="0"/>
                    <w:snapToGrid w:val="0"/>
                    <w:ind w:left="-63" w:leftChars="-30" w:right="-63" w:rightChars="-30"/>
                    <w:jc w:val="center"/>
                    <w:rPr>
                      <w:b/>
                      <w:szCs w:val="21"/>
                    </w:rPr>
                  </w:pPr>
                  <w:r>
                    <w:rPr>
                      <w:b/>
                      <w:szCs w:val="21"/>
                    </w:rPr>
                    <w:t>贮存场所（设施）名称</w:t>
                  </w:r>
                </w:p>
              </w:tc>
              <w:tc>
                <w:tcPr>
                  <w:tcW w:w="632" w:type="pct"/>
                  <w:tcBorders>
                    <w:top w:val="single" w:color="auto" w:sz="12" w:space="0"/>
                    <w:bottom w:val="single" w:color="auto" w:sz="2" w:space="0"/>
                  </w:tcBorders>
                  <w:vAlign w:val="center"/>
                </w:tcPr>
                <w:p>
                  <w:pPr>
                    <w:adjustRightInd w:val="0"/>
                    <w:snapToGrid w:val="0"/>
                    <w:ind w:left="-63" w:leftChars="-30" w:right="-63" w:rightChars="-30"/>
                    <w:jc w:val="center"/>
                    <w:rPr>
                      <w:b/>
                      <w:szCs w:val="21"/>
                    </w:rPr>
                  </w:pPr>
                  <w:r>
                    <w:rPr>
                      <w:b/>
                      <w:szCs w:val="21"/>
                    </w:rPr>
                    <w:t>危险废物名称</w:t>
                  </w:r>
                </w:p>
              </w:tc>
              <w:tc>
                <w:tcPr>
                  <w:tcW w:w="429" w:type="pct"/>
                  <w:tcBorders>
                    <w:top w:val="single" w:color="auto" w:sz="12" w:space="0"/>
                  </w:tcBorders>
                  <w:vAlign w:val="center"/>
                </w:tcPr>
                <w:p>
                  <w:pPr>
                    <w:adjustRightInd w:val="0"/>
                    <w:snapToGrid w:val="0"/>
                    <w:ind w:left="-63" w:leftChars="-30" w:right="-63" w:rightChars="-30"/>
                    <w:jc w:val="center"/>
                    <w:rPr>
                      <w:b/>
                      <w:szCs w:val="21"/>
                    </w:rPr>
                  </w:pPr>
                  <w:r>
                    <w:rPr>
                      <w:b/>
                      <w:szCs w:val="21"/>
                    </w:rPr>
                    <w:t>最大储存量/t</w:t>
                  </w:r>
                </w:p>
              </w:tc>
              <w:tc>
                <w:tcPr>
                  <w:tcW w:w="538" w:type="pct"/>
                  <w:tcBorders>
                    <w:top w:val="single" w:color="auto" w:sz="12" w:space="0"/>
                  </w:tcBorders>
                  <w:vAlign w:val="center"/>
                </w:tcPr>
                <w:p>
                  <w:pPr>
                    <w:adjustRightInd w:val="0"/>
                    <w:snapToGrid w:val="0"/>
                    <w:ind w:left="-63" w:leftChars="-30" w:right="-63" w:rightChars="-30"/>
                    <w:jc w:val="center"/>
                    <w:rPr>
                      <w:b/>
                      <w:szCs w:val="21"/>
                    </w:rPr>
                  </w:pPr>
                  <w:r>
                    <w:rPr>
                      <w:b/>
                      <w:szCs w:val="21"/>
                    </w:rPr>
                    <w:t>单位重量</w:t>
                  </w:r>
                </w:p>
              </w:tc>
              <w:tc>
                <w:tcPr>
                  <w:tcW w:w="590" w:type="pct"/>
                  <w:tcBorders>
                    <w:top w:val="single" w:color="auto" w:sz="12" w:space="0"/>
                  </w:tcBorders>
                  <w:vAlign w:val="center"/>
                </w:tcPr>
                <w:p>
                  <w:pPr>
                    <w:adjustRightInd w:val="0"/>
                    <w:snapToGrid w:val="0"/>
                    <w:ind w:left="-63" w:leftChars="-30" w:right="-63" w:rightChars="-30"/>
                    <w:jc w:val="center"/>
                    <w:rPr>
                      <w:b/>
                      <w:szCs w:val="21"/>
                    </w:rPr>
                  </w:pPr>
                  <w:r>
                    <w:rPr>
                      <w:b/>
                      <w:szCs w:val="21"/>
                    </w:rPr>
                    <w:t>单位占地面积</w:t>
                  </w:r>
                </w:p>
              </w:tc>
              <w:tc>
                <w:tcPr>
                  <w:tcW w:w="422" w:type="pct"/>
                  <w:tcBorders>
                    <w:top w:val="single" w:color="auto" w:sz="12" w:space="0"/>
                  </w:tcBorders>
                  <w:vAlign w:val="center"/>
                </w:tcPr>
                <w:p>
                  <w:pPr>
                    <w:adjustRightInd w:val="0"/>
                    <w:snapToGrid w:val="0"/>
                    <w:ind w:left="-63" w:leftChars="-30" w:right="-63" w:rightChars="-30"/>
                    <w:jc w:val="center"/>
                    <w:rPr>
                      <w:b/>
                      <w:szCs w:val="21"/>
                    </w:rPr>
                  </w:pPr>
                  <w:r>
                    <w:rPr>
                      <w:b/>
                      <w:szCs w:val="21"/>
                    </w:rPr>
                    <w:t>堆放层数</w:t>
                  </w:r>
                </w:p>
              </w:tc>
              <w:tc>
                <w:tcPr>
                  <w:tcW w:w="504" w:type="pct"/>
                  <w:tcBorders>
                    <w:top w:val="single" w:color="auto" w:sz="12" w:space="0"/>
                  </w:tcBorders>
                  <w:vAlign w:val="center"/>
                </w:tcPr>
                <w:p>
                  <w:pPr>
                    <w:adjustRightInd w:val="0"/>
                    <w:snapToGrid w:val="0"/>
                    <w:ind w:left="-63" w:leftChars="-30" w:right="-63" w:rightChars="-30"/>
                    <w:jc w:val="center"/>
                    <w:rPr>
                      <w:b/>
                      <w:szCs w:val="21"/>
                    </w:rPr>
                  </w:pPr>
                  <w:r>
                    <w:rPr>
                      <w:b/>
                      <w:szCs w:val="21"/>
                    </w:rPr>
                    <w:t>所需占地面积/m</w:t>
                  </w:r>
                  <w:r>
                    <w:rPr>
                      <w:b/>
                      <w:szCs w:val="21"/>
                      <w:vertAlign w:val="superscript"/>
                    </w:rPr>
                    <w:t>2</w:t>
                  </w:r>
                </w:p>
              </w:tc>
              <w:tc>
                <w:tcPr>
                  <w:tcW w:w="590" w:type="pct"/>
                  <w:tcBorders>
                    <w:top w:val="single" w:color="auto" w:sz="12" w:space="0"/>
                    <w:bottom w:val="single" w:color="auto" w:sz="2" w:space="0"/>
                  </w:tcBorders>
                  <w:vAlign w:val="center"/>
                </w:tcPr>
                <w:p>
                  <w:pPr>
                    <w:adjustRightInd w:val="0"/>
                    <w:snapToGrid w:val="0"/>
                    <w:ind w:left="-63" w:leftChars="-30" w:right="-63" w:rightChars="-30"/>
                    <w:jc w:val="center"/>
                    <w:rPr>
                      <w:b/>
                      <w:szCs w:val="21"/>
                    </w:rPr>
                  </w:pPr>
                  <w:r>
                    <w:rPr>
                      <w:b/>
                      <w:szCs w:val="21"/>
                    </w:rPr>
                    <w:t>危废暂存所需总面积/m</w:t>
                  </w:r>
                  <w:r>
                    <w:rPr>
                      <w:b/>
                      <w:szCs w:val="21"/>
                      <w:vertAlign w:val="superscript"/>
                    </w:rPr>
                    <w:t>2</w:t>
                  </w:r>
                </w:p>
              </w:tc>
              <w:tc>
                <w:tcPr>
                  <w:tcW w:w="535" w:type="pct"/>
                  <w:tcBorders>
                    <w:top w:val="single" w:color="auto" w:sz="12" w:space="0"/>
                  </w:tcBorders>
                  <w:vAlign w:val="center"/>
                </w:tcPr>
                <w:p>
                  <w:pPr>
                    <w:adjustRightInd w:val="0"/>
                    <w:snapToGrid w:val="0"/>
                    <w:ind w:left="-63" w:leftChars="-30" w:right="-63" w:rightChars="-30"/>
                    <w:jc w:val="center"/>
                    <w:rPr>
                      <w:b/>
                      <w:szCs w:val="21"/>
                    </w:rPr>
                  </w:pPr>
                  <w:r>
                    <w:rPr>
                      <w:b/>
                      <w:szCs w:val="21"/>
                    </w:rPr>
                    <w:t>周转周期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tcBorders>
                    <w:bottom w:val="single" w:color="auto" w:sz="12" w:space="0"/>
                  </w:tcBorders>
                  <w:vAlign w:val="center"/>
                </w:tcPr>
                <w:p>
                  <w:pPr>
                    <w:adjustRightInd w:val="0"/>
                    <w:snapToGrid w:val="0"/>
                    <w:ind w:left="-63" w:leftChars="-30" w:right="-63" w:rightChars="-30"/>
                    <w:jc w:val="center"/>
                    <w:rPr>
                      <w:szCs w:val="21"/>
                    </w:rPr>
                  </w:pPr>
                  <w:r>
                    <w:rPr>
                      <w:szCs w:val="21"/>
                    </w:rPr>
                    <w:t>1</w:t>
                  </w:r>
                </w:p>
              </w:tc>
              <w:tc>
                <w:tcPr>
                  <w:tcW w:w="495" w:type="pct"/>
                  <w:tcBorders>
                    <w:top w:val="single" w:color="auto" w:sz="2" w:space="0"/>
                    <w:bottom w:val="single" w:color="auto" w:sz="12" w:space="0"/>
                  </w:tcBorders>
                  <w:vAlign w:val="center"/>
                </w:tcPr>
                <w:p>
                  <w:pPr>
                    <w:pStyle w:val="5"/>
                    <w:adjustRightInd w:val="0"/>
                    <w:snapToGrid w:val="0"/>
                    <w:ind w:left="-63" w:leftChars="-30" w:right="-63" w:rightChars="-30" w:firstLine="105" w:firstLineChars="50"/>
                    <w:jc w:val="center"/>
                    <w:rPr>
                      <w:rFonts w:ascii="Times New Roman" w:hAnsi="Times New Roman"/>
                      <w:szCs w:val="21"/>
                    </w:rPr>
                  </w:pPr>
                  <w:r>
                    <w:rPr>
                      <w:rFonts w:ascii="Times New Roman" w:hAnsi="Times New Roman"/>
                      <w:szCs w:val="21"/>
                    </w:rPr>
                    <w:t>危废仓库</w:t>
                  </w:r>
                </w:p>
              </w:tc>
              <w:tc>
                <w:tcPr>
                  <w:tcW w:w="632" w:type="pct"/>
                  <w:tcBorders>
                    <w:top w:val="single" w:color="auto" w:sz="2" w:space="0"/>
                    <w:bottom w:val="single" w:color="auto" w:sz="12" w:space="0"/>
                  </w:tcBorders>
                  <w:vAlign w:val="center"/>
                </w:tcPr>
                <w:p>
                  <w:pPr>
                    <w:pStyle w:val="5"/>
                    <w:adjustRightInd w:val="0"/>
                    <w:snapToGrid w:val="0"/>
                    <w:ind w:firstLine="0"/>
                    <w:jc w:val="center"/>
                    <w:rPr>
                      <w:rFonts w:ascii="Times New Roman" w:hAnsi="Times New Roman"/>
                      <w:szCs w:val="21"/>
                    </w:rPr>
                  </w:pPr>
                  <w:r>
                    <w:rPr>
                      <w:rFonts w:ascii="Times New Roman" w:hAnsi="Times New Roman"/>
                      <w:szCs w:val="21"/>
                    </w:rPr>
                    <w:t>废活性炭</w:t>
                  </w:r>
                </w:p>
              </w:tc>
              <w:tc>
                <w:tcPr>
                  <w:tcW w:w="429" w:type="pct"/>
                  <w:tcBorders>
                    <w:bottom w:val="single" w:color="auto" w:sz="12" w:space="0"/>
                  </w:tcBorders>
                  <w:vAlign w:val="center"/>
                </w:tcPr>
                <w:p>
                  <w:pPr>
                    <w:adjustRightInd w:val="0"/>
                    <w:snapToGrid w:val="0"/>
                    <w:jc w:val="center"/>
                    <w:rPr>
                      <w:szCs w:val="21"/>
                    </w:rPr>
                  </w:pPr>
                  <w:r>
                    <w:rPr>
                      <w:szCs w:val="21"/>
                    </w:rPr>
                    <w:t>31.6</w:t>
                  </w:r>
                </w:p>
              </w:tc>
              <w:tc>
                <w:tcPr>
                  <w:tcW w:w="538" w:type="pct"/>
                  <w:tcBorders>
                    <w:bottom w:val="single" w:color="auto" w:sz="12" w:space="0"/>
                  </w:tcBorders>
                  <w:vAlign w:val="center"/>
                </w:tcPr>
                <w:p>
                  <w:pPr>
                    <w:adjustRightInd w:val="0"/>
                    <w:snapToGrid w:val="0"/>
                    <w:ind w:left="-63" w:leftChars="-30" w:right="-63" w:rightChars="-30"/>
                    <w:jc w:val="center"/>
                    <w:rPr>
                      <w:szCs w:val="21"/>
                    </w:rPr>
                  </w:pPr>
                  <w:r>
                    <w:rPr>
                      <w:szCs w:val="21"/>
                    </w:rPr>
                    <w:t>1t/袋</w:t>
                  </w:r>
                </w:p>
              </w:tc>
              <w:tc>
                <w:tcPr>
                  <w:tcW w:w="590" w:type="pct"/>
                  <w:tcBorders>
                    <w:bottom w:val="single" w:color="auto" w:sz="12" w:space="0"/>
                  </w:tcBorders>
                  <w:vAlign w:val="center"/>
                </w:tcPr>
                <w:p>
                  <w:pPr>
                    <w:adjustRightInd w:val="0"/>
                    <w:snapToGrid w:val="0"/>
                    <w:ind w:left="-63" w:leftChars="-30" w:right="-63" w:rightChars="-30"/>
                    <w:jc w:val="center"/>
                    <w:rPr>
                      <w:szCs w:val="21"/>
                    </w:rPr>
                  </w:pPr>
                  <w:r>
                    <w:rPr>
                      <w:szCs w:val="21"/>
                    </w:rPr>
                    <w:t>1m</w:t>
                  </w:r>
                  <w:r>
                    <w:rPr>
                      <w:szCs w:val="21"/>
                      <w:vertAlign w:val="superscript"/>
                    </w:rPr>
                    <w:t>2</w:t>
                  </w:r>
                  <w:r>
                    <w:rPr>
                      <w:szCs w:val="21"/>
                    </w:rPr>
                    <w:t>/袋</w:t>
                  </w:r>
                </w:p>
              </w:tc>
              <w:tc>
                <w:tcPr>
                  <w:tcW w:w="422" w:type="pct"/>
                  <w:tcBorders>
                    <w:bottom w:val="single" w:color="auto" w:sz="12" w:space="0"/>
                  </w:tcBorders>
                  <w:vAlign w:val="center"/>
                </w:tcPr>
                <w:p>
                  <w:pPr>
                    <w:adjustRightInd w:val="0"/>
                    <w:snapToGrid w:val="0"/>
                    <w:ind w:left="-63" w:leftChars="-30" w:right="-63" w:rightChars="-30"/>
                    <w:jc w:val="center"/>
                    <w:rPr>
                      <w:szCs w:val="21"/>
                    </w:rPr>
                  </w:pPr>
                  <w:r>
                    <w:rPr>
                      <w:szCs w:val="21"/>
                    </w:rPr>
                    <w:t>3</w:t>
                  </w:r>
                </w:p>
              </w:tc>
              <w:tc>
                <w:tcPr>
                  <w:tcW w:w="504" w:type="pct"/>
                  <w:tcBorders>
                    <w:bottom w:val="single" w:color="auto" w:sz="12" w:space="0"/>
                  </w:tcBorders>
                  <w:vAlign w:val="center"/>
                </w:tcPr>
                <w:p>
                  <w:pPr>
                    <w:adjustRightInd w:val="0"/>
                    <w:snapToGrid w:val="0"/>
                    <w:ind w:left="-63" w:leftChars="-30" w:right="-63" w:rightChars="-30"/>
                    <w:jc w:val="center"/>
                    <w:rPr>
                      <w:szCs w:val="21"/>
                    </w:rPr>
                  </w:pPr>
                  <w:r>
                    <w:rPr>
                      <w:szCs w:val="21"/>
                    </w:rPr>
                    <w:t>15</w:t>
                  </w:r>
                </w:p>
              </w:tc>
              <w:tc>
                <w:tcPr>
                  <w:tcW w:w="590" w:type="pct"/>
                  <w:tcBorders>
                    <w:top w:val="single" w:color="auto" w:sz="2" w:space="0"/>
                    <w:bottom w:val="single" w:color="auto" w:sz="12" w:space="0"/>
                  </w:tcBorders>
                  <w:vAlign w:val="center"/>
                </w:tcPr>
                <w:p>
                  <w:pPr>
                    <w:jc w:val="center"/>
                    <w:rPr>
                      <w:szCs w:val="21"/>
                    </w:rPr>
                  </w:pPr>
                  <w:r>
                    <w:rPr>
                      <w:szCs w:val="21"/>
                    </w:rPr>
                    <w:t>15</w:t>
                  </w:r>
                </w:p>
              </w:tc>
              <w:tc>
                <w:tcPr>
                  <w:tcW w:w="535" w:type="pct"/>
                  <w:tcBorders>
                    <w:bottom w:val="single" w:color="auto" w:sz="12" w:space="0"/>
                  </w:tcBorders>
                  <w:vAlign w:val="center"/>
                </w:tcPr>
                <w:p>
                  <w:pPr>
                    <w:jc w:val="center"/>
                    <w:rPr>
                      <w:szCs w:val="21"/>
                    </w:rPr>
                  </w:pPr>
                  <w:r>
                    <w:rPr>
                      <w:szCs w:val="21"/>
                    </w:rPr>
                    <w:t>6个月</w:t>
                  </w:r>
                </w:p>
              </w:tc>
            </w:tr>
          </w:tbl>
          <w:p>
            <w:pPr>
              <w:adjustRightInd w:val="0"/>
              <w:snapToGrid w:val="0"/>
              <w:jc w:val="center"/>
              <w:rPr>
                <w:b/>
                <w:sz w:val="24"/>
              </w:rPr>
            </w:pPr>
            <w:r>
              <w:rPr>
                <w:b/>
                <w:sz w:val="24"/>
              </w:rPr>
              <w:t>表4-1</w:t>
            </w:r>
            <w:r>
              <w:rPr>
                <w:rFonts w:hint="eastAsia"/>
                <w:b/>
                <w:sz w:val="24"/>
                <w:lang w:val="en-US" w:eastAsia="zh-CN"/>
              </w:rPr>
              <w:t>4</w:t>
            </w:r>
            <w:r>
              <w:rPr>
                <w:b/>
                <w:sz w:val="24"/>
              </w:rPr>
              <w:t xml:space="preserve">  本项目危险废物所需贮存场所（设施）基本情况表</w:t>
            </w:r>
          </w:p>
          <w:tbl>
            <w:tblPr>
              <w:tblStyle w:val="21"/>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6"/>
              <w:gridCol w:w="837"/>
              <w:gridCol w:w="1062"/>
              <w:gridCol w:w="721"/>
              <w:gridCol w:w="1019"/>
              <w:gridCol w:w="1020"/>
              <w:gridCol w:w="565"/>
              <w:gridCol w:w="846"/>
              <w:gridCol w:w="993"/>
              <w:gridCol w:w="89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tcBorders>
                    <w:top w:val="single" w:color="auto" w:sz="12" w:space="0"/>
                  </w:tcBorders>
                  <w:vAlign w:val="center"/>
                </w:tcPr>
                <w:p>
                  <w:pPr>
                    <w:adjustRightInd w:val="0"/>
                    <w:snapToGrid w:val="0"/>
                    <w:ind w:left="-63" w:leftChars="-30" w:right="-63" w:rightChars="-30"/>
                    <w:jc w:val="center"/>
                    <w:rPr>
                      <w:b/>
                      <w:szCs w:val="21"/>
                    </w:rPr>
                  </w:pPr>
                  <w:r>
                    <w:rPr>
                      <w:b/>
                      <w:szCs w:val="21"/>
                    </w:rPr>
                    <w:t>序号</w:t>
                  </w:r>
                </w:p>
              </w:tc>
              <w:tc>
                <w:tcPr>
                  <w:tcW w:w="498" w:type="pct"/>
                  <w:tcBorders>
                    <w:top w:val="single" w:color="auto" w:sz="12" w:space="0"/>
                    <w:bottom w:val="single" w:color="auto" w:sz="2" w:space="0"/>
                  </w:tcBorders>
                  <w:vAlign w:val="center"/>
                </w:tcPr>
                <w:p>
                  <w:pPr>
                    <w:adjustRightInd w:val="0"/>
                    <w:snapToGrid w:val="0"/>
                    <w:ind w:left="-63" w:leftChars="-30" w:right="-63" w:rightChars="-30"/>
                    <w:jc w:val="center"/>
                    <w:rPr>
                      <w:b/>
                      <w:szCs w:val="21"/>
                    </w:rPr>
                  </w:pPr>
                  <w:r>
                    <w:rPr>
                      <w:b/>
                      <w:szCs w:val="21"/>
                    </w:rPr>
                    <w:t>贮存场所（设施）名称</w:t>
                  </w:r>
                </w:p>
              </w:tc>
              <w:tc>
                <w:tcPr>
                  <w:tcW w:w="631" w:type="pct"/>
                  <w:tcBorders>
                    <w:top w:val="single" w:color="auto" w:sz="12" w:space="0"/>
                    <w:bottom w:val="single" w:color="auto" w:sz="2" w:space="0"/>
                  </w:tcBorders>
                  <w:vAlign w:val="center"/>
                </w:tcPr>
                <w:p>
                  <w:pPr>
                    <w:adjustRightInd w:val="0"/>
                    <w:snapToGrid w:val="0"/>
                    <w:ind w:left="-63" w:leftChars="-30" w:right="-63" w:rightChars="-30"/>
                    <w:jc w:val="center"/>
                    <w:rPr>
                      <w:b/>
                      <w:szCs w:val="21"/>
                    </w:rPr>
                  </w:pPr>
                  <w:r>
                    <w:rPr>
                      <w:b/>
                      <w:szCs w:val="21"/>
                    </w:rPr>
                    <w:t>危险废物名称</w:t>
                  </w:r>
                </w:p>
              </w:tc>
              <w:tc>
                <w:tcPr>
                  <w:tcW w:w="429" w:type="pct"/>
                  <w:tcBorders>
                    <w:top w:val="single" w:color="auto" w:sz="12" w:space="0"/>
                  </w:tcBorders>
                  <w:vAlign w:val="center"/>
                </w:tcPr>
                <w:p>
                  <w:pPr>
                    <w:adjustRightInd w:val="0"/>
                    <w:snapToGrid w:val="0"/>
                    <w:ind w:left="-63" w:leftChars="-30" w:right="-63" w:rightChars="-30"/>
                    <w:jc w:val="center"/>
                    <w:rPr>
                      <w:b/>
                      <w:szCs w:val="21"/>
                    </w:rPr>
                  </w:pPr>
                  <w:r>
                    <w:rPr>
                      <w:b/>
                      <w:szCs w:val="21"/>
                    </w:rPr>
                    <w:t>最大储存量/t</w:t>
                  </w:r>
                </w:p>
              </w:tc>
              <w:tc>
                <w:tcPr>
                  <w:tcW w:w="606" w:type="pct"/>
                  <w:tcBorders>
                    <w:top w:val="single" w:color="auto" w:sz="12" w:space="0"/>
                  </w:tcBorders>
                  <w:vAlign w:val="center"/>
                </w:tcPr>
                <w:p>
                  <w:pPr>
                    <w:adjustRightInd w:val="0"/>
                    <w:snapToGrid w:val="0"/>
                    <w:ind w:left="-63" w:leftChars="-30" w:right="-63" w:rightChars="-30"/>
                    <w:jc w:val="center"/>
                    <w:rPr>
                      <w:b/>
                      <w:szCs w:val="21"/>
                    </w:rPr>
                  </w:pPr>
                  <w:r>
                    <w:rPr>
                      <w:b/>
                      <w:szCs w:val="21"/>
                    </w:rPr>
                    <w:t>单位重量</w:t>
                  </w:r>
                </w:p>
              </w:tc>
              <w:tc>
                <w:tcPr>
                  <w:tcW w:w="607" w:type="pct"/>
                  <w:tcBorders>
                    <w:top w:val="single" w:color="auto" w:sz="12" w:space="0"/>
                  </w:tcBorders>
                  <w:vAlign w:val="center"/>
                </w:tcPr>
                <w:p>
                  <w:pPr>
                    <w:adjustRightInd w:val="0"/>
                    <w:snapToGrid w:val="0"/>
                    <w:ind w:left="-63" w:leftChars="-30" w:right="-63" w:rightChars="-30"/>
                    <w:jc w:val="center"/>
                    <w:rPr>
                      <w:b/>
                      <w:szCs w:val="21"/>
                    </w:rPr>
                  </w:pPr>
                  <w:r>
                    <w:rPr>
                      <w:b/>
                      <w:szCs w:val="21"/>
                    </w:rPr>
                    <w:t>单位占地面积</w:t>
                  </w:r>
                </w:p>
              </w:tc>
              <w:tc>
                <w:tcPr>
                  <w:tcW w:w="336" w:type="pct"/>
                  <w:tcBorders>
                    <w:top w:val="single" w:color="auto" w:sz="12" w:space="0"/>
                  </w:tcBorders>
                  <w:vAlign w:val="center"/>
                </w:tcPr>
                <w:p>
                  <w:pPr>
                    <w:adjustRightInd w:val="0"/>
                    <w:snapToGrid w:val="0"/>
                    <w:ind w:left="-63" w:leftChars="-30" w:right="-63" w:rightChars="-30"/>
                    <w:jc w:val="center"/>
                    <w:rPr>
                      <w:b/>
                      <w:szCs w:val="21"/>
                    </w:rPr>
                  </w:pPr>
                  <w:r>
                    <w:rPr>
                      <w:b/>
                      <w:szCs w:val="21"/>
                    </w:rPr>
                    <w:t>堆放层数</w:t>
                  </w:r>
                </w:p>
              </w:tc>
              <w:tc>
                <w:tcPr>
                  <w:tcW w:w="504" w:type="pct"/>
                  <w:tcBorders>
                    <w:top w:val="single" w:color="auto" w:sz="12" w:space="0"/>
                  </w:tcBorders>
                  <w:vAlign w:val="center"/>
                </w:tcPr>
                <w:p>
                  <w:pPr>
                    <w:adjustRightInd w:val="0"/>
                    <w:snapToGrid w:val="0"/>
                    <w:ind w:left="-63" w:leftChars="-30" w:right="-63" w:rightChars="-30"/>
                    <w:jc w:val="center"/>
                    <w:rPr>
                      <w:b/>
                      <w:szCs w:val="21"/>
                    </w:rPr>
                  </w:pPr>
                  <w:r>
                    <w:rPr>
                      <w:b/>
                      <w:szCs w:val="21"/>
                    </w:rPr>
                    <w:t>所需占地面积/m</w:t>
                  </w:r>
                  <w:r>
                    <w:rPr>
                      <w:b/>
                      <w:szCs w:val="21"/>
                      <w:vertAlign w:val="superscript"/>
                    </w:rPr>
                    <w:t>2</w:t>
                  </w:r>
                </w:p>
              </w:tc>
              <w:tc>
                <w:tcPr>
                  <w:tcW w:w="591" w:type="pct"/>
                  <w:tcBorders>
                    <w:top w:val="single" w:color="auto" w:sz="12" w:space="0"/>
                    <w:bottom w:val="single" w:color="auto" w:sz="2" w:space="0"/>
                  </w:tcBorders>
                  <w:vAlign w:val="center"/>
                </w:tcPr>
                <w:p>
                  <w:pPr>
                    <w:adjustRightInd w:val="0"/>
                    <w:snapToGrid w:val="0"/>
                    <w:ind w:left="-63" w:leftChars="-30" w:right="-63" w:rightChars="-30"/>
                    <w:jc w:val="center"/>
                    <w:rPr>
                      <w:b/>
                      <w:szCs w:val="21"/>
                    </w:rPr>
                  </w:pPr>
                  <w:r>
                    <w:rPr>
                      <w:b/>
                      <w:szCs w:val="21"/>
                    </w:rPr>
                    <w:t>危废暂存所需总面积/m</w:t>
                  </w:r>
                  <w:r>
                    <w:rPr>
                      <w:b/>
                      <w:szCs w:val="21"/>
                      <w:vertAlign w:val="superscript"/>
                    </w:rPr>
                    <w:t>2</w:t>
                  </w:r>
                </w:p>
              </w:tc>
              <w:tc>
                <w:tcPr>
                  <w:tcW w:w="535" w:type="pct"/>
                  <w:tcBorders>
                    <w:top w:val="single" w:color="auto" w:sz="12" w:space="0"/>
                  </w:tcBorders>
                  <w:vAlign w:val="center"/>
                </w:tcPr>
                <w:p>
                  <w:pPr>
                    <w:adjustRightInd w:val="0"/>
                    <w:snapToGrid w:val="0"/>
                    <w:ind w:left="-63" w:leftChars="-30" w:right="-63" w:rightChars="-30"/>
                    <w:jc w:val="center"/>
                    <w:rPr>
                      <w:b/>
                      <w:szCs w:val="21"/>
                    </w:rPr>
                  </w:pPr>
                  <w:r>
                    <w:rPr>
                      <w:b/>
                      <w:szCs w:val="21"/>
                    </w:rPr>
                    <w:t>周转周期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vAlign w:val="center"/>
                </w:tcPr>
                <w:p>
                  <w:pPr>
                    <w:adjustRightInd w:val="0"/>
                    <w:snapToGrid w:val="0"/>
                    <w:ind w:left="-63" w:leftChars="-30" w:right="-63" w:rightChars="-30"/>
                    <w:jc w:val="center"/>
                    <w:rPr>
                      <w:szCs w:val="21"/>
                    </w:rPr>
                  </w:pPr>
                  <w:r>
                    <w:rPr>
                      <w:szCs w:val="21"/>
                    </w:rPr>
                    <w:t>1</w:t>
                  </w:r>
                </w:p>
              </w:tc>
              <w:tc>
                <w:tcPr>
                  <w:tcW w:w="498" w:type="pct"/>
                  <w:vMerge w:val="restart"/>
                  <w:vAlign w:val="center"/>
                </w:tcPr>
                <w:p>
                  <w:pPr>
                    <w:pStyle w:val="5"/>
                    <w:adjustRightInd w:val="0"/>
                    <w:snapToGrid w:val="0"/>
                    <w:ind w:left="-63" w:leftChars="-30" w:right="-63" w:rightChars="-30" w:firstLine="105" w:firstLineChars="50"/>
                    <w:jc w:val="center"/>
                    <w:rPr>
                      <w:rFonts w:ascii="Times New Roman" w:hAnsi="Times New Roman"/>
                      <w:szCs w:val="21"/>
                    </w:rPr>
                  </w:pPr>
                  <w:r>
                    <w:rPr>
                      <w:rFonts w:ascii="Times New Roman" w:hAnsi="Times New Roman"/>
                      <w:szCs w:val="21"/>
                    </w:rPr>
                    <w:t>危废仓库</w:t>
                  </w:r>
                </w:p>
              </w:tc>
              <w:tc>
                <w:tcPr>
                  <w:tcW w:w="631" w:type="pct"/>
                  <w:vAlign w:val="center"/>
                </w:tcPr>
                <w:p>
                  <w:pPr>
                    <w:pStyle w:val="5"/>
                    <w:adjustRightInd w:val="0"/>
                    <w:snapToGrid w:val="0"/>
                    <w:ind w:firstLine="0"/>
                    <w:jc w:val="center"/>
                    <w:rPr>
                      <w:rFonts w:ascii="Times New Roman" w:hAnsi="Times New Roman"/>
                      <w:szCs w:val="21"/>
                    </w:rPr>
                  </w:pPr>
                  <w:r>
                    <w:rPr>
                      <w:rFonts w:ascii="Times New Roman" w:hAnsi="Times New Roman"/>
                      <w:szCs w:val="21"/>
                    </w:rPr>
                    <w:t>废导热油</w:t>
                  </w:r>
                </w:p>
              </w:tc>
              <w:tc>
                <w:tcPr>
                  <w:tcW w:w="429" w:type="pct"/>
                  <w:vAlign w:val="center"/>
                </w:tcPr>
                <w:p>
                  <w:pPr>
                    <w:adjustRightInd w:val="0"/>
                    <w:snapToGrid w:val="0"/>
                    <w:jc w:val="center"/>
                    <w:rPr>
                      <w:szCs w:val="21"/>
                    </w:rPr>
                  </w:pPr>
                  <w:r>
                    <w:rPr>
                      <w:szCs w:val="21"/>
                    </w:rPr>
                    <w:t>10</w:t>
                  </w:r>
                </w:p>
              </w:tc>
              <w:tc>
                <w:tcPr>
                  <w:tcW w:w="606" w:type="pct"/>
                  <w:vAlign w:val="center"/>
                </w:tcPr>
                <w:p>
                  <w:pPr>
                    <w:adjustRightInd w:val="0"/>
                    <w:snapToGrid w:val="0"/>
                    <w:ind w:left="-63" w:leftChars="-30" w:right="-63" w:rightChars="-30"/>
                    <w:jc w:val="center"/>
                    <w:rPr>
                      <w:szCs w:val="21"/>
                    </w:rPr>
                  </w:pPr>
                  <w:r>
                    <w:rPr>
                      <w:szCs w:val="21"/>
                    </w:rPr>
                    <w:t>0.17t/桶</w:t>
                  </w:r>
                </w:p>
              </w:tc>
              <w:tc>
                <w:tcPr>
                  <w:tcW w:w="607" w:type="pct"/>
                  <w:vAlign w:val="center"/>
                </w:tcPr>
                <w:p>
                  <w:pPr>
                    <w:adjustRightInd w:val="0"/>
                    <w:snapToGrid w:val="0"/>
                    <w:ind w:left="-63" w:leftChars="-30" w:right="-63" w:rightChars="-30"/>
                    <w:jc w:val="center"/>
                    <w:rPr>
                      <w:szCs w:val="21"/>
                    </w:rPr>
                  </w:pPr>
                  <w:r>
                    <w:rPr>
                      <w:szCs w:val="21"/>
                    </w:rPr>
                    <w:t>0.4m</w:t>
                  </w:r>
                  <w:r>
                    <w:rPr>
                      <w:szCs w:val="21"/>
                      <w:vertAlign w:val="superscript"/>
                    </w:rPr>
                    <w:t>2</w:t>
                  </w:r>
                  <w:r>
                    <w:rPr>
                      <w:szCs w:val="21"/>
                    </w:rPr>
                    <w:t>/桶</w:t>
                  </w:r>
                </w:p>
              </w:tc>
              <w:tc>
                <w:tcPr>
                  <w:tcW w:w="336" w:type="pct"/>
                  <w:vAlign w:val="center"/>
                </w:tcPr>
                <w:p>
                  <w:pPr>
                    <w:jc w:val="center"/>
                    <w:rPr>
                      <w:szCs w:val="21"/>
                    </w:rPr>
                  </w:pPr>
                  <w:r>
                    <w:rPr>
                      <w:szCs w:val="21"/>
                    </w:rPr>
                    <w:t>2</w:t>
                  </w:r>
                </w:p>
              </w:tc>
              <w:tc>
                <w:tcPr>
                  <w:tcW w:w="504" w:type="pct"/>
                  <w:vAlign w:val="center"/>
                </w:tcPr>
                <w:p>
                  <w:pPr>
                    <w:adjustRightInd w:val="0"/>
                    <w:snapToGrid w:val="0"/>
                    <w:ind w:left="-63" w:leftChars="-30" w:right="-63" w:rightChars="-30"/>
                    <w:jc w:val="center"/>
                    <w:rPr>
                      <w:szCs w:val="21"/>
                    </w:rPr>
                  </w:pPr>
                  <w:r>
                    <w:rPr>
                      <w:szCs w:val="21"/>
                    </w:rPr>
                    <w:t>12</w:t>
                  </w:r>
                </w:p>
              </w:tc>
              <w:tc>
                <w:tcPr>
                  <w:tcW w:w="591" w:type="pct"/>
                  <w:vMerge w:val="restart"/>
                  <w:vAlign w:val="center"/>
                </w:tcPr>
                <w:p>
                  <w:pPr>
                    <w:jc w:val="center"/>
                    <w:rPr>
                      <w:szCs w:val="21"/>
                    </w:rPr>
                  </w:pPr>
                  <w:r>
                    <w:rPr>
                      <w:szCs w:val="21"/>
                    </w:rPr>
                    <w:t>13.5</w:t>
                  </w:r>
                </w:p>
              </w:tc>
              <w:tc>
                <w:tcPr>
                  <w:tcW w:w="535" w:type="pct"/>
                  <w:vAlign w:val="center"/>
                </w:tcPr>
                <w:p>
                  <w:pPr>
                    <w:jc w:val="center"/>
                    <w:rPr>
                      <w:szCs w:val="21"/>
                    </w:rPr>
                  </w:pPr>
                  <w:r>
                    <w:rPr>
                      <w:szCs w:val="21"/>
                    </w:rPr>
                    <w:t>6个月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tcBorders>
                    <w:bottom w:val="single" w:color="auto" w:sz="12" w:space="0"/>
                  </w:tcBorders>
                  <w:vAlign w:val="center"/>
                </w:tcPr>
                <w:p>
                  <w:pPr>
                    <w:adjustRightInd w:val="0"/>
                    <w:snapToGrid w:val="0"/>
                    <w:ind w:left="-63" w:leftChars="-30" w:right="-63" w:rightChars="-30"/>
                    <w:jc w:val="center"/>
                    <w:rPr>
                      <w:szCs w:val="21"/>
                    </w:rPr>
                  </w:pPr>
                  <w:r>
                    <w:rPr>
                      <w:szCs w:val="21"/>
                    </w:rPr>
                    <w:t>2</w:t>
                  </w:r>
                </w:p>
              </w:tc>
              <w:tc>
                <w:tcPr>
                  <w:tcW w:w="498" w:type="pct"/>
                  <w:vMerge w:val="continue"/>
                  <w:tcBorders>
                    <w:bottom w:val="single" w:color="auto" w:sz="12" w:space="0"/>
                  </w:tcBorders>
                  <w:vAlign w:val="center"/>
                </w:tcPr>
                <w:p>
                  <w:pPr>
                    <w:pStyle w:val="5"/>
                    <w:adjustRightInd w:val="0"/>
                    <w:snapToGrid w:val="0"/>
                    <w:ind w:left="-63" w:leftChars="-30" w:right="-63" w:rightChars="-30" w:firstLine="105" w:firstLineChars="50"/>
                    <w:jc w:val="center"/>
                    <w:rPr>
                      <w:rFonts w:ascii="Times New Roman" w:hAnsi="Times New Roman"/>
                      <w:szCs w:val="21"/>
                    </w:rPr>
                  </w:pPr>
                </w:p>
              </w:tc>
              <w:tc>
                <w:tcPr>
                  <w:tcW w:w="631" w:type="pct"/>
                  <w:tcBorders>
                    <w:bottom w:val="single" w:color="auto" w:sz="12" w:space="0"/>
                  </w:tcBorders>
                  <w:vAlign w:val="center"/>
                </w:tcPr>
                <w:p>
                  <w:pPr>
                    <w:pStyle w:val="5"/>
                    <w:adjustRightInd w:val="0"/>
                    <w:snapToGrid w:val="0"/>
                    <w:ind w:firstLine="0"/>
                    <w:jc w:val="center"/>
                    <w:rPr>
                      <w:rFonts w:ascii="Times New Roman" w:hAnsi="Times New Roman"/>
                      <w:szCs w:val="21"/>
                    </w:rPr>
                  </w:pPr>
                  <w:r>
                    <w:rPr>
                      <w:rFonts w:ascii="Times New Roman" w:hAnsi="Times New Roman"/>
                      <w:szCs w:val="21"/>
                    </w:rPr>
                    <w:t>废包装桶</w:t>
                  </w:r>
                </w:p>
              </w:tc>
              <w:tc>
                <w:tcPr>
                  <w:tcW w:w="429" w:type="pct"/>
                  <w:tcBorders>
                    <w:bottom w:val="single" w:color="auto" w:sz="12" w:space="0"/>
                  </w:tcBorders>
                  <w:vAlign w:val="center"/>
                </w:tcPr>
                <w:p>
                  <w:pPr>
                    <w:adjustRightInd w:val="0"/>
                    <w:snapToGrid w:val="0"/>
                    <w:jc w:val="center"/>
                    <w:rPr>
                      <w:szCs w:val="21"/>
                    </w:rPr>
                  </w:pPr>
                  <w:r>
                    <w:rPr>
                      <w:szCs w:val="21"/>
                    </w:rPr>
                    <w:t>3</w:t>
                  </w:r>
                </w:p>
              </w:tc>
              <w:tc>
                <w:tcPr>
                  <w:tcW w:w="606" w:type="pct"/>
                  <w:tcBorders>
                    <w:bottom w:val="single" w:color="auto" w:sz="12" w:space="0"/>
                  </w:tcBorders>
                  <w:vAlign w:val="center"/>
                </w:tcPr>
                <w:p>
                  <w:pPr>
                    <w:adjustRightInd w:val="0"/>
                    <w:snapToGrid w:val="0"/>
                    <w:ind w:left="-63" w:leftChars="-30" w:right="-63" w:rightChars="-30"/>
                    <w:jc w:val="center"/>
                    <w:rPr>
                      <w:szCs w:val="21"/>
                    </w:rPr>
                  </w:pPr>
                  <w:r>
                    <w:rPr>
                      <w:szCs w:val="21"/>
                    </w:rPr>
                    <w:t>0.02t/个</w:t>
                  </w:r>
                </w:p>
              </w:tc>
              <w:tc>
                <w:tcPr>
                  <w:tcW w:w="607" w:type="pct"/>
                  <w:tcBorders>
                    <w:bottom w:val="single" w:color="auto" w:sz="12" w:space="0"/>
                  </w:tcBorders>
                  <w:vAlign w:val="center"/>
                </w:tcPr>
                <w:p>
                  <w:pPr>
                    <w:adjustRightInd w:val="0"/>
                    <w:snapToGrid w:val="0"/>
                    <w:ind w:left="-63" w:leftChars="-30" w:right="-63" w:rightChars="-30"/>
                    <w:jc w:val="center"/>
                    <w:rPr>
                      <w:szCs w:val="21"/>
                    </w:rPr>
                  </w:pPr>
                  <w:r>
                    <w:rPr>
                      <w:szCs w:val="21"/>
                    </w:rPr>
                    <w:t>0.4m</w:t>
                  </w:r>
                  <w:r>
                    <w:rPr>
                      <w:szCs w:val="21"/>
                      <w:vertAlign w:val="superscript"/>
                    </w:rPr>
                    <w:t>2</w:t>
                  </w:r>
                  <w:r>
                    <w:rPr>
                      <w:szCs w:val="21"/>
                    </w:rPr>
                    <w:t>/个</w:t>
                  </w:r>
                </w:p>
              </w:tc>
              <w:tc>
                <w:tcPr>
                  <w:tcW w:w="336" w:type="pct"/>
                  <w:tcBorders>
                    <w:bottom w:val="single" w:color="auto" w:sz="12" w:space="0"/>
                  </w:tcBorders>
                  <w:vAlign w:val="center"/>
                </w:tcPr>
                <w:p>
                  <w:pPr>
                    <w:jc w:val="center"/>
                    <w:rPr>
                      <w:szCs w:val="21"/>
                    </w:rPr>
                  </w:pPr>
                  <w:r>
                    <w:rPr>
                      <w:szCs w:val="21"/>
                    </w:rPr>
                    <w:t>1</w:t>
                  </w:r>
                </w:p>
              </w:tc>
              <w:tc>
                <w:tcPr>
                  <w:tcW w:w="504" w:type="pct"/>
                  <w:tcBorders>
                    <w:bottom w:val="single" w:color="auto" w:sz="12" w:space="0"/>
                  </w:tcBorders>
                  <w:vAlign w:val="center"/>
                </w:tcPr>
                <w:p>
                  <w:pPr>
                    <w:adjustRightInd w:val="0"/>
                    <w:snapToGrid w:val="0"/>
                    <w:ind w:left="-63" w:leftChars="-30" w:right="-63" w:rightChars="-30"/>
                    <w:jc w:val="center"/>
                    <w:rPr>
                      <w:szCs w:val="21"/>
                    </w:rPr>
                  </w:pPr>
                  <w:r>
                    <w:rPr>
                      <w:szCs w:val="21"/>
                    </w:rPr>
                    <w:t>1.5</w:t>
                  </w:r>
                </w:p>
              </w:tc>
              <w:tc>
                <w:tcPr>
                  <w:tcW w:w="591" w:type="pct"/>
                  <w:vMerge w:val="continue"/>
                  <w:tcBorders>
                    <w:bottom w:val="single" w:color="auto" w:sz="12" w:space="0"/>
                  </w:tcBorders>
                  <w:vAlign w:val="center"/>
                </w:tcPr>
                <w:p>
                  <w:pPr>
                    <w:jc w:val="center"/>
                    <w:rPr>
                      <w:szCs w:val="21"/>
                    </w:rPr>
                  </w:pPr>
                </w:p>
              </w:tc>
              <w:tc>
                <w:tcPr>
                  <w:tcW w:w="535" w:type="pct"/>
                  <w:tcBorders>
                    <w:bottom w:val="single" w:color="auto" w:sz="12" w:space="0"/>
                  </w:tcBorders>
                  <w:vAlign w:val="center"/>
                </w:tcPr>
                <w:p>
                  <w:pPr>
                    <w:jc w:val="center"/>
                    <w:rPr>
                      <w:szCs w:val="21"/>
                    </w:rPr>
                  </w:pPr>
                  <w:r>
                    <w:rPr>
                      <w:szCs w:val="21"/>
                    </w:rPr>
                    <w:t>1年</w:t>
                  </w:r>
                </w:p>
              </w:tc>
            </w:tr>
          </w:tbl>
          <w:p>
            <w:pPr>
              <w:adjustRightInd w:val="0"/>
              <w:snapToGrid w:val="0"/>
              <w:spacing w:line="360" w:lineRule="auto"/>
              <w:ind w:firstLine="480" w:firstLineChars="200"/>
              <w:rPr>
                <w:bCs/>
                <w:sz w:val="24"/>
              </w:rPr>
            </w:pPr>
            <w:r>
              <w:rPr>
                <w:bCs/>
                <w:sz w:val="24"/>
              </w:rPr>
              <w:t>由上表可知2号危废仓库原有项目所用面积为15m</w:t>
            </w:r>
            <w:r>
              <w:rPr>
                <w:bCs/>
                <w:sz w:val="24"/>
                <w:vertAlign w:val="superscript"/>
              </w:rPr>
              <w:t>2</w:t>
            </w:r>
            <w:r>
              <w:rPr>
                <w:bCs/>
                <w:sz w:val="24"/>
              </w:rPr>
              <w:t>，本项目所需面积为2m</w:t>
            </w:r>
            <w:r>
              <w:rPr>
                <w:bCs/>
                <w:sz w:val="24"/>
                <w:vertAlign w:val="superscript"/>
              </w:rPr>
              <w:t>2</w:t>
            </w:r>
            <w:r>
              <w:rPr>
                <w:bCs/>
                <w:sz w:val="24"/>
              </w:rPr>
              <w:t>，15+13.5=28.5&lt;30m</w:t>
            </w:r>
            <w:r>
              <w:rPr>
                <w:bCs/>
                <w:sz w:val="24"/>
                <w:vertAlign w:val="superscript"/>
              </w:rPr>
              <w:t>2</w:t>
            </w:r>
            <w:r>
              <w:rPr>
                <w:bCs/>
                <w:sz w:val="24"/>
              </w:rPr>
              <w:t>，故本项目依托原有危废仓库可行。</w:t>
            </w:r>
          </w:p>
          <w:p>
            <w:pPr>
              <w:pStyle w:val="5"/>
              <w:adjustRightInd w:val="0"/>
              <w:snapToGrid w:val="0"/>
              <w:spacing w:line="360" w:lineRule="auto"/>
              <w:ind w:firstLine="480" w:firstLineChars="200"/>
              <w:rPr>
                <w:rFonts w:ascii="Times New Roman" w:hAnsi="Times New Roman"/>
                <w:bCs/>
                <w:sz w:val="24"/>
              </w:rPr>
            </w:pPr>
            <w:r>
              <w:rPr>
                <w:rFonts w:ascii="Times New Roman" w:hAnsi="Times New Roman"/>
                <w:bCs/>
                <w:sz w:val="24"/>
                <w:szCs w:val="24"/>
              </w:rPr>
              <w:t>根据《省生态环境厅关于进一步加强危险废物污染防治工作的实施意见》（苏环办[2019]327号）要求：①强化危废申报登记。应按规定申报危废产生、贮存、转移、利用处置等信息，制定危险废物年度管理计划，并在“江苏省危险废物动态管理信息系统”中备案。管理计划如需调整变更的，应重新在系统中申请备案。应结合自身实际，建立危废台账，如实记载危险废物种类、数量、性质、产生环节、流向、贮存、利用处理等信息，并在“江苏省危险废物动态管理信息系统”中进行如实规范申报，申报数据应与台账、管理计划数据相一致。②落实信息公开制度。按照要求在厂门口显著位置设置危险废物信息公开栏，主动公开危险废物产生、利用处置等情况；有官方网站的，在官网同时公开相关信息。</w:t>
            </w:r>
          </w:p>
          <w:p>
            <w:pPr>
              <w:pStyle w:val="5"/>
              <w:adjustRightInd w:val="0"/>
              <w:snapToGrid w:val="0"/>
              <w:spacing w:line="360" w:lineRule="auto"/>
              <w:ind w:firstLine="0"/>
              <w:rPr>
                <w:rFonts w:ascii="Times New Roman" w:hAnsi="Times New Roman"/>
                <w:b/>
                <w:bCs/>
                <w:sz w:val="24"/>
                <w:szCs w:val="24"/>
              </w:rPr>
            </w:pPr>
            <w:r>
              <w:rPr>
                <w:rFonts w:ascii="Times New Roman" w:hAnsi="Times New Roman"/>
                <w:b/>
                <w:bCs/>
                <w:sz w:val="24"/>
                <w:szCs w:val="24"/>
              </w:rPr>
              <w:t>5、地下水环境影响分析</w:t>
            </w:r>
          </w:p>
          <w:p>
            <w:pPr>
              <w:adjustRightInd w:val="0"/>
              <w:snapToGrid w:val="0"/>
              <w:spacing w:line="360" w:lineRule="auto"/>
              <w:ind w:firstLine="520" w:firstLineChars="217"/>
              <w:rPr>
                <w:sz w:val="24"/>
              </w:rPr>
            </w:pPr>
            <w:r>
              <w:rPr>
                <w:sz w:val="24"/>
              </w:rPr>
              <w:t>本项目为热力生产和供应工程项目，对照《环境影响评价技术导则—地下水环境》（HJ610-2016），本项目属于142热力生产和供应工程，属于IV类项目，无需开展地下水环境影响评价。</w:t>
            </w:r>
          </w:p>
          <w:p>
            <w:pPr>
              <w:pStyle w:val="5"/>
              <w:adjustRightInd w:val="0"/>
              <w:snapToGrid w:val="0"/>
              <w:spacing w:line="360" w:lineRule="auto"/>
              <w:ind w:firstLine="0"/>
              <w:rPr>
                <w:rFonts w:ascii="Times New Roman" w:hAnsi="Times New Roman"/>
                <w:b/>
                <w:bCs/>
                <w:sz w:val="24"/>
                <w:szCs w:val="24"/>
              </w:rPr>
            </w:pPr>
            <w:r>
              <w:rPr>
                <w:rFonts w:ascii="Times New Roman" w:hAnsi="Times New Roman"/>
                <w:b/>
                <w:bCs/>
                <w:sz w:val="24"/>
                <w:szCs w:val="24"/>
              </w:rPr>
              <w:t>6、土壤环境影响分析</w:t>
            </w:r>
          </w:p>
          <w:p>
            <w:pPr>
              <w:spacing w:line="360" w:lineRule="auto"/>
              <w:ind w:firstLine="482"/>
              <w:rPr>
                <w:sz w:val="24"/>
                <w:szCs w:val="21"/>
              </w:rPr>
            </w:pPr>
            <w:r>
              <w:rPr>
                <w:sz w:val="24"/>
                <w:szCs w:val="21"/>
              </w:rPr>
              <w:t>根据《环境影响评价技术导则 土壤环境》（HJ 964-2018），本项目所在厂区占地面积为2.3425hm</w:t>
            </w:r>
            <w:r>
              <w:rPr>
                <w:sz w:val="24"/>
                <w:szCs w:val="21"/>
                <w:vertAlign w:val="superscript"/>
              </w:rPr>
              <w:t>2</w:t>
            </w:r>
            <w:r>
              <w:rPr>
                <w:sz w:val="24"/>
                <w:szCs w:val="21"/>
              </w:rPr>
              <w:t>，</w:t>
            </w:r>
            <w:r>
              <w:rPr>
                <w:b/>
                <w:sz w:val="24"/>
                <w:szCs w:val="21"/>
              </w:rPr>
              <w:t>占地规模为小型（≤5hm</w:t>
            </w:r>
            <w:r>
              <w:rPr>
                <w:b/>
                <w:sz w:val="24"/>
                <w:szCs w:val="21"/>
                <w:vertAlign w:val="superscript"/>
              </w:rPr>
              <w:t>2</w:t>
            </w:r>
            <w:r>
              <w:rPr>
                <w:b/>
                <w:sz w:val="24"/>
                <w:szCs w:val="21"/>
              </w:rPr>
              <w:t>）</w:t>
            </w:r>
            <w:r>
              <w:rPr>
                <w:sz w:val="24"/>
                <w:szCs w:val="21"/>
              </w:rPr>
              <w:t>；本项目厂区周边涉及</w:t>
            </w:r>
            <w:r>
              <w:rPr>
                <w:sz w:val="24"/>
              </w:rPr>
              <w:t>土壤环境敏感目标，</w:t>
            </w:r>
            <w:r>
              <w:rPr>
                <w:sz w:val="24"/>
                <w:szCs w:val="21"/>
              </w:rPr>
              <w:t>本项目厂区所在地周边土壤敏感程度见表4-1</w:t>
            </w:r>
            <w:r>
              <w:rPr>
                <w:rFonts w:hint="eastAsia"/>
                <w:sz w:val="24"/>
                <w:szCs w:val="21"/>
              </w:rPr>
              <w:t>6</w:t>
            </w:r>
            <w:r>
              <w:rPr>
                <w:sz w:val="24"/>
                <w:szCs w:val="21"/>
              </w:rPr>
              <w:t>；根据附录A.1，本项目土壤环境影响评价类型分类见表4-1</w:t>
            </w:r>
            <w:r>
              <w:rPr>
                <w:rFonts w:hint="eastAsia"/>
                <w:sz w:val="24"/>
                <w:szCs w:val="21"/>
              </w:rPr>
              <w:t>7</w:t>
            </w:r>
            <w:r>
              <w:rPr>
                <w:sz w:val="24"/>
                <w:szCs w:val="21"/>
              </w:rPr>
              <w:t>。</w:t>
            </w:r>
          </w:p>
          <w:p>
            <w:pPr>
              <w:jc w:val="center"/>
              <w:rPr>
                <w:b/>
                <w:sz w:val="24"/>
                <w:szCs w:val="21"/>
              </w:rPr>
            </w:pPr>
            <w:r>
              <w:rPr>
                <w:b/>
                <w:sz w:val="24"/>
                <w:szCs w:val="21"/>
              </w:rPr>
              <w:t>表4-1</w:t>
            </w:r>
            <w:r>
              <w:rPr>
                <w:rFonts w:hint="eastAsia"/>
                <w:b/>
                <w:sz w:val="24"/>
                <w:szCs w:val="21"/>
                <w:lang w:val="en-US" w:eastAsia="zh-CN"/>
              </w:rPr>
              <w:t>5</w:t>
            </w:r>
            <w:r>
              <w:rPr>
                <w:b/>
                <w:sz w:val="24"/>
                <w:szCs w:val="21"/>
              </w:rPr>
              <w:t xml:space="preserve">  本项目土壤环境影响评价项目类别</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4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pct"/>
                  <w:vAlign w:val="center"/>
                </w:tcPr>
                <w:p>
                  <w:pPr>
                    <w:adjustRightInd w:val="0"/>
                    <w:snapToGrid w:val="0"/>
                    <w:jc w:val="center"/>
                    <w:rPr>
                      <w:b/>
                      <w:szCs w:val="21"/>
                    </w:rPr>
                  </w:pPr>
                  <w:r>
                    <w:rPr>
                      <w:b/>
                      <w:szCs w:val="21"/>
                    </w:rPr>
                    <w:t>敏感程度</w:t>
                  </w:r>
                </w:p>
              </w:tc>
              <w:tc>
                <w:tcPr>
                  <w:tcW w:w="3865" w:type="pct"/>
                  <w:vAlign w:val="center"/>
                </w:tcPr>
                <w:p>
                  <w:pPr>
                    <w:adjustRightInd w:val="0"/>
                    <w:snapToGrid w:val="0"/>
                    <w:jc w:val="center"/>
                    <w:rPr>
                      <w:b/>
                      <w:szCs w:val="21"/>
                    </w:rPr>
                  </w:pPr>
                  <w:r>
                    <w:rPr>
                      <w:b/>
                      <w:szCs w:val="21"/>
                    </w:rPr>
                    <w:t>判别依据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pct"/>
                  <w:shd w:val="clear" w:color="auto" w:fill="BEBEBE" w:themeFill="background1" w:themeFillShade="BF"/>
                  <w:vAlign w:val="center"/>
                </w:tcPr>
                <w:p>
                  <w:pPr>
                    <w:adjustRightInd w:val="0"/>
                    <w:snapToGrid w:val="0"/>
                    <w:jc w:val="center"/>
                    <w:rPr>
                      <w:szCs w:val="21"/>
                    </w:rPr>
                  </w:pPr>
                  <w:r>
                    <w:rPr>
                      <w:szCs w:val="21"/>
                    </w:rPr>
                    <w:t>敏感</w:t>
                  </w:r>
                </w:p>
              </w:tc>
              <w:tc>
                <w:tcPr>
                  <w:tcW w:w="3865" w:type="pct"/>
                  <w:shd w:val="clear" w:color="auto" w:fill="BEBEBE" w:themeFill="background1" w:themeFillShade="BF"/>
                  <w:vAlign w:val="center"/>
                </w:tcPr>
                <w:p>
                  <w:pPr>
                    <w:adjustRightInd w:val="0"/>
                    <w:snapToGrid w:val="0"/>
                    <w:jc w:val="center"/>
                    <w:rPr>
                      <w:szCs w:val="21"/>
                    </w:rPr>
                  </w:pPr>
                  <w:r>
                    <w:rPr>
                      <w:szCs w:val="21"/>
                    </w:rPr>
                    <w:t>建设项目周边存在耕地、园林、牧草地、饮用水水源地或居民区、学校、医院、疗养院、养老院等土壤环境敏感目标的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pct"/>
                  <w:tcBorders>
                    <w:bottom w:val="single" w:color="auto" w:sz="4" w:space="0"/>
                  </w:tcBorders>
                  <w:vAlign w:val="center"/>
                </w:tcPr>
                <w:p>
                  <w:pPr>
                    <w:adjustRightInd w:val="0"/>
                    <w:snapToGrid w:val="0"/>
                    <w:jc w:val="center"/>
                    <w:rPr>
                      <w:szCs w:val="21"/>
                    </w:rPr>
                  </w:pPr>
                  <w:r>
                    <w:rPr>
                      <w:szCs w:val="21"/>
                    </w:rPr>
                    <w:t>较敏感</w:t>
                  </w:r>
                </w:p>
              </w:tc>
              <w:tc>
                <w:tcPr>
                  <w:tcW w:w="3865" w:type="pct"/>
                  <w:tcBorders>
                    <w:bottom w:val="single" w:color="auto" w:sz="4" w:space="0"/>
                  </w:tcBorders>
                  <w:vAlign w:val="center"/>
                </w:tcPr>
                <w:p>
                  <w:pPr>
                    <w:adjustRightInd w:val="0"/>
                    <w:snapToGrid w:val="0"/>
                    <w:jc w:val="center"/>
                    <w:rPr>
                      <w:szCs w:val="21"/>
                    </w:rPr>
                  </w:pPr>
                  <w:r>
                    <w:rPr>
                      <w:szCs w:val="21"/>
                    </w:rPr>
                    <w:t>建设项目周边存在其他土壤环境敏感目标的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1135" w:type="pct"/>
                  <w:tcBorders>
                    <w:top w:val="single" w:color="auto" w:sz="4" w:space="0"/>
                  </w:tcBorders>
                  <w:shd w:val="clear" w:color="auto" w:fill="auto"/>
                  <w:vAlign w:val="center"/>
                </w:tcPr>
                <w:p>
                  <w:pPr>
                    <w:adjustRightInd w:val="0"/>
                    <w:snapToGrid w:val="0"/>
                    <w:jc w:val="center"/>
                    <w:rPr>
                      <w:szCs w:val="21"/>
                    </w:rPr>
                  </w:pPr>
                  <w:r>
                    <w:rPr>
                      <w:szCs w:val="21"/>
                    </w:rPr>
                    <w:t>不敏感</w:t>
                  </w:r>
                </w:p>
              </w:tc>
              <w:tc>
                <w:tcPr>
                  <w:tcW w:w="3865" w:type="pct"/>
                  <w:tcBorders>
                    <w:top w:val="single" w:color="auto" w:sz="4" w:space="0"/>
                  </w:tcBorders>
                  <w:shd w:val="clear" w:color="auto" w:fill="auto"/>
                  <w:vAlign w:val="center"/>
                </w:tcPr>
                <w:p>
                  <w:pPr>
                    <w:adjustRightInd w:val="0"/>
                    <w:snapToGrid w:val="0"/>
                    <w:jc w:val="center"/>
                    <w:rPr>
                      <w:szCs w:val="21"/>
                    </w:rPr>
                  </w:pPr>
                  <w:r>
                    <w:rPr>
                      <w:szCs w:val="21"/>
                    </w:rPr>
                    <w:t>其他情况</w:t>
                  </w:r>
                </w:p>
              </w:tc>
            </w:tr>
          </w:tbl>
          <w:p>
            <w:pPr>
              <w:jc w:val="center"/>
              <w:rPr>
                <w:b/>
                <w:sz w:val="24"/>
                <w:szCs w:val="21"/>
              </w:rPr>
            </w:pPr>
            <w:r>
              <w:rPr>
                <w:b/>
                <w:sz w:val="24"/>
                <w:szCs w:val="21"/>
              </w:rPr>
              <w:t>表4-1</w:t>
            </w:r>
            <w:r>
              <w:rPr>
                <w:rFonts w:hint="eastAsia"/>
                <w:b/>
                <w:sz w:val="24"/>
                <w:szCs w:val="21"/>
                <w:lang w:val="en-US" w:eastAsia="zh-CN"/>
              </w:rPr>
              <w:t>6</w:t>
            </w:r>
            <w:r>
              <w:rPr>
                <w:b/>
                <w:sz w:val="24"/>
                <w:szCs w:val="21"/>
              </w:rPr>
              <w:t xml:space="preserve">  本项目土壤环境影响评价项目类别</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042"/>
              <w:gridCol w:w="2284"/>
              <w:gridCol w:w="2553"/>
              <w:gridCol w:w="10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3" w:type="pct"/>
                  <w:vMerge w:val="restart"/>
                  <w:vAlign w:val="center"/>
                </w:tcPr>
                <w:p>
                  <w:pPr>
                    <w:adjustRightInd w:val="0"/>
                    <w:snapToGrid w:val="0"/>
                    <w:jc w:val="center"/>
                    <w:rPr>
                      <w:b/>
                      <w:szCs w:val="21"/>
                    </w:rPr>
                  </w:pPr>
                  <w:r>
                    <w:rPr>
                      <w:b/>
                      <w:szCs w:val="21"/>
                    </w:rPr>
                    <w:t>行业类别</w:t>
                  </w:r>
                </w:p>
              </w:tc>
              <w:tc>
                <w:tcPr>
                  <w:tcW w:w="4146" w:type="pct"/>
                  <w:gridSpan w:val="4"/>
                  <w:vAlign w:val="center"/>
                </w:tcPr>
                <w:p>
                  <w:pPr>
                    <w:adjustRightInd w:val="0"/>
                    <w:snapToGrid w:val="0"/>
                    <w:jc w:val="center"/>
                    <w:rPr>
                      <w:b/>
                      <w:szCs w:val="21"/>
                    </w:rPr>
                  </w:pPr>
                  <w:r>
                    <w:rPr>
                      <w:b/>
                      <w:szCs w:val="21"/>
                    </w:rPr>
                    <w:t>项目类别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3" w:type="pct"/>
                  <w:vMerge w:val="continue"/>
                  <w:shd w:val="clear" w:color="auto" w:fill="auto"/>
                  <w:vAlign w:val="center"/>
                </w:tcPr>
                <w:p>
                  <w:pPr>
                    <w:adjustRightInd w:val="0"/>
                    <w:snapToGrid w:val="0"/>
                    <w:jc w:val="center"/>
                    <w:rPr>
                      <w:b/>
                      <w:szCs w:val="21"/>
                    </w:rPr>
                  </w:pPr>
                </w:p>
              </w:tc>
              <w:tc>
                <w:tcPr>
                  <w:tcW w:w="619" w:type="pct"/>
                  <w:shd w:val="clear" w:color="auto" w:fill="auto"/>
                  <w:vAlign w:val="center"/>
                </w:tcPr>
                <w:p>
                  <w:pPr>
                    <w:adjustRightInd w:val="0"/>
                    <w:snapToGrid w:val="0"/>
                    <w:jc w:val="center"/>
                    <w:rPr>
                      <w:b/>
                      <w:szCs w:val="21"/>
                    </w:rPr>
                  </w:pPr>
                  <w:r>
                    <w:rPr>
                      <w:b/>
                      <w:szCs w:val="21"/>
                    </w:rPr>
                    <w:t>I类</w:t>
                  </w:r>
                </w:p>
              </w:tc>
              <w:tc>
                <w:tcPr>
                  <w:tcW w:w="1359" w:type="pct"/>
                  <w:shd w:val="clear" w:color="auto" w:fill="auto"/>
                  <w:vAlign w:val="center"/>
                </w:tcPr>
                <w:p>
                  <w:pPr>
                    <w:adjustRightInd w:val="0"/>
                    <w:snapToGrid w:val="0"/>
                    <w:jc w:val="center"/>
                    <w:rPr>
                      <w:b/>
                      <w:szCs w:val="21"/>
                    </w:rPr>
                  </w:pPr>
                  <w:r>
                    <w:rPr>
                      <w:b/>
                      <w:szCs w:val="21"/>
                    </w:rPr>
                    <w:t>II类</w:t>
                  </w:r>
                </w:p>
              </w:tc>
              <w:tc>
                <w:tcPr>
                  <w:tcW w:w="1519" w:type="pct"/>
                  <w:tcBorders>
                    <w:top w:val="single" w:color="auto" w:sz="4" w:space="0"/>
                    <w:bottom w:val="single" w:color="auto" w:sz="4" w:space="0"/>
                  </w:tcBorders>
                  <w:shd w:val="clear" w:color="auto" w:fill="auto"/>
                  <w:vAlign w:val="center"/>
                </w:tcPr>
                <w:p>
                  <w:pPr>
                    <w:adjustRightInd w:val="0"/>
                    <w:snapToGrid w:val="0"/>
                    <w:jc w:val="center"/>
                    <w:rPr>
                      <w:b/>
                      <w:szCs w:val="21"/>
                    </w:rPr>
                  </w:pPr>
                  <w:r>
                    <w:rPr>
                      <w:b/>
                      <w:szCs w:val="21"/>
                    </w:rPr>
                    <w:t>III类</w:t>
                  </w:r>
                </w:p>
              </w:tc>
              <w:tc>
                <w:tcPr>
                  <w:tcW w:w="646" w:type="pct"/>
                  <w:shd w:val="clear" w:color="auto" w:fill="BEBEBE"/>
                  <w:vAlign w:val="center"/>
                </w:tcPr>
                <w:p>
                  <w:pPr>
                    <w:adjustRightInd w:val="0"/>
                    <w:snapToGrid w:val="0"/>
                    <w:jc w:val="center"/>
                    <w:rPr>
                      <w:b/>
                      <w:szCs w:val="21"/>
                    </w:rPr>
                  </w:pPr>
                  <w:r>
                    <w:rPr>
                      <w:b/>
                      <w:szCs w:val="21"/>
                    </w:rPr>
                    <w:t>IV类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3" w:type="pct"/>
                  <w:shd w:val="clear" w:color="auto" w:fill="auto"/>
                  <w:vAlign w:val="center"/>
                </w:tcPr>
                <w:p>
                  <w:pPr>
                    <w:adjustRightInd w:val="0"/>
                    <w:snapToGrid w:val="0"/>
                    <w:jc w:val="center"/>
                    <w:rPr>
                      <w:szCs w:val="21"/>
                    </w:rPr>
                  </w:pPr>
                  <w:r>
                    <w:rPr>
                      <w:szCs w:val="21"/>
                    </w:rPr>
                    <w:t>电力热力燃气及水生产和供应业</w:t>
                  </w:r>
                </w:p>
              </w:tc>
              <w:tc>
                <w:tcPr>
                  <w:tcW w:w="619" w:type="pct"/>
                  <w:shd w:val="clear" w:color="auto" w:fill="auto"/>
                  <w:vAlign w:val="center"/>
                </w:tcPr>
                <w:p>
                  <w:pPr>
                    <w:adjustRightInd w:val="0"/>
                    <w:snapToGrid w:val="0"/>
                    <w:jc w:val="center"/>
                    <w:rPr>
                      <w:szCs w:val="21"/>
                    </w:rPr>
                  </w:pPr>
                  <w:r>
                    <w:rPr>
                      <w:szCs w:val="21"/>
                    </w:rPr>
                    <w:t>生活垃圾及污泥发电</w:t>
                  </w:r>
                </w:p>
              </w:tc>
              <w:tc>
                <w:tcPr>
                  <w:tcW w:w="1359" w:type="pct"/>
                  <w:shd w:val="clear" w:color="auto" w:fill="auto"/>
                  <w:vAlign w:val="center"/>
                </w:tcPr>
                <w:p>
                  <w:pPr>
                    <w:adjustRightInd w:val="0"/>
                    <w:snapToGrid w:val="0"/>
                    <w:jc w:val="center"/>
                    <w:rPr>
                      <w:szCs w:val="21"/>
                    </w:rPr>
                  </w:pPr>
                  <w:r>
                    <w:rPr>
                      <w:szCs w:val="21"/>
                    </w:rPr>
                    <w:t>水力发电；火力发电（燃气发电除外）；矸石、油页岩、石油焦等综合利用发电；工业废水处理；燃气生产</w:t>
                  </w:r>
                </w:p>
              </w:tc>
              <w:tc>
                <w:tcPr>
                  <w:tcW w:w="1519" w:type="pct"/>
                  <w:tcBorders>
                    <w:top w:val="single" w:color="auto" w:sz="4" w:space="0"/>
                  </w:tcBorders>
                  <w:shd w:val="clear" w:color="auto" w:fill="auto"/>
                  <w:vAlign w:val="center"/>
                </w:tcPr>
                <w:p>
                  <w:pPr>
                    <w:adjustRightInd w:val="0"/>
                    <w:snapToGrid w:val="0"/>
                    <w:jc w:val="center"/>
                    <w:rPr>
                      <w:szCs w:val="21"/>
                    </w:rPr>
                  </w:pPr>
                  <w:r>
                    <w:rPr>
                      <w:szCs w:val="21"/>
                    </w:rPr>
                    <w:t>生活污水处理；燃煤锅炉总容量65t/h（不含）以上的热力生产工程；燃油锅炉总容量65t/h（不含）以上的热力生产工程</w:t>
                  </w:r>
                </w:p>
              </w:tc>
              <w:tc>
                <w:tcPr>
                  <w:tcW w:w="646" w:type="pct"/>
                  <w:shd w:val="clear" w:color="auto" w:fill="BEBEBE"/>
                  <w:vAlign w:val="center"/>
                </w:tcPr>
                <w:p>
                  <w:pPr>
                    <w:adjustRightInd w:val="0"/>
                    <w:snapToGrid w:val="0"/>
                    <w:jc w:val="center"/>
                    <w:rPr>
                      <w:szCs w:val="21"/>
                    </w:rPr>
                  </w:pPr>
                  <w:r>
                    <w:rPr>
                      <w:szCs w:val="21"/>
                    </w:rPr>
                    <w:t>其他</w:t>
                  </w:r>
                </w:p>
              </w:tc>
            </w:tr>
          </w:tbl>
          <w:p>
            <w:pPr>
              <w:adjustRightInd w:val="0"/>
              <w:snapToGrid w:val="0"/>
              <w:spacing w:line="360" w:lineRule="auto"/>
              <w:ind w:firstLine="520" w:firstLineChars="217"/>
              <w:rPr>
                <w:sz w:val="24"/>
                <w:szCs w:val="21"/>
              </w:rPr>
            </w:pPr>
            <w:r>
              <w:rPr>
                <w:sz w:val="24"/>
                <w:szCs w:val="22"/>
              </w:rPr>
              <w:t>综上可知，本项目土壤环境影响评价等级为Ⅳ类，可不开展土壤环境影响评价。</w:t>
            </w:r>
          </w:p>
          <w:p>
            <w:pPr>
              <w:adjustRightInd w:val="0"/>
              <w:snapToGrid w:val="0"/>
              <w:spacing w:line="360" w:lineRule="auto"/>
              <w:rPr>
                <w:b/>
                <w:bCs/>
                <w:sz w:val="24"/>
              </w:rPr>
            </w:pPr>
            <w:r>
              <w:rPr>
                <w:b/>
                <w:bCs/>
                <w:sz w:val="24"/>
              </w:rPr>
              <w:t>7、生态</w:t>
            </w:r>
          </w:p>
          <w:p>
            <w:pPr>
              <w:adjustRightInd w:val="0"/>
              <w:snapToGrid w:val="0"/>
              <w:spacing w:line="360" w:lineRule="auto"/>
              <w:ind w:firstLine="480" w:firstLineChars="200"/>
              <w:rPr>
                <w:sz w:val="24"/>
              </w:rPr>
            </w:pPr>
            <w:r>
              <w:rPr>
                <w:sz w:val="24"/>
              </w:rPr>
              <w:t>本项目利用已建厂房进行生产，用地范围内无生态环境保护目标。</w:t>
            </w:r>
          </w:p>
          <w:p>
            <w:pPr>
              <w:adjustRightInd w:val="0"/>
              <w:snapToGrid w:val="0"/>
              <w:spacing w:line="360" w:lineRule="auto"/>
              <w:rPr>
                <w:b/>
                <w:bCs/>
                <w:sz w:val="24"/>
              </w:rPr>
            </w:pPr>
            <w:r>
              <w:rPr>
                <w:b/>
                <w:bCs/>
                <w:sz w:val="24"/>
              </w:rPr>
              <w:t>8、环境风险评价</w:t>
            </w:r>
          </w:p>
          <w:p>
            <w:pPr>
              <w:adjustRightInd w:val="0"/>
              <w:snapToGrid w:val="0"/>
              <w:spacing w:line="360" w:lineRule="auto"/>
              <w:ind w:firstLine="480" w:firstLineChars="200"/>
              <w:rPr>
                <w:bCs/>
                <w:sz w:val="24"/>
                <w:szCs w:val="22"/>
              </w:rPr>
            </w:pPr>
            <w:r>
              <w:rPr>
                <w:bCs/>
                <w:sz w:val="24"/>
                <w:szCs w:val="22"/>
              </w:rPr>
              <w:t>（1）评价工作等级划分</w:t>
            </w:r>
          </w:p>
          <w:p>
            <w:pPr>
              <w:adjustRightInd w:val="0"/>
              <w:snapToGrid w:val="0"/>
              <w:spacing w:line="360" w:lineRule="auto"/>
              <w:ind w:firstLine="480" w:firstLineChars="200"/>
              <w:rPr>
                <w:bCs/>
                <w:sz w:val="24"/>
                <w:szCs w:val="22"/>
              </w:rPr>
            </w:pPr>
            <w:r>
              <w:rPr>
                <w:bCs/>
                <w:sz w:val="24"/>
                <w:szCs w:val="22"/>
              </w:rPr>
              <w:t>根据《建设项目环境风险评价技术导则》（HJ169—2018），首先对本项目危险物质数量及临界量比值（Q）进行计算。</w:t>
            </w:r>
          </w:p>
          <w:p>
            <w:pPr>
              <w:adjustRightInd w:val="0"/>
              <w:snapToGrid w:val="0"/>
              <w:spacing w:line="360" w:lineRule="auto"/>
              <w:ind w:firstLine="480" w:firstLineChars="200"/>
              <w:rPr>
                <w:bCs/>
                <w:sz w:val="24"/>
                <w:szCs w:val="22"/>
              </w:rPr>
            </w:pPr>
            <w:r>
              <w:rPr>
                <w:bCs/>
                <w:sz w:val="24"/>
                <w:szCs w:val="22"/>
              </w:rPr>
              <w:t>计算所涉及的每种危险物质在厂界内的最大存在总量与其在附录中对应临界量的比值Q时，在不同厂区的同一种物质，按其在厂界内的最大存在总量计算。对于长输管线项目，按照两个截断阀室之间管段危险物质最大存在总量计算。</w:t>
            </w:r>
          </w:p>
          <w:p>
            <w:pPr>
              <w:adjustRightInd w:val="0"/>
              <w:snapToGrid w:val="0"/>
              <w:spacing w:line="360" w:lineRule="auto"/>
              <w:ind w:firstLine="480" w:firstLineChars="200"/>
              <w:rPr>
                <w:bCs/>
                <w:sz w:val="24"/>
                <w:szCs w:val="22"/>
              </w:rPr>
            </w:pPr>
            <w:r>
              <w:rPr>
                <w:bCs/>
                <w:sz w:val="24"/>
                <w:szCs w:val="22"/>
              </w:rPr>
              <w:t>当只涉及一种危险物质时，计算该物质的总量与其临界量比值，即为Q；</w:t>
            </w:r>
          </w:p>
          <w:p>
            <w:pPr>
              <w:adjustRightInd w:val="0"/>
              <w:snapToGrid w:val="0"/>
              <w:spacing w:line="360" w:lineRule="auto"/>
              <w:ind w:firstLine="480" w:firstLineChars="200"/>
              <w:rPr>
                <w:bCs/>
                <w:sz w:val="24"/>
                <w:szCs w:val="22"/>
              </w:rPr>
            </w:pPr>
            <w:r>
              <w:rPr>
                <w:bCs/>
                <w:sz w:val="24"/>
                <w:szCs w:val="22"/>
              </w:rPr>
              <w:t>当存在多种危险物质时，则按式（C.1）计算物质总量与其临界量比值（Q）；</w:t>
            </w:r>
          </w:p>
          <w:p>
            <w:pPr>
              <w:adjustRightInd w:val="0"/>
              <w:snapToGrid w:val="0"/>
              <w:spacing w:line="360" w:lineRule="auto"/>
              <w:ind w:firstLine="480" w:firstLineChars="200"/>
              <w:jc w:val="center"/>
              <w:rPr>
                <w:bCs/>
                <w:sz w:val="24"/>
                <w:szCs w:val="22"/>
              </w:rPr>
            </w:pPr>
            <w:r>
              <w:rPr>
                <w:bCs/>
                <w:position w:val="-30"/>
                <w:sz w:val="24"/>
                <w:szCs w:val="22"/>
              </w:rPr>
              <w:object>
                <v:shape id="_x0000_i1028" o:spt="75" type="#_x0000_t75" style="height:33.5pt;width:107.65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p>
          <w:p>
            <w:pPr>
              <w:adjustRightInd w:val="0"/>
              <w:snapToGrid w:val="0"/>
              <w:spacing w:line="360" w:lineRule="auto"/>
              <w:ind w:firstLine="480" w:firstLineChars="200"/>
              <w:rPr>
                <w:bCs/>
                <w:sz w:val="24"/>
                <w:szCs w:val="22"/>
              </w:rPr>
            </w:pPr>
            <w:r>
              <w:rPr>
                <w:bCs/>
                <w:sz w:val="24"/>
                <w:szCs w:val="22"/>
              </w:rPr>
              <w:t>式中：q</w:t>
            </w:r>
            <w:r>
              <w:rPr>
                <w:bCs/>
                <w:sz w:val="24"/>
                <w:szCs w:val="22"/>
                <w:vertAlign w:val="subscript"/>
              </w:rPr>
              <w:t>1</w:t>
            </w:r>
            <w:r>
              <w:rPr>
                <w:bCs/>
                <w:sz w:val="24"/>
                <w:szCs w:val="22"/>
              </w:rPr>
              <w:t>、q</w:t>
            </w:r>
            <w:r>
              <w:rPr>
                <w:bCs/>
                <w:sz w:val="24"/>
                <w:szCs w:val="22"/>
                <w:vertAlign w:val="subscript"/>
              </w:rPr>
              <w:t>2</w:t>
            </w:r>
            <w:r>
              <w:rPr>
                <w:bCs/>
                <w:sz w:val="24"/>
                <w:szCs w:val="22"/>
              </w:rPr>
              <w:t>、…q</w:t>
            </w:r>
            <w:r>
              <w:rPr>
                <w:bCs/>
                <w:sz w:val="24"/>
                <w:szCs w:val="22"/>
                <w:vertAlign w:val="subscript"/>
              </w:rPr>
              <w:t>n</w:t>
            </w:r>
            <w:r>
              <w:rPr>
                <w:bCs/>
                <w:sz w:val="24"/>
                <w:szCs w:val="22"/>
              </w:rPr>
              <w:t>----每种环境风险物质的存在量，t；</w:t>
            </w:r>
          </w:p>
          <w:p>
            <w:pPr>
              <w:adjustRightInd w:val="0"/>
              <w:snapToGrid w:val="0"/>
              <w:spacing w:line="360" w:lineRule="auto"/>
              <w:ind w:firstLine="480" w:firstLineChars="200"/>
              <w:rPr>
                <w:bCs/>
                <w:sz w:val="24"/>
                <w:szCs w:val="22"/>
              </w:rPr>
            </w:pPr>
            <w:r>
              <w:rPr>
                <w:bCs/>
                <w:sz w:val="24"/>
                <w:szCs w:val="22"/>
              </w:rPr>
              <w:t>Q</w:t>
            </w:r>
            <w:r>
              <w:rPr>
                <w:bCs/>
                <w:sz w:val="24"/>
                <w:szCs w:val="22"/>
                <w:vertAlign w:val="subscript"/>
              </w:rPr>
              <w:t>1</w:t>
            </w:r>
            <w:r>
              <w:rPr>
                <w:bCs/>
                <w:sz w:val="24"/>
                <w:szCs w:val="22"/>
              </w:rPr>
              <w:t>、Q</w:t>
            </w:r>
            <w:r>
              <w:rPr>
                <w:bCs/>
                <w:sz w:val="24"/>
                <w:szCs w:val="22"/>
                <w:vertAlign w:val="subscript"/>
              </w:rPr>
              <w:t>2</w:t>
            </w:r>
            <w:r>
              <w:rPr>
                <w:bCs/>
                <w:sz w:val="24"/>
                <w:szCs w:val="22"/>
              </w:rPr>
              <w:t>、…Q</w:t>
            </w:r>
            <w:r>
              <w:rPr>
                <w:bCs/>
                <w:sz w:val="24"/>
                <w:szCs w:val="22"/>
                <w:vertAlign w:val="subscript"/>
              </w:rPr>
              <w:t>n</w:t>
            </w:r>
            <w:r>
              <w:rPr>
                <w:bCs/>
                <w:sz w:val="24"/>
                <w:szCs w:val="22"/>
              </w:rPr>
              <w:t>----每种环境风险物质的临界量，t。</w:t>
            </w:r>
          </w:p>
          <w:p>
            <w:pPr>
              <w:adjustRightInd w:val="0"/>
              <w:snapToGrid w:val="0"/>
              <w:spacing w:line="360" w:lineRule="auto"/>
              <w:ind w:firstLine="480" w:firstLineChars="200"/>
              <w:rPr>
                <w:bCs/>
                <w:sz w:val="24"/>
                <w:szCs w:val="22"/>
              </w:rPr>
            </w:pPr>
            <w:r>
              <w:rPr>
                <w:bCs/>
                <w:sz w:val="24"/>
                <w:szCs w:val="22"/>
              </w:rPr>
              <w:t>当Q＜1时，该项目环境风险潜势为I。</w:t>
            </w:r>
          </w:p>
          <w:p>
            <w:pPr>
              <w:adjustRightInd w:val="0"/>
              <w:snapToGrid w:val="0"/>
              <w:spacing w:line="360" w:lineRule="auto"/>
              <w:ind w:firstLine="480" w:firstLineChars="200"/>
              <w:rPr>
                <w:bCs/>
                <w:sz w:val="24"/>
                <w:szCs w:val="22"/>
              </w:rPr>
            </w:pPr>
            <w:r>
              <w:rPr>
                <w:bCs/>
                <w:sz w:val="24"/>
                <w:szCs w:val="22"/>
              </w:rPr>
              <w:t>当Q≥1，将Q值划分为：（1）1≤Q＜10；（2）10≤Q＜100；</w:t>
            </w:r>
          </w:p>
          <w:p>
            <w:pPr>
              <w:adjustRightInd w:val="0"/>
              <w:snapToGrid w:val="0"/>
              <w:spacing w:line="360" w:lineRule="auto"/>
              <w:ind w:firstLine="480" w:firstLineChars="200"/>
              <w:rPr>
                <w:b/>
                <w:sz w:val="24"/>
              </w:rPr>
            </w:pPr>
            <w:r>
              <w:rPr>
                <w:bCs/>
                <w:sz w:val="24"/>
              </w:rPr>
              <w:t>根据导则附录B，本项目危险物质数量及临界量比值（Q）统计如下。</w:t>
            </w:r>
          </w:p>
          <w:p>
            <w:pPr>
              <w:adjustRightInd w:val="0"/>
              <w:snapToGrid w:val="0"/>
              <w:jc w:val="center"/>
              <w:rPr>
                <w:b/>
                <w:sz w:val="24"/>
              </w:rPr>
            </w:pPr>
            <w:r>
              <w:rPr>
                <w:b/>
                <w:sz w:val="24"/>
              </w:rPr>
              <w:t>表4-1</w:t>
            </w:r>
            <w:r>
              <w:rPr>
                <w:rFonts w:hint="eastAsia"/>
                <w:b/>
                <w:sz w:val="24"/>
                <w:lang w:val="en-US" w:eastAsia="zh-CN"/>
              </w:rPr>
              <w:t>7</w:t>
            </w:r>
            <w:r>
              <w:rPr>
                <w:b/>
                <w:sz w:val="24"/>
              </w:rPr>
              <w:t xml:space="preserve">  本项目危险物质数量及临界量比值（Q）一览表</w:t>
            </w:r>
          </w:p>
          <w:tbl>
            <w:tblPr>
              <w:tblStyle w:val="21"/>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432"/>
              <w:gridCol w:w="3682"/>
              <w:gridCol w:w="1316"/>
              <w:gridCol w:w="131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93" w:type="pct"/>
                  <w:tcBorders>
                    <w:top w:val="single" w:color="auto" w:sz="12" w:space="0"/>
                  </w:tcBorders>
                  <w:vAlign w:val="center"/>
                </w:tcPr>
                <w:p>
                  <w:pPr>
                    <w:adjustRightInd w:val="0"/>
                    <w:snapToGrid w:val="0"/>
                    <w:jc w:val="center"/>
                    <w:rPr>
                      <w:b/>
                      <w:bCs/>
                      <w:szCs w:val="21"/>
                    </w:rPr>
                  </w:pPr>
                  <w:r>
                    <w:rPr>
                      <w:b/>
                      <w:bCs/>
                      <w:szCs w:val="21"/>
                    </w:rPr>
                    <w:t>序号</w:t>
                  </w:r>
                </w:p>
              </w:tc>
              <w:tc>
                <w:tcPr>
                  <w:tcW w:w="852" w:type="pct"/>
                  <w:tcBorders>
                    <w:top w:val="single" w:color="auto" w:sz="12" w:space="0"/>
                  </w:tcBorders>
                  <w:vAlign w:val="center"/>
                </w:tcPr>
                <w:p>
                  <w:pPr>
                    <w:adjustRightInd w:val="0"/>
                    <w:snapToGrid w:val="0"/>
                    <w:jc w:val="center"/>
                    <w:rPr>
                      <w:b/>
                      <w:bCs/>
                      <w:szCs w:val="21"/>
                    </w:rPr>
                  </w:pPr>
                  <w:r>
                    <w:rPr>
                      <w:b/>
                      <w:bCs/>
                      <w:szCs w:val="21"/>
                    </w:rPr>
                    <w:t>名称</w:t>
                  </w:r>
                </w:p>
              </w:tc>
              <w:tc>
                <w:tcPr>
                  <w:tcW w:w="2191" w:type="pct"/>
                  <w:tcBorders>
                    <w:top w:val="single" w:color="auto" w:sz="12" w:space="0"/>
                  </w:tcBorders>
                  <w:vAlign w:val="center"/>
                </w:tcPr>
                <w:p>
                  <w:pPr>
                    <w:adjustRightInd w:val="0"/>
                    <w:snapToGrid w:val="0"/>
                    <w:jc w:val="center"/>
                    <w:rPr>
                      <w:b/>
                      <w:bCs/>
                      <w:szCs w:val="21"/>
                    </w:rPr>
                  </w:pPr>
                  <w:r>
                    <w:rPr>
                      <w:b/>
                      <w:bCs/>
                      <w:szCs w:val="21"/>
                    </w:rPr>
                    <w:t>最大存在总量（t）</w:t>
                  </w:r>
                </w:p>
              </w:tc>
              <w:tc>
                <w:tcPr>
                  <w:tcW w:w="781" w:type="pct"/>
                  <w:tcBorders>
                    <w:top w:val="single" w:color="auto" w:sz="12" w:space="0"/>
                  </w:tcBorders>
                  <w:vAlign w:val="center"/>
                </w:tcPr>
                <w:p>
                  <w:pPr>
                    <w:adjustRightInd w:val="0"/>
                    <w:snapToGrid w:val="0"/>
                    <w:jc w:val="center"/>
                    <w:rPr>
                      <w:b/>
                      <w:bCs/>
                      <w:szCs w:val="21"/>
                    </w:rPr>
                  </w:pPr>
                  <w:r>
                    <w:rPr>
                      <w:b/>
                      <w:bCs/>
                      <w:szCs w:val="21"/>
                    </w:rPr>
                    <w:t>临界量（t）</w:t>
                  </w:r>
                </w:p>
              </w:tc>
              <w:tc>
                <w:tcPr>
                  <w:tcW w:w="780" w:type="pct"/>
                  <w:tcBorders>
                    <w:top w:val="single" w:color="auto" w:sz="12" w:space="0"/>
                  </w:tcBorders>
                  <w:vAlign w:val="center"/>
                </w:tcPr>
                <w:p>
                  <w:pPr>
                    <w:adjustRightInd w:val="0"/>
                    <w:snapToGrid w:val="0"/>
                    <w:jc w:val="center"/>
                    <w:rPr>
                      <w:b/>
                      <w:bCs/>
                      <w:szCs w:val="21"/>
                    </w:rPr>
                  </w:pPr>
                  <w:r>
                    <w:rPr>
                      <w:b/>
                      <w:bCs/>
                      <w:szCs w:val="21"/>
                    </w:rPr>
                    <w:object>
                      <v:shape id="_x0000_i1029" o:spt="75" type="#_x0000_t75" style="height:33.5pt;width:17.8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3" w:type="pct"/>
                  <w:vAlign w:val="center"/>
                </w:tcPr>
                <w:p>
                  <w:pPr>
                    <w:adjustRightInd w:val="0"/>
                    <w:snapToGrid w:val="0"/>
                    <w:jc w:val="center"/>
                    <w:rPr>
                      <w:szCs w:val="21"/>
                    </w:rPr>
                  </w:pPr>
                  <w:r>
                    <w:rPr>
                      <w:szCs w:val="21"/>
                    </w:rPr>
                    <w:t>1</w:t>
                  </w:r>
                </w:p>
              </w:tc>
              <w:tc>
                <w:tcPr>
                  <w:tcW w:w="852" w:type="pct"/>
                  <w:vAlign w:val="center"/>
                </w:tcPr>
                <w:p>
                  <w:pPr>
                    <w:jc w:val="center"/>
                    <w:rPr>
                      <w:szCs w:val="21"/>
                    </w:rPr>
                  </w:pPr>
                  <w:r>
                    <w:rPr>
                      <w:szCs w:val="21"/>
                    </w:rPr>
                    <w:t>天然气（甲烷、乙烷）</w:t>
                  </w:r>
                </w:p>
              </w:tc>
              <w:tc>
                <w:tcPr>
                  <w:tcW w:w="2191" w:type="pct"/>
                  <w:vAlign w:val="center"/>
                </w:tcPr>
                <w:p>
                  <w:pPr>
                    <w:adjustRightInd w:val="0"/>
                    <w:snapToGrid w:val="0"/>
                    <w:jc w:val="center"/>
                    <w:rPr>
                      <w:szCs w:val="21"/>
                    </w:rPr>
                  </w:pPr>
                  <w:r>
                    <w:rPr>
                      <w:szCs w:val="21"/>
                    </w:rPr>
                    <w:t>1（两个截断阀室之间管段中天然气）</w:t>
                  </w:r>
                </w:p>
              </w:tc>
              <w:tc>
                <w:tcPr>
                  <w:tcW w:w="781" w:type="pct"/>
                  <w:vAlign w:val="center"/>
                </w:tcPr>
                <w:p>
                  <w:pPr>
                    <w:pStyle w:val="5"/>
                    <w:adjustRightInd w:val="0"/>
                    <w:snapToGrid w:val="0"/>
                    <w:ind w:firstLine="0"/>
                    <w:jc w:val="center"/>
                    <w:rPr>
                      <w:rFonts w:ascii="Times New Roman" w:hAnsi="Times New Roman"/>
                      <w:bCs/>
                      <w:szCs w:val="21"/>
                    </w:rPr>
                  </w:pPr>
                  <w:r>
                    <w:rPr>
                      <w:rFonts w:ascii="Times New Roman" w:hAnsi="Times New Roman"/>
                      <w:bCs/>
                      <w:szCs w:val="21"/>
                    </w:rPr>
                    <w:t>10</w:t>
                  </w:r>
                </w:p>
              </w:tc>
              <w:tc>
                <w:tcPr>
                  <w:tcW w:w="780" w:type="pct"/>
                  <w:vAlign w:val="center"/>
                </w:tcPr>
                <w:p>
                  <w:pPr>
                    <w:pStyle w:val="5"/>
                    <w:adjustRightInd w:val="0"/>
                    <w:snapToGrid w:val="0"/>
                    <w:ind w:firstLine="0"/>
                    <w:jc w:val="center"/>
                    <w:rPr>
                      <w:rFonts w:ascii="Times New Roman" w:hAnsi="Times New Roman"/>
                      <w:bCs/>
                      <w:szCs w:val="21"/>
                    </w:rPr>
                  </w:pPr>
                  <w:r>
                    <w:rPr>
                      <w:rFonts w:ascii="Times New Roman" w:hAnsi="Times New Roman"/>
                      <w:bCs/>
                      <w:szCs w:val="21"/>
                    </w:rPr>
                    <w:t>0.1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3" w:type="pct"/>
                  <w:vAlign w:val="center"/>
                </w:tcPr>
                <w:p>
                  <w:pPr>
                    <w:adjustRightInd w:val="0"/>
                    <w:snapToGrid w:val="0"/>
                    <w:jc w:val="center"/>
                    <w:rPr>
                      <w:szCs w:val="21"/>
                    </w:rPr>
                  </w:pPr>
                  <w:r>
                    <w:rPr>
                      <w:szCs w:val="21"/>
                    </w:rPr>
                    <w:t>2</w:t>
                  </w:r>
                </w:p>
              </w:tc>
              <w:tc>
                <w:tcPr>
                  <w:tcW w:w="852" w:type="pct"/>
                  <w:vAlign w:val="center"/>
                </w:tcPr>
                <w:p>
                  <w:pPr>
                    <w:jc w:val="center"/>
                    <w:rPr>
                      <w:szCs w:val="21"/>
                    </w:rPr>
                  </w:pPr>
                  <w:r>
                    <w:rPr>
                      <w:szCs w:val="21"/>
                    </w:rPr>
                    <w:t>导热油</w:t>
                  </w:r>
                </w:p>
              </w:tc>
              <w:tc>
                <w:tcPr>
                  <w:tcW w:w="2191" w:type="pct"/>
                  <w:vAlign w:val="center"/>
                </w:tcPr>
                <w:p>
                  <w:pPr>
                    <w:adjustRightInd w:val="0"/>
                    <w:snapToGrid w:val="0"/>
                    <w:jc w:val="center"/>
                    <w:rPr>
                      <w:szCs w:val="21"/>
                    </w:rPr>
                  </w:pPr>
                  <w:r>
                    <w:rPr>
                      <w:szCs w:val="21"/>
                    </w:rPr>
                    <w:t>3.4</w:t>
                  </w:r>
                </w:p>
              </w:tc>
              <w:tc>
                <w:tcPr>
                  <w:tcW w:w="781" w:type="pct"/>
                  <w:vAlign w:val="center"/>
                </w:tcPr>
                <w:p>
                  <w:pPr>
                    <w:jc w:val="center"/>
                  </w:pPr>
                  <w:r>
                    <w:rPr>
                      <w:bCs/>
                      <w:szCs w:val="21"/>
                    </w:rPr>
                    <w:t>2500</w:t>
                  </w:r>
                </w:p>
              </w:tc>
              <w:tc>
                <w:tcPr>
                  <w:tcW w:w="780" w:type="pct"/>
                  <w:vAlign w:val="center"/>
                </w:tcPr>
                <w:p>
                  <w:pPr>
                    <w:pStyle w:val="5"/>
                    <w:adjustRightInd w:val="0"/>
                    <w:snapToGrid w:val="0"/>
                    <w:ind w:firstLine="0"/>
                    <w:jc w:val="center"/>
                    <w:rPr>
                      <w:rFonts w:ascii="Times New Roman" w:hAnsi="Times New Roman"/>
                      <w:bCs/>
                      <w:szCs w:val="21"/>
                    </w:rPr>
                  </w:pPr>
                  <w:r>
                    <w:rPr>
                      <w:rFonts w:ascii="Times New Roman" w:hAnsi="Times New Roman"/>
                      <w:bCs/>
                      <w:szCs w:val="21"/>
                    </w:rPr>
                    <w:t>0.00136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3" w:type="pct"/>
                  <w:vAlign w:val="center"/>
                </w:tcPr>
                <w:p>
                  <w:pPr>
                    <w:adjustRightInd w:val="0"/>
                    <w:snapToGrid w:val="0"/>
                    <w:jc w:val="center"/>
                    <w:rPr>
                      <w:szCs w:val="21"/>
                    </w:rPr>
                  </w:pPr>
                  <w:r>
                    <w:rPr>
                      <w:szCs w:val="21"/>
                    </w:rPr>
                    <w:t>3</w:t>
                  </w:r>
                </w:p>
              </w:tc>
              <w:tc>
                <w:tcPr>
                  <w:tcW w:w="852" w:type="pct"/>
                  <w:vAlign w:val="center"/>
                </w:tcPr>
                <w:p>
                  <w:pPr>
                    <w:jc w:val="center"/>
                    <w:rPr>
                      <w:szCs w:val="21"/>
                    </w:rPr>
                  </w:pPr>
                  <w:r>
                    <w:rPr>
                      <w:szCs w:val="21"/>
                    </w:rPr>
                    <w:t>危险废物</w:t>
                  </w:r>
                </w:p>
              </w:tc>
              <w:tc>
                <w:tcPr>
                  <w:tcW w:w="2191" w:type="pct"/>
                  <w:vAlign w:val="center"/>
                </w:tcPr>
                <w:p>
                  <w:pPr>
                    <w:adjustRightInd w:val="0"/>
                    <w:snapToGrid w:val="0"/>
                    <w:jc w:val="center"/>
                    <w:rPr>
                      <w:szCs w:val="21"/>
                    </w:rPr>
                  </w:pPr>
                  <w:r>
                    <w:rPr>
                      <w:szCs w:val="21"/>
                    </w:rPr>
                    <w:t>13</w:t>
                  </w:r>
                </w:p>
              </w:tc>
              <w:tc>
                <w:tcPr>
                  <w:tcW w:w="781" w:type="pct"/>
                  <w:vAlign w:val="center"/>
                </w:tcPr>
                <w:p>
                  <w:pPr>
                    <w:jc w:val="center"/>
                    <w:rPr>
                      <w:bCs/>
                      <w:szCs w:val="21"/>
                    </w:rPr>
                  </w:pPr>
                  <w:r>
                    <w:rPr>
                      <w:bCs/>
                      <w:szCs w:val="21"/>
                    </w:rPr>
                    <w:t>100</w:t>
                  </w:r>
                </w:p>
              </w:tc>
              <w:tc>
                <w:tcPr>
                  <w:tcW w:w="780" w:type="pct"/>
                  <w:vAlign w:val="center"/>
                </w:tcPr>
                <w:p>
                  <w:pPr>
                    <w:pStyle w:val="5"/>
                    <w:adjustRightInd w:val="0"/>
                    <w:snapToGrid w:val="0"/>
                    <w:ind w:firstLine="0"/>
                    <w:jc w:val="center"/>
                    <w:rPr>
                      <w:rFonts w:ascii="Times New Roman" w:hAnsi="Times New Roman"/>
                      <w:bCs/>
                      <w:szCs w:val="21"/>
                    </w:rPr>
                  </w:pPr>
                  <w:r>
                    <w:rPr>
                      <w:rFonts w:ascii="Times New Roman" w:hAnsi="Times New Roman"/>
                      <w:bCs/>
                      <w:szCs w:val="21"/>
                    </w:rPr>
                    <w:t>0.13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9" w:type="pct"/>
                  <w:gridSpan w:val="4"/>
                  <w:tcBorders>
                    <w:bottom w:val="single" w:color="auto" w:sz="12" w:space="0"/>
                  </w:tcBorders>
                  <w:vAlign w:val="center"/>
                </w:tcPr>
                <w:p>
                  <w:pPr>
                    <w:pStyle w:val="5"/>
                    <w:adjustRightInd w:val="0"/>
                    <w:snapToGrid w:val="0"/>
                    <w:ind w:firstLine="0"/>
                    <w:jc w:val="center"/>
                    <w:rPr>
                      <w:rFonts w:ascii="Times New Roman" w:hAnsi="Times New Roman"/>
                      <w:bCs/>
                      <w:szCs w:val="21"/>
                    </w:rPr>
                  </w:pPr>
                  <w:r>
                    <w:rPr>
                      <w:rFonts w:ascii="Times New Roman" w:hAnsi="Times New Roman"/>
                      <w:szCs w:val="21"/>
                    </w:rPr>
                    <w:t>合计</w:t>
                  </w:r>
                </w:p>
              </w:tc>
              <w:tc>
                <w:tcPr>
                  <w:tcW w:w="780" w:type="pct"/>
                  <w:tcBorders>
                    <w:bottom w:val="single" w:color="auto" w:sz="12" w:space="0"/>
                  </w:tcBorders>
                  <w:vAlign w:val="center"/>
                </w:tcPr>
                <w:p>
                  <w:pPr>
                    <w:pStyle w:val="5"/>
                    <w:adjustRightInd w:val="0"/>
                    <w:snapToGrid w:val="0"/>
                    <w:ind w:firstLine="0"/>
                    <w:jc w:val="center"/>
                    <w:rPr>
                      <w:rFonts w:ascii="Times New Roman" w:hAnsi="Times New Roman"/>
                      <w:bCs/>
                      <w:szCs w:val="21"/>
                    </w:rPr>
                  </w:pPr>
                  <w:r>
                    <w:rPr>
                      <w:rFonts w:ascii="Times New Roman" w:hAnsi="Times New Roman"/>
                      <w:bCs/>
                      <w:szCs w:val="21"/>
                    </w:rPr>
                    <w:t>0.23136</w:t>
                  </w:r>
                </w:p>
              </w:tc>
            </w:tr>
          </w:tbl>
          <w:p>
            <w:pPr>
              <w:adjustRightInd w:val="0"/>
              <w:snapToGrid w:val="0"/>
              <w:rPr>
                <w:b/>
                <w:bCs/>
                <w:szCs w:val="16"/>
              </w:rPr>
            </w:pPr>
            <w:r>
              <w:rPr>
                <w:b/>
                <w:bCs/>
                <w:szCs w:val="16"/>
              </w:rPr>
              <w:t>注：天然气主要成分为甲烷、乙烷，天然气临界量参照《建设项目环境风险评价技术导则》（HJ169—2018）表B.1中“甲烷”和“乙烷”临界量；导热油临界值参照《建设项目环境风险评价技术导则》（HJ169—2018）表 B.1 中“油类物质”临界值；危险废物临界值参照《建设项目环境风险评价技术导则》（HJ169—2018）表 B.2 中“危害水环境物质”临界值。</w:t>
            </w:r>
          </w:p>
          <w:p>
            <w:pPr>
              <w:adjustRightInd w:val="0"/>
              <w:snapToGrid w:val="0"/>
              <w:spacing w:line="360" w:lineRule="auto"/>
              <w:ind w:firstLine="480" w:firstLineChars="200"/>
              <w:rPr>
                <w:bCs/>
                <w:sz w:val="24"/>
              </w:rPr>
            </w:pPr>
            <w:r>
              <w:rPr>
                <w:bCs/>
                <w:sz w:val="24"/>
              </w:rPr>
              <w:t>经分析可知，本项目Q＜1，环境风险势能直接判断为I等级，根据《建设项目环境风险评价技术导则》（HJ169—2018）相关要求，对本项目评价内容进行简单分析。</w:t>
            </w:r>
          </w:p>
          <w:p>
            <w:pPr>
              <w:adjustRightInd w:val="0"/>
              <w:snapToGrid w:val="0"/>
              <w:spacing w:line="360" w:lineRule="auto"/>
              <w:ind w:firstLine="480" w:firstLineChars="200"/>
              <w:rPr>
                <w:bCs/>
                <w:sz w:val="24"/>
                <w:szCs w:val="22"/>
              </w:rPr>
            </w:pPr>
            <w:r>
              <w:rPr>
                <w:bCs/>
                <w:sz w:val="24"/>
                <w:szCs w:val="22"/>
              </w:rPr>
              <w:t>（2）风险评价</w:t>
            </w:r>
          </w:p>
          <w:p>
            <w:pPr>
              <w:adjustRightInd w:val="0"/>
              <w:snapToGrid w:val="0"/>
              <w:spacing w:line="360" w:lineRule="auto"/>
              <w:ind w:firstLine="480" w:firstLineChars="200"/>
              <w:rPr>
                <w:bCs/>
                <w:sz w:val="24"/>
                <w:szCs w:val="22"/>
              </w:rPr>
            </w:pPr>
            <w:r>
              <w:rPr>
                <w:bCs/>
                <w:sz w:val="24"/>
                <w:szCs w:val="22"/>
              </w:rPr>
              <w:t>①评价依据：根据评价工作等级划分，本项目Q＜1，环境风险势能直接判断为I等级。</w:t>
            </w:r>
          </w:p>
          <w:p>
            <w:pPr>
              <w:adjustRightInd w:val="0"/>
              <w:snapToGrid w:val="0"/>
              <w:spacing w:line="360" w:lineRule="auto"/>
              <w:ind w:firstLine="480" w:firstLineChars="200"/>
              <w:rPr>
                <w:bCs/>
                <w:sz w:val="24"/>
                <w:szCs w:val="22"/>
              </w:rPr>
            </w:pPr>
            <w:r>
              <w:rPr>
                <w:bCs/>
                <w:sz w:val="24"/>
                <w:szCs w:val="22"/>
              </w:rPr>
              <w:t>②环境敏感目标概况：周边500m范围内无地下取水口。</w:t>
            </w:r>
          </w:p>
          <w:p>
            <w:pPr>
              <w:adjustRightInd w:val="0"/>
              <w:snapToGrid w:val="0"/>
              <w:spacing w:line="360" w:lineRule="auto"/>
              <w:ind w:firstLine="480" w:firstLineChars="200"/>
              <w:rPr>
                <w:bCs/>
                <w:sz w:val="24"/>
              </w:rPr>
            </w:pPr>
            <w:r>
              <w:rPr>
                <w:bCs/>
                <w:sz w:val="24"/>
              </w:rPr>
              <w:t>③环境风险识别：天然气为易燃易爆气体，天然气管道随着服役时间增加，会不可避免发生腐蚀，有天然气泄漏风险，对大气环境有一定影响。</w:t>
            </w:r>
          </w:p>
          <w:p>
            <w:pPr>
              <w:adjustRightInd w:val="0"/>
              <w:snapToGrid w:val="0"/>
              <w:spacing w:line="360" w:lineRule="auto"/>
              <w:ind w:firstLine="480" w:firstLineChars="200"/>
              <w:rPr>
                <w:bCs/>
                <w:color w:val="0000FF"/>
                <w:sz w:val="24"/>
                <w:szCs w:val="22"/>
              </w:rPr>
            </w:pPr>
            <w:r>
              <w:rPr>
                <w:bCs/>
                <w:sz w:val="24"/>
              </w:rPr>
              <w:t>④环境风险分析：若天然气发生泄漏，当空气中天然气浓度达到5-15%时，如遇静电火花，则会发生火灾、爆炸等事故。</w:t>
            </w:r>
          </w:p>
          <w:p>
            <w:pPr>
              <w:adjustRightInd w:val="0"/>
              <w:snapToGrid w:val="0"/>
              <w:spacing w:line="360" w:lineRule="auto"/>
              <w:ind w:firstLine="480" w:firstLineChars="200"/>
              <w:rPr>
                <w:bCs/>
                <w:sz w:val="24"/>
                <w:szCs w:val="22"/>
              </w:rPr>
            </w:pPr>
            <w:r>
              <w:rPr>
                <w:bCs/>
                <w:sz w:val="24"/>
              </w:rPr>
              <w:t>⑤</w:t>
            </w:r>
            <w:r>
              <w:rPr>
                <w:bCs/>
                <w:sz w:val="24"/>
                <w:szCs w:val="22"/>
              </w:rPr>
              <w:t>环境风险防范措施及应急要求：</w:t>
            </w:r>
          </w:p>
          <w:p>
            <w:pPr>
              <w:adjustRightInd w:val="0"/>
              <w:snapToGrid w:val="0"/>
              <w:spacing w:line="360" w:lineRule="auto"/>
              <w:ind w:firstLine="480" w:firstLineChars="200"/>
              <w:rPr>
                <w:bCs/>
                <w:sz w:val="24"/>
                <w:szCs w:val="22"/>
              </w:rPr>
            </w:pPr>
            <w:r>
              <w:rPr>
                <w:bCs/>
                <w:sz w:val="24"/>
                <w:szCs w:val="22"/>
              </w:rPr>
              <w:t>a.使用防爆、防火电缆，电气设施进行了触电保护，爆炸危险区域的划分、防爆电器（气）的安装和布防必须符合《爆炸和火灾环境电力装置设计规范(GB50058)》要求。各装置防静电设计应符合《防止静电事故通用导则》（GB12518）以及《工业企业静电接地设计规程》（HGJ28）；各装置防静电设计应根据生产工艺要求，作业环境特点和物料性质采取相应的防静电措施；各生产装置在防爆区域内的所有金属设备、管道等都必须设计静电接地装置，且接地电阻符合规范要求：不大于10Ω；非导电设备、管道等应设计间接接地或采用屏蔽方法，屏蔽体必须可靠接地；根据生产特点配置必要的静电检测仪器、仪表；设备接地处理，及时清理除尘设备，远离火源。</w:t>
            </w:r>
          </w:p>
          <w:p>
            <w:pPr>
              <w:adjustRightInd w:val="0"/>
              <w:snapToGrid w:val="0"/>
              <w:spacing w:line="360" w:lineRule="auto"/>
              <w:ind w:firstLine="480" w:firstLineChars="200"/>
              <w:rPr>
                <w:bCs/>
                <w:sz w:val="24"/>
                <w:szCs w:val="22"/>
              </w:rPr>
            </w:pPr>
            <w:r>
              <w:rPr>
                <w:bCs/>
                <w:sz w:val="24"/>
                <w:szCs w:val="22"/>
              </w:rPr>
              <w:t>b.定期检查、维护生产中使用的设备、仓库，确保各设施、设备正常运行。</w:t>
            </w:r>
          </w:p>
          <w:p>
            <w:pPr>
              <w:adjustRightInd w:val="0"/>
              <w:snapToGrid w:val="0"/>
              <w:spacing w:line="360" w:lineRule="auto"/>
              <w:ind w:firstLine="480" w:firstLineChars="200"/>
              <w:rPr>
                <w:bCs/>
                <w:sz w:val="24"/>
                <w:szCs w:val="22"/>
              </w:rPr>
            </w:pPr>
            <w:r>
              <w:rPr>
                <w:bCs/>
                <w:sz w:val="24"/>
                <w:szCs w:val="22"/>
              </w:rPr>
              <w:t>c.生产车间、仓库均配备黄沙箱、应急桶等。</w:t>
            </w:r>
          </w:p>
          <w:p>
            <w:pPr>
              <w:adjustRightInd w:val="0"/>
              <w:snapToGrid w:val="0"/>
              <w:spacing w:line="360" w:lineRule="auto"/>
              <w:ind w:firstLine="480" w:firstLineChars="200"/>
              <w:rPr>
                <w:bCs/>
                <w:sz w:val="24"/>
                <w:szCs w:val="22"/>
              </w:rPr>
            </w:pPr>
            <w:r>
              <w:rPr>
                <w:bCs/>
                <w:sz w:val="24"/>
                <w:szCs w:val="22"/>
              </w:rPr>
              <w:t>d.生产区和各仓库设置干粉灭火器和泡沫灭火器、消防砂；厂内采用电话报警，专人负责，发生火灾时，及时向有关负责人通报火警；根据实际情况设置感烟、感温探测器及手动报警按钮等。</w:t>
            </w:r>
          </w:p>
          <w:p>
            <w:pPr>
              <w:adjustRightInd w:val="0"/>
              <w:snapToGrid w:val="0"/>
              <w:spacing w:line="360" w:lineRule="auto"/>
              <w:ind w:firstLine="480" w:firstLineChars="200"/>
              <w:rPr>
                <w:bCs/>
                <w:sz w:val="24"/>
                <w:szCs w:val="22"/>
              </w:rPr>
            </w:pPr>
            <w:r>
              <w:rPr>
                <w:bCs/>
                <w:sz w:val="24"/>
                <w:szCs w:val="22"/>
              </w:rPr>
              <w:t>e.生产现场设置各种安全标志。按照规范对凡需要迅速发现并引起注意以防发生事故的场所、部位均按要求涂安全色。</w:t>
            </w:r>
          </w:p>
          <w:p>
            <w:pPr>
              <w:adjustRightInd w:val="0"/>
              <w:snapToGrid w:val="0"/>
              <w:spacing w:line="360" w:lineRule="auto"/>
              <w:ind w:firstLine="480" w:firstLineChars="200"/>
              <w:rPr>
                <w:bCs/>
                <w:sz w:val="24"/>
                <w:szCs w:val="22"/>
              </w:rPr>
            </w:pPr>
            <w:r>
              <w:rPr>
                <w:bCs/>
                <w:sz w:val="24"/>
                <w:szCs w:val="22"/>
              </w:rPr>
              <w:t>f.一旦发生火灾，应立即停止生产，迅速使用厂内灭火器材，同时，通知镇、区消防支队；并迅速疏散厂内职工和周围群众撤离现场。</w:t>
            </w:r>
          </w:p>
          <w:p>
            <w:pPr>
              <w:adjustRightInd w:val="0"/>
              <w:snapToGrid w:val="0"/>
              <w:spacing w:line="360" w:lineRule="auto"/>
              <w:ind w:firstLine="480" w:firstLineChars="200"/>
              <w:rPr>
                <w:bCs/>
                <w:sz w:val="24"/>
                <w:szCs w:val="22"/>
              </w:rPr>
            </w:pPr>
            <w:r>
              <w:rPr>
                <w:bCs/>
                <w:sz w:val="24"/>
                <w:szCs w:val="22"/>
              </w:rPr>
              <w:t>g.加强工厂、车间的安全环保管理，对全厂职工进行安全环保的教育和培训，实行上岗证制度。</w:t>
            </w:r>
          </w:p>
          <w:p>
            <w:pPr>
              <w:adjustRightInd w:val="0"/>
              <w:snapToGrid w:val="0"/>
              <w:spacing w:line="360" w:lineRule="auto"/>
              <w:ind w:firstLine="480" w:firstLineChars="200"/>
              <w:rPr>
                <w:bCs/>
                <w:sz w:val="24"/>
                <w:szCs w:val="22"/>
              </w:rPr>
            </w:pPr>
            <w:r>
              <w:rPr>
                <w:bCs/>
                <w:sz w:val="24"/>
                <w:szCs w:val="22"/>
              </w:rPr>
              <w:t>h.定期检查生产和原料贮存区，杜绝事故隐患，降低事故发生概率。</w:t>
            </w:r>
          </w:p>
          <w:p>
            <w:pPr>
              <w:adjustRightInd w:val="0"/>
              <w:snapToGrid w:val="0"/>
              <w:spacing w:line="360" w:lineRule="auto"/>
              <w:ind w:firstLine="480" w:firstLineChars="200"/>
              <w:rPr>
                <w:bCs/>
                <w:sz w:val="24"/>
                <w:szCs w:val="22"/>
              </w:rPr>
            </w:pPr>
            <w:r>
              <w:rPr>
                <w:bCs/>
                <w:sz w:val="24"/>
                <w:szCs w:val="22"/>
              </w:rPr>
              <w:t>i.配备24小时有效的报警装置，建立有效的内部、外部通讯联络手段。上述措施可满足本项目风险防范及应急需求且具有可行性。在采取规范化环境风险防范措施和应急措施的前提下，本项目环境风险可控。</w:t>
            </w:r>
          </w:p>
          <w:p>
            <w:pPr>
              <w:adjustRightInd w:val="0"/>
              <w:snapToGrid w:val="0"/>
              <w:jc w:val="center"/>
              <w:rPr>
                <w:b/>
                <w:bCs/>
                <w:sz w:val="24"/>
              </w:rPr>
            </w:pPr>
            <w:r>
              <w:rPr>
                <w:b/>
                <w:bCs/>
                <w:sz w:val="24"/>
              </w:rPr>
              <w:t>表4-1</w:t>
            </w:r>
            <w:r>
              <w:rPr>
                <w:rFonts w:hint="eastAsia"/>
                <w:b/>
                <w:bCs/>
                <w:sz w:val="24"/>
                <w:lang w:val="en-US" w:eastAsia="zh-CN"/>
              </w:rPr>
              <w:t>8</w:t>
            </w:r>
            <w:r>
              <w:rPr>
                <w:b/>
                <w:bCs/>
                <w:sz w:val="24"/>
              </w:rPr>
              <w:t xml:space="preserve">  本项目环境风险简单分析内容表</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657"/>
              <w:gridCol w:w="2317"/>
              <w:gridCol w:w="963"/>
              <w:gridCol w:w="23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8" w:type="pct"/>
                  <w:vAlign w:val="center"/>
                </w:tcPr>
                <w:p>
                  <w:pPr>
                    <w:adjustRightInd w:val="0"/>
                    <w:snapToGrid w:val="0"/>
                    <w:jc w:val="center"/>
                  </w:pPr>
                  <w:r>
                    <w:t>建设项目名称</w:t>
                  </w:r>
                </w:p>
              </w:tc>
              <w:tc>
                <w:tcPr>
                  <w:tcW w:w="3711" w:type="pct"/>
                  <w:gridSpan w:val="4"/>
                  <w:vAlign w:val="center"/>
                </w:tcPr>
                <w:p>
                  <w:pPr>
                    <w:adjustRightInd w:val="0"/>
                    <w:snapToGrid w:val="0"/>
                    <w:jc w:val="center"/>
                    <w:rPr>
                      <w:rFonts w:hint="eastAsia" w:eastAsia="宋体"/>
                      <w:lang w:eastAsia="zh-CN"/>
                    </w:rPr>
                  </w:pPr>
                  <w:r>
                    <w:rPr>
                      <w:rFonts w:hint="eastAsia"/>
                      <w:lang w:eastAsia="zh-CN"/>
                    </w:rPr>
                    <w:t>供热系统提升改造项目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8" w:type="pct"/>
                  <w:vAlign w:val="center"/>
                </w:tcPr>
                <w:p>
                  <w:pPr>
                    <w:adjustRightInd w:val="0"/>
                    <w:snapToGrid w:val="0"/>
                    <w:jc w:val="center"/>
                  </w:pPr>
                  <w:r>
                    <w:t>建设地点</w:t>
                  </w:r>
                </w:p>
              </w:tc>
              <w:tc>
                <w:tcPr>
                  <w:tcW w:w="3711" w:type="pct"/>
                  <w:gridSpan w:val="4"/>
                  <w:vAlign w:val="center"/>
                </w:tcPr>
                <w:p>
                  <w:pPr>
                    <w:adjustRightInd w:val="0"/>
                    <w:snapToGrid w:val="0"/>
                    <w:jc w:val="center"/>
                  </w:pPr>
                  <w:r>
                    <w:t>江苏省常州市武进区礼嘉镇工业集中区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8" w:type="pct"/>
                  <w:vAlign w:val="center"/>
                </w:tcPr>
                <w:p>
                  <w:pPr>
                    <w:adjustRightInd w:val="0"/>
                    <w:snapToGrid w:val="0"/>
                    <w:jc w:val="center"/>
                  </w:pPr>
                  <w:r>
                    <w:t>地理坐标</w:t>
                  </w:r>
                </w:p>
              </w:tc>
              <w:tc>
                <w:tcPr>
                  <w:tcW w:w="391" w:type="pct"/>
                  <w:vAlign w:val="center"/>
                </w:tcPr>
                <w:p>
                  <w:pPr>
                    <w:adjustRightInd w:val="0"/>
                    <w:snapToGrid w:val="0"/>
                    <w:jc w:val="center"/>
                  </w:pPr>
                  <w:r>
                    <w:t>经度</w:t>
                  </w:r>
                </w:p>
              </w:tc>
              <w:tc>
                <w:tcPr>
                  <w:tcW w:w="1379" w:type="pct"/>
                  <w:vAlign w:val="center"/>
                </w:tcPr>
                <w:p>
                  <w:pPr>
                    <w:adjustRightInd w:val="0"/>
                    <w:snapToGrid w:val="0"/>
                    <w:jc w:val="center"/>
                  </w:pPr>
                  <w:r>
                    <w:rPr>
                      <w:szCs w:val="21"/>
                    </w:rPr>
                    <w:t>119度59分20.399秒</w:t>
                  </w:r>
                </w:p>
              </w:tc>
              <w:tc>
                <w:tcPr>
                  <w:tcW w:w="573" w:type="pct"/>
                  <w:vAlign w:val="center"/>
                </w:tcPr>
                <w:p>
                  <w:pPr>
                    <w:adjustRightInd w:val="0"/>
                    <w:snapToGrid w:val="0"/>
                    <w:jc w:val="center"/>
                  </w:pPr>
                  <w:r>
                    <w:t>纬度</w:t>
                  </w:r>
                </w:p>
              </w:tc>
              <w:tc>
                <w:tcPr>
                  <w:tcW w:w="1366" w:type="pct"/>
                  <w:vAlign w:val="center"/>
                </w:tcPr>
                <w:p>
                  <w:pPr>
                    <w:adjustRightInd w:val="0"/>
                    <w:snapToGrid w:val="0"/>
                    <w:jc w:val="center"/>
                  </w:pPr>
                  <w:r>
                    <w:rPr>
                      <w:szCs w:val="21"/>
                    </w:rPr>
                    <w:t>31度38分0.384秒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8" w:type="pct"/>
                  <w:vAlign w:val="center"/>
                </w:tcPr>
                <w:p>
                  <w:pPr>
                    <w:adjustRightInd w:val="0"/>
                    <w:snapToGrid w:val="0"/>
                    <w:jc w:val="center"/>
                  </w:pPr>
                  <w:r>
                    <w:t>主要危险物质及分布</w:t>
                  </w:r>
                </w:p>
              </w:tc>
              <w:tc>
                <w:tcPr>
                  <w:tcW w:w="3711" w:type="pct"/>
                  <w:gridSpan w:val="4"/>
                  <w:vAlign w:val="center"/>
                </w:tcPr>
                <w:p>
                  <w:pPr>
                    <w:adjustRightInd w:val="0"/>
                    <w:snapToGrid w:val="0"/>
                    <w:jc w:val="center"/>
                    <w:rPr>
                      <w:b/>
                      <w:bCs/>
                    </w:rPr>
                  </w:pPr>
                  <w:r>
                    <w:rPr>
                      <w:szCs w:val="21"/>
                    </w:rPr>
                    <w:t>主要危险物质：天然气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8" w:type="pct"/>
                  <w:vAlign w:val="center"/>
                </w:tcPr>
                <w:p>
                  <w:pPr>
                    <w:adjustRightInd w:val="0"/>
                    <w:snapToGrid w:val="0"/>
                    <w:jc w:val="center"/>
                  </w:pPr>
                  <w:r>
                    <w:t>环境影响途径及危害后果（大气、地表水、地下水等）</w:t>
                  </w:r>
                </w:p>
              </w:tc>
              <w:tc>
                <w:tcPr>
                  <w:tcW w:w="3711" w:type="pct"/>
                  <w:gridSpan w:val="4"/>
                  <w:vAlign w:val="center"/>
                </w:tcPr>
                <w:p>
                  <w:pPr>
                    <w:adjustRightInd w:val="0"/>
                    <w:snapToGrid w:val="0"/>
                    <w:jc w:val="center"/>
                  </w:pPr>
                  <w:r>
                    <w:rPr>
                      <w:szCs w:val="21"/>
                    </w:rPr>
                    <w:t>若天然气发生泄漏，会对大气环境造成一定影响；若泄漏至一定浓度，则会发生火灾、爆炸等风险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88" w:type="pct"/>
                  <w:vAlign w:val="center"/>
                </w:tcPr>
                <w:p>
                  <w:pPr>
                    <w:adjustRightInd w:val="0"/>
                    <w:snapToGrid w:val="0"/>
                    <w:jc w:val="center"/>
                  </w:pPr>
                  <w:r>
                    <w:t>风险防范措施要求</w:t>
                  </w:r>
                </w:p>
              </w:tc>
              <w:tc>
                <w:tcPr>
                  <w:tcW w:w="3711" w:type="pct"/>
                  <w:gridSpan w:val="4"/>
                  <w:vAlign w:val="center"/>
                </w:tcPr>
                <w:p>
                  <w:pPr>
                    <w:adjustRightInd w:val="0"/>
                    <w:snapToGrid w:val="0"/>
                    <w:jc w:val="center"/>
                  </w:pPr>
                  <w:r>
                    <w:t>定期检查厂内各风险防范措施的完善情况，设置应急物资，建立健全应急防范机制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000" w:type="pct"/>
                  <w:gridSpan w:val="5"/>
                  <w:vAlign w:val="center"/>
                </w:tcPr>
                <w:p>
                  <w:pPr>
                    <w:adjustRightInd w:val="0"/>
                    <w:snapToGrid w:val="0"/>
                    <w:jc w:val="center"/>
                  </w:pPr>
                  <w:r>
                    <w:t>填表说明（列出项目相关信息及评价说明）：本项目Q＜1，环境风险势能直接判断为I等级</w:t>
                  </w:r>
                </w:p>
              </w:tc>
            </w:tr>
          </w:tbl>
          <w:p>
            <w:pPr>
              <w:adjustRightInd w:val="0"/>
              <w:snapToGrid w:val="0"/>
              <w:spacing w:line="360" w:lineRule="auto"/>
              <w:rPr>
                <w:b/>
                <w:bCs/>
                <w:sz w:val="24"/>
              </w:rPr>
            </w:pPr>
            <w:r>
              <w:rPr>
                <w:b/>
                <w:bCs/>
                <w:sz w:val="24"/>
              </w:rPr>
              <w:t>9、电磁辐射</w:t>
            </w:r>
          </w:p>
          <w:p>
            <w:pPr>
              <w:adjustRightInd w:val="0"/>
              <w:snapToGrid w:val="0"/>
              <w:spacing w:line="360" w:lineRule="auto"/>
              <w:ind w:firstLine="480" w:firstLineChars="200"/>
              <w:rPr>
                <w:color w:val="0000FF"/>
                <w:szCs w:val="21"/>
              </w:rPr>
            </w:pPr>
            <w:r>
              <w:rPr>
                <w:bCs/>
                <w:sz w:val="24"/>
                <w:szCs w:val="22"/>
              </w:rPr>
              <w:t>本项目不涉及电磁辐射。</w:t>
            </w:r>
          </w:p>
        </w:tc>
      </w:tr>
    </w:tbl>
    <w:p>
      <w:pPr>
        <w:adjustRightInd w:val="0"/>
        <w:snapToGrid w:val="0"/>
        <w:spacing w:line="360" w:lineRule="auto"/>
        <w:rPr>
          <w:b/>
          <w:color w:val="0000FF"/>
          <w:kern w:val="0"/>
          <w:sz w:val="28"/>
          <w:szCs w:val="28"/>
        </w:rPr>
        <w:sectPr>
          <w:pgSz w:w="11907" w:h="16840"/>
          <w:pgMar w:top="1701" w:right="1531" w:bottom="2127" w:left="1531" w:header="851" w:footer="851" w:gutter="0"/>
          <w:cols w:space="720" w:num="1"/>
          <w:docGrid w:linePitch="312" w:charSpace="0"/>
        </w:sectPr>
      </w:pPr>
    </w:p>
    <w:p>
      <w:pPr>
        <w:pStyle w:val="18"/>
        <w:spacing w:before="0" w:beforeAutospacing="0" w:after="0" w:afterAutospacing="0"/>
        <w:jc w:val="center"/>
        <w:outlineLvl w:val="0"/>
        <w:rPr>
          <w:rFonts w:ascii="Times New Roman" w:hAnsi="Times New Roman"/>
          <w:snapToGrid w:val="0"/>
          <w:sz w:val="30"/>
          <w:szCs w:val="30"/>
        </w:rPr>
      </w:pPr>
      <w:r>
        <w:rPr>
          <w:rFonts w:ascii="Times New Roman" w:hAnsi="Times New Roman"/>
          <w:snapToGrid w:val="0"/>
          <w:sz w:val="30"/>
          <w:szCs w:val="30"/>
        </w:rPr>
        <w:t>五、</w:t>
      </w:r>
      <w:bookmarkStart w:id="5" w:name="_Hlk54167917"/>
      <w:r>
        <w:rPr>
          <w:rFonts w:ascii="Times New Roman" w:hAnsi="Times New Roman"/>
          <w:snapToGrid w:val="0"/>
          <w:sz w:val="30"/>
          <w:szCs w:val="30"/>
        </w:rPr>
        <w:t>环境保护措施监督检查清单</w:t>
      </w:r>
      <w:bookmarkEnd w:id="5"/>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701"/>
        <w:gridCol w:w="1050"/>
        <w:gridCol w:w="2493"/>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38" w:type="dxa"/>
            <w:tcBorders>
              <w:tl2br w:val="single" w:color="auto" w:sz="4" w:space="0"/>
            </w:tcBorders>
          </w:tcPr>
          <w:p>
            <w:pPr>
              <w:adjustRightInd w:val="0"/>
              <w:snapToGrid w:val="0"/>
              <w:ind w:firstLine="840"/>
              <w:rPr>
                <w:szCs w:val="21"/>
              </w:rPr>
            </w:pPr>
            <w:r>
              <w:rPr>
                <w:szCs w:val="21"/>
              </w:rPr>
              <w:t>内容</w:t>
            </w:r>
          </w:p>
          <w:p>
            <w:pPr>
              <w:adjustRightInd w:val="0"/>
              <w:snapToGrid w:val="0"/>
              <w:rPr>
                <w:szCs w:val="21"/>
              </w:rPr>
            </w:pPr>
            <w:r>
              <w:rPr>
                <w:szCs w:val="21"/>
              </w:rPr>
              <w:t>要素</w:t>
            </w:r>
          </w:p>
        </w:tc>
        <w:tc>
          <w:tcPr>
            <w:tcW w:w="1701" w:type="dxa"/>
            <w:vAlign w:val="center"/>
          </w:tcPr>
          <w:p>
            <w:pPr>
              <w:adjustRightInd w:val="0"/>
              <w:snapToGrid w:val="0"/>
              <w:jc w:val="center"/>
              <w:rPr>
                <w:szCs w:val="21"/>
              </w:rPr>
            </w:pPr>
            <w:r>
              <w:rPr>
                <w:szCs w:val="21"/>
              </w:rPr>
              <w:t>排放口(编号、</w:t>
            </w:r>
          </w:p>
          <w:p>
            <w:pPr>
              <w:adjustRightInd w:val="0"/>
              <w:snapToGrid w:val="0"/>
              <w:jc w:val="center"/>
              <w:rPr>
                <w:szCs w:val="21"/>
              </w:rPr>
            </w:pPr>
            <w:r>
              <w:rPr>
                <w:szCs w:val="21"/>
              </w:rPr>
              <w:t>名称)/污染源</w:t>
            </w:r>
          </w:p>
        </w:tc>
        <w:tc>
          <w:tcPr>
            <w:tcW w:w="1050" w:type="dxa"/>
            <w:vAlign w:val="center"/>
          </w:tcPr>
          <w:p>
            <w:pPr>
              <w:adjustRightInd w:val="0"/>
              <w:snapToGrid w:val="0"/>
              <w:jc w:val="center"/>
              <w:rPr>
                <w:szCs w:val="21"/>
              </w:rPr>
            </w:pPr>
            <w:r>
              <w:rPr>
                <w:szCs w:val="21"/>
              </w:rPr>
              <w:t>污染物项目</w:t>
            </w:r>
          </w:p>
        </w:tc>
        <w:tc>
          <w:tcPr>
            <w:tcW w:w="2493" w:type="dxa"/>
            <w:vAlign w:val="center"/>
          </w:tcPr>
          <w:p>
            <w:pPr>
              <w:adjustRightInd w:val="0"/>
              <w:snapToGrid w:val="0"/>
              <w:jc w:val="center"/>
              <w:rPr>
                <w:szCs w:val="21"/>
              </w:rPr>
            </w:pPr>
            <w:r>
              <w:rPr>
                <w:szCs w:val="21"/>
              </w:rPr>
              <w:t>环境保护措施</w:t>
            </w:r>
          </w:p>
        </w:tc>
        <w:tc>
          <w:tcPr>
            <w:tcW w:w="2018" w:type="dxa"/>
            <w:vAlign w:val="center"/>
          </w:tcPr>
          <w:p>
            <w:pPr>
              <w:adjustRightInd w:val="0"/>
              <w:snapToGrid w:val="0"/>
              <w:jc w:val="center"/>
              <w:rPr>
                <w:szCs w:val="21"/>
              </w:rPr>
            </w:pPr>
            <w:r>
              <w:rPr>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38" w:type="dxa"/>
            <w:vAlign w:val="center"/>
          </w:tcPr>
          <w:p>
            <w:pPr>
              <w:adjustRightInd w:val="0"/>
              <w:snapToGrid w:val="0"/>
              <w:jc w:val="center"/>
              <w:rPr>
                <w:szCs w:val="21"/>
              </w:rPr>
            </w:pPr>
            <w:r>
              <w:rPr>
                <w:szCs w:val="21"/>
              </w:rPr>
              <w:t>大气环境</w:t>
            </w:r>
          </w:p>
        </w:tc>
        <w:tc>
          <w:tcPr>
            <w:tcW w:w="1701" w:type="dxa"/>
            <w:vAlign w:val="center"/>
          </w:tcPr>
          <w:p>
            <w:pPr>
              <w:adjustRightInd w:val="0"/>
              <w:snapToGrid w:val="0"/>
              <w:jc w:val="center"/>
              <w:rPr>
                <w:szCs w:val="21"/>
              </w:rPr>
            </w:pPr>
            <w:r>
              <w:rPr>
                <w:szCs w:val="21"/>
              </w:rPr>
              <w:t>有组织废气</w:t>
            </w:r>
          </w:p>
        </w:tc>
        <w:tc>
          <w:tcPr>
            <w:tcW w:w="1050" w:type="dxa"/>
            <w:vAlign w:val="center"/>
          </w:tcPr>
          <w:p>
            <w:pPr>
              <w:jc w:val="center"/>
              <w:rPr>
                <w:szCs w:val="21"/>
              </w:rPr>
            </w:pPr>
            <w:r>
              <w:rPr>
                <w:szCs w:val="21"/>
              </w:rPr>
              <w:t>氮氧化物、颗粒物、二氧化硫</w:t>
            </w:r>
          </w:p>
        </w:tc>
        <w:tc>
          <w:tcPr>
            <w:tcW w:w="2493" w:type="dxa"/>
            <w:vAlign w:val="center"/>
          </w:tcPr>
          <w:p>
            <w:pPr>
              <w:adjustRightInd w:val="0"/>
              <w:snapToGrid w:val="0"/>
              <w:jc w:val="center"/>
              <w:rPr>
                <w:szCs w:val="21"/>
              </w:rPr>
            </w:pPr>
            <w:r>
              <w:rPr>
                <w:szCs w:val="21"/>
              </w:rPr>
              <w:t>燃气锅炉了配套低氮燃烧器，天然气燃烧废气通过</w:t>
            </w:r>
            <w:r>
              <w:rPr>
                <w:rFonts w:hint="eastAsia"/>
                <w:szCs w:val="21"/>
                <w:lang w:val="en-US" w:eastAsia="zh-CN"/>
              </w:rPr>
              <w:t>30</w:t>
            </w:r>
            <w:r>
              <w:rPr>
                <w:szCs w:val="21"/>
              </w:rPr>
              <w:t>m高的排气筒（FQ-5）直接排放至周围大气</w:t>
            </w:r>
          </w:p>
        </w:tc>
        <w:tc>
          <w:tcPr>
            <w:tcW w:w="2018" w:type="dxa"/>
            <w:vAlign w:val="center"/>
          </w:tcPr>
          <w:p>
            <w:pPr>
              <w:adjustRightInd w:val="0"/>
              <w:snapToGrid w:val="0"/>
              <w:jc w:val="center"/>
              <w:rPr>
                <w:szCs w:val="21"/>
              </w:rPr>
            </w:pPr>
            <w:r>
              <w:rPr>
                <w:szCs w:val="21"/>
              </w:rPr>
              <w:t>颗粒物、二氧化硫执行《锅炉大气污染物排放标准》（GB13271-2014）中表3大气污染物特别排放限值；氮氧化物执行《2020年常州市打好污染防治攻坚战工作方案》（常政发（2020）29号）排放要求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38" w:type="dxa"/>
            <w:vAlign w:val="center"/>
          </w:tcPr>
          <w:p>
            <w:pPr>
              <w:adjustRightInd w:val="0"/>
              <w:snapToGrid w:val="0"/>
              <w:jc w:val="center"/>
              <w:rPr>
                <w:szCs w:val="21"/>
              </w:rPr>
            </w:pPr>
            <w:r>
              <w:rPr>
                <w:szCs w:val="21"/>
              </w:rPr>
              <w:t>地表水环境</w:t>
            </w:r>
          </w:p>
        </w:tc>
        <w:tc>
          <w:tcPr>
            <w:tcW w:w="1701" w:type="dxa"/>
            <w:vAlign w:val="center"/>
          </w:tcPr>
          <w:p>
            <w:pPr>
              <w:adjustRightInd w:val="0"/>
              <w:snapToGrid w:val="0"/>
              <w:jc w:val="center"/>
              <w:rPr>
                <w:szCs w:val="21"/>
              </w:rPr>
            </w:pPr>
            <w:r>
              <w:rPr>
                <w:szCs w:val="21"/>
              </w:rPr>
              <w:t>/</w:t>
            </w:r>
          </w:p>
        </w:tc>
        <w:tc>
          <w:tcPr>
            <w:tcW w:w="1050" w:type="dxa"/>
            <w:vAlign w:val="center"/>
          </w:tcPr>
          <w:p>
            <w:pPr>
              <w:adjustRightInd w:val="0"/>
              <w:snapToGrid w:val="0"/>
              <w:jc w:val="center"/>
              <w:rPr>
                <w:szCs w:val="21"/>
              </w:rPr>
            </w:pPr>
            <w:r>
              <w:rPr>
                <w:szCs w:val="21"/>
              </w:rPr>
              <w:t>/</w:t>
            </w:r>
          </w:p>
        </w:tc>
        <w:tc>
          <w:tcPr>
            <w:tcW w:w="2493" w:type="dxa"/>
            <w:vAlign w:val="center"/>
          </w:tcPr>
          <w:p>
            <w:pPr>
              <w:adjustRightInd w:val="0"/>
              <w:snapToGrid w:val="0"/>
              <w:jc w:val="center"/>
              <w:rPr>
                <w:szCs w:val="21"/>
              </w:rPr>
            </w:pPr>
            <w:r>
              <w:rPr>
                <w:szCs w:val="21"/>
              </w:rPr>
              <w:t>/</w:t>
            </w:r>
          </w:p>
        </w:tc>
        <w:tc>
          <w:tcPr>
            <w:tcW w:w="2018" w:type="dxa"/>
            <w:vAlign w:val="center"/>
          </w:tcPr>
          <w:p>
            <w:pPr>
              <w:adjustRightInd w:val="0"/>
              <w:snapToGrid w:val="0"/>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38" w:type="dxa"/>
            <w:vAlign w:val="center"/>
          </w:tcPr>
          <w:p>
            <w:pPr>
              <w:adjustRightInd w:val="0"/>
              <w:snapToGrid w:val="0"/>
              <w:jc w:val="center"/>
              <w:rPr>
                <w:szCs w:val="21"/>
              </w:rPr>
            </w:pPr>
            <w:r>
              <w:rPr>
                <w:szCs w:val="21"/>
              </w:rPr>
              <w:t>声环境</w:t>
            </w:r>
          </w:p>
        </w:tc>
        <w:tc>
          <w:tcPr>
            <w:tcW w:w="1701" w:type="dxa"/>
            <w:vAlign w:val="center"/>
          </w:tcPr>
          <w:p>
            <w:pPr>
              <w:jc w:val="center"/>
              <w:rPr>
                <w:szCs w:val="21"/>
              </w:rPr>
            </w:pPr>
            <w:r>
              <w:rPr>
                <w:szCs w:val="21"/>
              </w:rPr>
              <w:t>锅炉及配套设备</w:t>
            </w:r>
          </w:p>
        </w:tc>
        <w:tc>
          <w:tcPr>
            <w:tcW w:w="1050" w:type="dxa"/>
            <w:vAlign w:val="center"/>
          </w:tcPr>
          <w:p>
            <w:pPr>
              <w:jc w:val="center"/>
              <w:rPr>
                <w:szCs w:val="21"/>
              </w:rPr>
            </w:pPr>
            <w:r>
              <w:rPr>
                <w:szCs w:val="21"/>
              </w:rPr>
              <w:t>噪声</w:t>
            </w:r>
          </w:p>
        </w:tc>
        <w:tc>
          <w:tcPr>
            <w:tcW w:w="2493" w:type="dxa"/>
            <w:vAlign w:val="center"/>
          </w:tcPr>
          <w:p>
            <w:pPr>
              <w:jc w:val="center"/>
              <w:rPr>
                <w:szCs w:val="21"/>
              </w:rPr>
            </w:pPr>
            <w:r>
              <w:rPr>
                <w:szCs w:val="21"/>
              </w:rPr>
              <w:t>合理布局、减振、厂房隔声、距离衰减等措施</w:t>
            </w:r>
          </w:p>
        </w:tc>
        <w:tc>
          <w:tcPr>
            <w:tcW w:w="2018" w:type="dxa"/>
            <w:vAlign w:val="center"/>
          </w:tcPr>
          <w:p>
            <w:pPr>
              <w:adjustRightInd w:val="0"/>
              <w:snapToGrid w:val="0"/>
              <w:jc w:val="center"/>
              <w:rPr>
                <w:szCs w:val="21"/>
              </w:rPr>
            </w:pPr>
            <w:r>
              <w:rPr>
                <w:szCs w:val="21"/>
              </w:rPr>
              <w:t>《工业企业厂界环境噪声排放标准》（GB12348-2008）中2类标准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38" w:type="dxa"/>
            <w:vAlign w:val="center"/>
          </w:tcPr>
          <w:p>
            <w:pPr>
              <w:adjustRightInd w:val="0"/>
              <w:snapToGrid w:val="0"/>
              <w:jc w:val="center"/>
              <w:rPr>
                <w:szCs w:val="21"/>
              </w:rPr>
            </w:pPr>
            <w:r>
              <w:rPr>
                <w:szCs w:val="21"/>
              </w:rPr>
              <w:t>电磁辐射</w:t>
            </w:r>
          </w:p>
        </w:tc>
        <w:tc>
          <w:tcPr>
            <w:tcW w:w="1701" w:type="dxa"/>
            <w:vAlign w:val="center"/>
          </w:tcPr>
          <w:p>
            <w:pPr>
              <w:adjustRightInd w:val="0"/>
              <w:snapToGrid w:val="0"/>
              <w:jc w:val="center"/>
              <w:rPr>
                <w:szCs w:val="21"/>
              </w:rPr>
            </w:pPr>
            <w:r>
              <w:rPr>
                <w:szCs w:val="21"/>
              </w:rPr>
              <w:t>/</w:t>
            </w:r>
          </w:p>
        </w:tc>
        <w:tc>
          <w:tcPr>
            <w:tcW w:w="1050" w:type="dxa"/>
            <w:vAlign w:val="center"/>
          </w:tcPr>
          <w:p>
            <w:pPr>
              <w:adjustRightInd w:val="0"/>
              <w:snapToGrid w:val="0"/>
              <w:jc w:val="center"/>
              <w:rPr>
                <w:szCs w:val="21"/>
              </w:rPr>
            </w:pPr>
            <w:r>
              <w:rPr>
                <w:szCs w:val="21"/>
              </w:rPr>
              <w:t>/</w:t>
            </w:r>
          </w:p>
        </w:tc>
        <w:tc>
          <w:tcPr>
            <w:tcW w:w="2493" w:type="dxa"/>
            <w:vAlign w:val="center"/>
          </w:tcPr>
          <w:p>
            <w:pPr>
              <w:adjustRightInd w:val="0"/>
              <w:snapToGrid w:val="0"/>
              <w:jc w:val="center"/>
              <w:rPr>
                <w:szCs w:val="21"/>
              </w:rPr>
            </w:pPr>
            <w:r>
              <w:rPr>
                <w:szCs w:val="21"/>
              </w:rPr>
              <w:t>/</w:t>
            </w:r>
          </w:p>
        </w:tc>
        <w:tc>
          <w:tcPr>
            <w:tcW w:w="2018" w:type="dxa"/>
            <w:vAlign w:val="center"/>
          </w:tcPr>
          <w:p>
            <w:pPr>
              <w:adjustRightInd w:val="0"/>
              <w:snapToGrid w:val="0"/>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38" w:type="dxa"/>
            <w:vAlign w:val="center"/>
          </w:tcPr>
          <w:p>
            <w:pPr>
              <w:adjustRightInd w:val="0"/>
              <w:snapToGrid w:val="0"/>
              <w:jc w:val="center"/>
              <w:rPr>
                <w:szCs w:val="21"/>
              </w:rPr>
            </w:pPr>
            <w:r>
              <w:rPr>
                <w:szCs w:val="21"/>
              </w:rPr>
              <w:t>固体废物</w:t>
            </w:r>
          </w:p>
        </w:tc>
        <w:tc>
          <w:tcPr>
            <w:tcW w:w="7262" w:type="dxa"/>
            <w:gridSpan w:val="4"/>
            <w:vAlign w:val="center"/>
          </w:tcPr>
          <w:p>
            <w:pPr>
              <w:adjustRightInd w:val="0"/>
              <w:snapToGrid w:val="0"/>
              <w:jc w:val="left"/>
              <w:rPr>
                <w:szCs w:val="21"/>
              </w:rPr>
            </w:pPr>
            <w:r>
              <w:rPr>
                <w:szCs w:val="21"/>
              </w:rPr>
              <w:t>危险固废：废导热油、废包装桶委托有资质单位处理。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38" w:type="dxa"/>
            <w:vAlign w:val="center"/>
          </w:tcPr>
          <w:p>
            <w:pPr>
              <w:adjustRightInd w:val="0"/>
              <w:snapToGrid w:val="0"/>
              <w:jc w:val="center"/>
              <w:rPr>
                <w:szCs w:val="21"/>
              </w:rPr>
            </w:pPr>
            <w:r>
              <w:rPr>
                <w:szCs w:val="21"/>
              </w:rPr>
              <w:t>土壤及地下水</w:t>
            </w:r>
          </w:p>
          <w:p>
            <w:pPr>
              <w:adjustRightInd w:val="0"/>
              <w:snapToGrid w:val="0"/>
              <w:jc w:val="center"/>
              <w:rPr>
                <w:szCs w:val="21"/>
              </w:rPr>
            </w:pPr>
            <w:r>
              <w:rPr>
                <w:szCs w:val="21"/>
              </w:rPr>
              <w:t>污染防治措施</w:t>
            </w:r>
          </w:p>
        </w:tc>
        <w:tc>
          <w:tcPr>
            <w:tcW w:w="7262" w:type="dxa"/>
            <w:gridSpan w:val="4"/>
            <w:vAlign w:val="center"/>
          </w:tcPr>
          <w:p>
            <w:pPr>
              <w:adjustRightInd w:val="0"/>
              <w:snapToGrid w:val="0"/>
              <w:rPr>
                <w:szCs w:val="21"/>
              </w:rPr>
            </w:pPr>
            <w:r>
              <w:rPr>
                <w:szCs w:val="21"/>
              </w:rPr>
              <w:t>锅炉房、危废仓库地面进行硬化处理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exact"/>
          <w:jc w:val="center"/>
        </w:trPr>
        <w:tc>
          <w:tcPr>
            <w:tcW w:w="1538" w:type="dxa"/>
            <w:vAlign w:val="center"/>
          </w:tcPr>
          <w:p>
            <w:pPr>
              <w:adjustRightInd w:val="0"/>
              <w:snapToGrid w:val="0"/>
              <w:jc w:val="center"/>
              <w:rPr>
                <w:szCs w:val="21"/>
              </w:rPr>
            </w:pPr>
            <w:r>
              <w:rPr>
                <w:szCs w:val="21"/>
              </w:rPr>
              <w:t>生态保护措施</w:t>
            </w:r>
          </w:p>
        </w:tc>
        <w:tc>
          <w:tcPr>
            <w:tcW w:w="7262" w:type="dxa"/>
            <w:gridSpan w:val="4"/>
            <w:vAlign w:val="center"/>
          </w:tcPr>
          <w:p>
            <w:pPr>
              <w:adjustRightInd w:val="0"/>
              <w:snapToGrid w:val="0"/>
              <w:jc w:val="left"/>
              <w:rPr>
                <w:szCs w:val="21"/>
              </w:rPr>
            </w:pPr>
            <w:r>
              <w:rPr>
                <w:szCs w:val="21"/>
              </w:rPr>
              <w:t>根据《江苏省生态空间管控区域规划》（苏政发〔2020〕1号）及《省政府关于印发江苏省国家级生态保护红线规划的通知》（苏政发[2018]74号），本项目不在常州市国家级生态保护红线和生态空间管控区域的保护区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1538" w:type="dxa"/>
            <w:vAlign w:val="center"/>
          </w:tcPr>
          <w:p>
            <w:pPr>
              <w:adjustRightInd w:val="0"/>
              <w:snapToGrid w:val="0"/>
              <w:jc w:val="center"/>
              <w:rPr>
                <w:spacing w:val="-8"/>
                <w:szCs w:val="21"/>
              </w:rPr>
            </w:pPr>
            <w:r>
              <w:rPr>
                <w:spacing w:val="-8"/>
                <w:szCs w:val="21"/>
              </w:rPr>
              <w:t>环境风险</w:t>
            </w:r>
          </w:p>
          <w:p>
            <w:pPr>
              <w:adjustRightInd w:val="0"/>
              <w:snapToGrid w:val="0"/>
              <w:jc w:val="center"/>
              <w:rPr>
                <w:spacing w:val="-8"/>
                <w:szCs w:val="21"/>
              </w:rPr>
            </w:pPr>
            <w:r>
              <w:rPr>
                <w:spacing w:val="-8"/>
                <w:szCs w:val="21"/>
              </w:rPr>
              <w:t>防范措施</w:t>
            </w:r>
          </w:p>
        </w:tc>
        <w:tc>
          <w:tcPr>
            <w:tcW w:w="7262" w:type="dxa"/>
            <w:gridSpan w:val="4"/>
            <w:vAlign w:val="center"/>
          </w:tcPr>
          <w:p>
            <w:pPr>
              <w:adjustRightInd w:val="0"/>
              <w:snapToGrid w:val="0"/>
              <w:rPr>
                <w:szCs w:val="21"/>
              </w:rPr>
            </w:pPr>
            <w:r>
              <w:rPr>
                <w:szCs w:val="21"/>
              </w:rPr>
              <w:t>1、建立健全各种有关消防与安全生产的规章制度，建立岗位责任制。仓库、生产车间严禁明火，禁火区设置明显标志牌。</w:t>
            </w:r>
          </w:p>
          <w:p>
            <w:pPr>
              <w:adjustRightInd w:val="0"/>
              <w:snapToGrid w:val="0"/>
              <w:rPr>
                <w:szCs w:val="21"/>
              </w:rPr>
            </w:pPr>
            <w:r>
              <w:rPr>
                <w:szCs w:val="21"/>
              </w:rPr>
              <w:t>2、配置足量的灭火器及室内消防箱等消防设施，由专人保管和监护，并保持完好状态。</w:t>
            </w:r>
          </w:p>
          <w:p>
            <w:pPr>
              <w:adjustRightInd w:val="0"/>
              <w:snapToGrid w:val="0"/>
              <w:rPr>
                <w:szCs w:val="21"/>
              </w:rPr>
            </w:pPr>
            <w:r>
              <w:rPr>
                <w:szCs w:val="21"/>
              </w:rPr>
              <w:t>3、进行定期的培训和训练。对有火灾危险的场所设置自动报警系统，一旦发生火灾，立即做出应急反应。</w:t>
            </w:r>
          </w:p>
          <w:p>
            <w:pPr>
              <w:adjustRightInd w:val="0"/>
              <w:snapToGrid w:val="0"/>
              <w:rPr>
                <w:szCs w:val="21"/>
              </w:rPr>
            </w:pPr>
            <w:r>
              <w:rPr>
                <w:szCs w:val="21"/>
              </w:rPr>
              <w:t>4、危险废物暂存间设置监控系统。在库的出入口、内部等关键位置安装视频监控设施，进行实时监控，并与中控室联网。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1538" w:type="dxa"/>
            <w:vAlign w:val="center"/>
          </w:tcPr>
          <w:p>
            <w:pPr>
              <w:adjustRightInd w:val="0"/>
              <w:snapToGrid w:val="0"/>
              <w:jc w:val="center"/>
              <w:rPr>
                <w:spacing w:val="-8"/>
                <w:szCs w:val="21"/>
              </w:rPr>
            </w:pPr>
            <w:r>
              <w:rPr>
                <w:spacing w:val="-8"/>
                <w:szCs w:val="21"/>
              </w:rPr>
              <w:t>其他环境</w:t>
            </w:r>
          </w:p>
          <w:p>
            <w:pPr>
              <w:adjustRightInd w:val="0"/>
              <w:snapToGrid w:val="0"/>
              <w:jc w:val="center"/>
              <w:rPr>
                <w:spacing w:val="-8"/>
                <w:szCs w:val="21"/>
              </w:rPr>
            </w:pPr>
            <w:r>
              <w:rPr>
                <w:spacing w:val="-8"/>
                <w:szCs w:val="21"/>
              </w:rPr>
              <w:t>管理要求</w:t>
            </w:r>
          </w:p>
        </w:tc>
        <w:tc>
          <w:tcPr>
            <w:tcW w:w="7262" w:type="dxa"/>
            <w:gridSpan w:val="4"/>
            <w:vAlign w:val="center"/>
          </w:tcPr>
          <w:p>
            <w:pPr>
              <w:adjustRightInd w:val="0"/>
              <w:snapToGrid w:val="0"/>
              <w:rPr>
                <w:szCs w:val="21"/>
              </w:rPr>
            </w:pPr>
            <w:r>
              <w:rPr>
                <w:szCs w:val="21"/>
              </w:rPr>
              <w:t>1、加强对高噪声设备的管理、维护和检修工作，做好噪声防治措施，确保厂界噪声贡献值达标排放。</w:t>
            </w:r>
          </w:p>
          <w:p>
            <w:pPr>
              <w:adjustRightInd w:val="0"/>
              <w:snapToGrid w:val="0"/>
              <w:rPr>
                <w:szCs w:val="21"/>
              </w:rPr>
            </w:pPr>
            <w:r>
              <w:rPr>
                <w:szCs w:val="21"/>
              </w:rPr>
              <w:t>2、严格按照《危险废物贮存污染控制标准》（GB18597-2001）及修改公告（环境保护部公告2013年第36号）要求贮存危险废物，落实危险固废处置单位，做到固废“零”排放。</w:t>
            </w:r>
          </w:p>
          <w:p>
            <w:pPr>
              <w:adjustRightInd w:val="0"/>
              <w:snapToGrid w:val="0"/>
              <w:rPr>
                <w:szCs w:val="21"/>
              </w:rPr>
            </w:pPr>
            <w:r>
              <w:rPr>
                <w:szCs w:val="21"/>
              </w:rPr>
              <w:t>3、加强对废气、废水处理装置的管理，确保废气、废水污染物稳定达标排放。</w:t>
            </w:r>
          </w:p>
          <w:p>
            <w:pPr>
              <w:adjustRightInd w:val="0"/>
              <w:snapToGrid w:val="0"/>
              <w:rPr>
                <w:szCs w:val="21"/>
              </w:rPr>
            </w:pPr>
            <w:r>
              <w:rPr>
                <w:szCs w:val="21"/>
              </w:rPr>
              <w:t>4、加强管理，建立各种健全的生产环保规章制度，严格在岗人员操作管理。</w:t>
            </w:r>
          </w:p>
        </w:tc>
      </w:tr>
    </w:tbl>
    <w:p>
      <w:pPr>
        <w:pStyle w:val="18"/>
        <w:spacing w:before="0" w:beforeAutospacing="0" w:after="0" w:afterAutospacing="0"/>
        <w:jc w:val="center"/>
        <w:outlineLvl w:val="0"/>
        <w:rPr>
          <w:rFonts w:ascii="Times New Roman" w:hAnsi="Times New Roman"/>
          <w:snapToGrid w:val="0"/>
          <w:color w:val="0000FF"/>
          <w:sz w:val="30"/>
          <w:szCs w:val="30"/>
        </w:rPr>
      </w:pPr>
      <w:r>
        <w:rPr>
          <w:rFonts w:ascii="Times New Roman" w:hAnsi="Times New Roman"/>
          <w:snapToGrid w:val="0"/>
          <w:color w:val="0000FF"/>
        </w:rPr>
        <w:br w:type="page"/>
      </w:r>
      <w:r>
        <w:rPr>
          <w:rFonts w:ascii="Times New Roman" w:hAnsi="Times New Roman"/>
          <w:snapToGrid w:val="0"/>
          <w:sz w:val="30"/>
          <w:szCs w:val="30"/>
        </w:rPr>
        <w:t>六、结论</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5" w:hRule="atLeast"/>
          <w:jc w:val="center"/>
        </w:trPr>
        <w:tc>
          <w:tcPr>
            <w:tcW w:w="8865" w:type="dxa"/>
          </w:tcPr>
          <w:p>
            <w:pPr>
              <w:spacing w:line="360" w:lineRule="auto"/>
              <w:ind w:firstLine="480" w:firstLineChars="200"/>
              <w:rPr>
                <w:color w:val="0000FF"/>
                <w:sz w:val="24"/>
              </w:rPr>
            </w:pPr>
            <w:r>
              <w:rPr>
                <w:sz w:val="24"/>
              </w:rPr>
              <w:t>本项目符合国家相关法律法规、产业政策和城市总体规划。项目在建设中和建成运行以后将产生一定程度的废气、固废及噪声的污染，全面落实本评价拟定的各项环境保护措施，项目对周围环境的影响可以控制在国家有关标准和要求的允许范围以内，各污染物能够满足国家和地方规定的污染物排放标准，不改变当地的环境质量功能属性。因此，建设单位在落实本报告提出的各项污染防治措施的前提下，从环境保护的角度论证是可行的。</w:t>
            </w:r>
          </w:p>
        </w:tc>
      </w:tr>
    </w:tbl>
    <w:p>
      <w:pPr>
        <w:pStyle w:val="8"/>
        <w:ind w:left="1470" w:right="1470"/>
        <w:rPr>
          <w:rFonts w:ascii="Times New Roman" w:hAnsi="Times New Roman"/>
          <w:color w:val="0000FF"/>
        </w:rPr>
      </w:pPr>
      <w:r>
        <w:rPr>
          <w:rFonts w:ascii="Times New Roman" w:hAnsi="Times New Roman"/>
          <w:color w:val="0000FF"/>
        </w:rPr>
        <w:br w:type="page"/>
      </w:r>
    </w:p>
    <w:p>
      <w:pPr>
        <w:rPr>
          <w:color w:val="0000FF"/>
        </w:rPr>
        <w:sectPr>
          <w:pgSz w:w="11906" w:h="16838"/>
          <w:pgMar w:top="1701" w:right="1531" w:bottom="1701" w:left="1531" w:header="851" w:footer="851" w:gutter="0"/>
          <w:cols w:space="720" w:num="1"/>
          <w:docGrid w:linePitch="312" w:charSpace="0"/>
        </w:sectPr>
      </w:pPr>
    </w:p>
    <w:p>
      <w:pPr>
        <w:pStyle w:val="18"/>
        <w:adjustRightInd w:val="0"/>
        <w:spacing w:before="0" w:beforeAutospacing="0" w:after="0" w:afterAutospacing="0"/>
        <w:contextualSpacing/>
        <w:outlineLvl w:val="0"/>
        <w:rPr>
          <w:rFonts w:ascii="Times New Roman" w:hAnsi="Times New Roman"/>
          <w:snapToGrid w:val="0"/>
          <w:sz w:val="32"/>
          <w:szCs w:val="32"/>
        </w:rPr>
      </w:pPr>
      <w:r>
        <w:rPr>
          <w:rFonts w:ascii="Times New Roman" w:hAnsi="Times New Roman"/>
          <w:snapToGrid w:val="0"/>
          <w:sz w:val="32"/>
          <w:szCs w:val="32"/>
        </w:rPr>
        <w:t>附表</w:t>
      </w:r>
    </w:p>
    <w:p>
      <w:pPr>
        <w:pStyle w:val="18"/>
        <w:adjustRightInd w:val="0"/>
        <w:spacing w:before="0" w:beforeAutospacing="0" w:after="0" w:afterAutospacing="0"/>
        <w:contextualSpacing/>
        <w:jc w:val="center"/>
        <w:outlineLvl w:val="0"/>
        <w:rPr>
          <w:rFonts w:ascii="Times New Roman" w:hAnsi="Times New Roman"/>
          <w:snapToGrid w:val="0"/>
          <w:sz w:val="36"/>
          <w:szCs w:val="36"/>
        </w:rPr>
      </w:pPr>
      <w:r>
        <w:rPr>
          <w:rFonts w:ascii="Times New Roman" w:hAnsi="Times New Roman"/>
          <w:snapToGrid w:val="0"/>
          <w:sz w:val="36"/>
          <w:szCs w:val="36"/>
        </w:rPr>
        <w:t>建设项目污染物排放量汇总表</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8"/>
        <w:gridCol w:w="1879"/>
        <w:gridCol w:w="1683"/>
        <w:gridCol w:w="1879"/>
        <w:gridCol w:w="1724"/>
        <w:gridCol w:w="1945"/>
        <w:gridCol w:w="1813"/>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2" w:type="pct"/>
            <w:tcBorders>
              <w:tl2br w:val="single" w:color="auto" w:sz="4" w:space="0"/>
            </w:tcBorders>
            <w:tcMar>
              <w:left w:w="28" w:type="dxa"/>
              <w:right w:w="28" w:type="dxa"/>
            </w:tcMar>
            <w:vAlign w:val="center"/>
          </w:tcPr>
          <w:p>
            <w:pPr>
              <w:pStyle w:val="38"/>
              <w:spacing w:beforeLines="0" w:afterLines="0" w:line="240" w:lineRule="auto"/>
              <w:jc w:val="right"/>
              <w:rPr>
                <w:rFonts w:ascii="Times New Roman"/>
                <w:snapToGrid w:val="0"/>
                <w:spacing w:val="-6"/>
                <w:kern w:val="21"/>
                <w:szCs w:val="21"/>
              </w:rPr>
            </w:pPr>
            <w:r>
              <w:rPr>
                <w:rFonts w:ascii="Times New Roman"/>
                <w:snapToGrid w:val="0"/>
                <w:spacing w:val="-6"/>
                <w:kern w:val="21"/>
                <w:szCs w:val="21"/>
              </w:rPr>
              <w:t>项目</w:t>
            </w:r>
          </w:p>
          <w:p>
            <w:pPr>
              <w:pStyle w:val="38"/>
              <w:spacing w:beforeLines="0" w:afterLines="0" w:line="240" w:lineRule="auto"/>
              <w:jc w:val="left"/>
              <w:rPr>
                <w:rFonts w:ascii="Times New Roman"/>
                <w:snapToGrid w:val="0"/>
                <w:spacing w:val="-6"/>
                <w:kern w:val="21"/>
                <w:szCs w:val="21"/>
              </w:rPr>
            </w:pPr>
            <w:r>
              <w:rPr>
                <w:rFonts w:ascii="Times New Roman"/>
                <w:snapToGrid w:val="0"/>
                <w:spacing w:val="-6"/>
                <w:kern w:val="21"/>
                <w:szCs w:val="21"/>
              </w:rPr>
              <w:t>分类</w:t>
            </w:r>
          </w:p>
        </w:tc>
        <w:tc>
          <w:tcPr>
            <w:tcW w:w="679" w:type="pct"/>
            <w:tcMar>
              <w:left w:w="28" w:type="dxa"/>
              <w:right w:w="28" w:type="dxa"/>
            </w:tcMar>
            <w:vAlign w:val="center"/>
          </w:tcPr>
          <w:p>
            <w:pPr>
              <w:pStyle w:val="38"/>
              <w:spacing w:beforeLines="0" w:afterLines="0" w:line="240" w:lineRule="auto"/>
              <w:rPr>
                <w:rFonts w:ascii="Times New Roman"/>
                <w:snapToGrid w:val="0"/>
                <w:spacing w:val="-6"/>
                <w:kern w:val="21"/>
                <w:szCs w:val="21"/>
              </w:rPr>
            </w:pPr>
            <w:r>
              <w:rPr>
                <w:rFonts w:ascii="Times New Roman"/>
                <w:snapToGrid w:val="0"/>
                <w:spacing w:val="-6"/>
                <w:kern w:val="21"/>
                <w:szCs w:val="21"/>
              </w:rPr>
              <w:t>污染物名称</w:t>
            </w:r>
          </w:p>
        </w:tc>
        <w:tc>
          <w:tcPr>
            <w:tcW w:w="608" w:type="pct"/>
            <w:tcMar>
              <w:left w:w="28" w:type="dxa"/>
              <w:right w:w="28" w:type="dxa"/>
            </w:tcMar>
            <w:vAlign w:val="center"/>
          </w:tcPr>
          <w:p>
            <w:pPr>
              <w:pStyle w:val="38"/>
              <w:spacing w:beforeLines="0" w:afterLines="0" w:line="240" w:lineRule="auto"/>
              <w:rPr>
                <w:rFonts w:ascii="Times New Roman"/>
                <w:snapToGrid w:val="0"/>
                <w:spacing w:val="-6"/>
                <w:kern w:val="21"/>
                <w:szCs w:val="21"/>
              </w:rPr>
            </w:pPr>
            <w:r>
              <w:rPr>
                <w:rFonts w:ascii="Times New Roman"/>
                <w:snapToGrid w:val="0"/>
                <w:spacing w:val="-6"/>
                <w:kern w:val="21"/>
                <w:szCs w:val="21"/>
              </w:rPr>
              <w:t>现有工程</w:t>
            </w:r>
          </w:p>
          <w:p>
            <w:pPr>
              <w:pStyle w:val="38"/>
              <w:spacing w:beforeLines="0" w:afterLines="0" w:line="240" w:lineRule="auto"/>
              <w:rPr>
                <w:rFonts w:ascii="Times New Roman"/>
                <w:snapToGrid w:val="0"/>
                <w:spacing w:val="-6"/>
                <w:kern w:val="21"/>
                <w:szCs w:val="21"/>
              </w:rPr>
            </w:pPr>
            <w:r>
              <w:rPr>
                <w:rFonts w:ascii="Times New Roman"/>
                <w:snapToGrid w:val="0"/>
                <w:spacing w:val="-6"/>
                <w:kern w:val="21"/>
                <w:szCs w:val="21"/>
              </w:rPr>
              <w:t>排放量（固体废物产生量）</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ascii="Times New Roman"/>
                <w:kern w:val="2"/>
                <w:szCs w:val="21"/>
              </w:rPr>
              <w:t>①</w:t>
            </w:r>
            <w:r>
              <w:rPr>
                <w:rFonts w:ascii="Times New Roman"/>
                <w:snapToGrid w:val="0"/>
                <w:spacing w:val="-6"/>
                <w:kern w:val="21"/>
                <w:szCs w:val="21"/>
              </w:rPr>
              <w:fldChar w:fldCharType="end"/>
            </w:r>
          </w:p>
        </w:tc>
        <w:tc>
          <w:tcPr>
            <w:tcW w:w="679" w:type="pct"/>
            <w:tcMar>
              <w:left w:w="28" w:type="dxa"/>
              <w:right w:w="28" w:type="dxa"/>
            </w:tcMar>
            <w:vAlign w:val="center"/>
          </w:tcPr>
          <w:p>
            <w:pPr>
              <w:pStyle w:val="38"/>
              <w:spacing w:beforeLines="0" w:afterLines="0" w:line="240" w:lineRule="auto"/>
              <w:rPr>
                <w:rFonts w:ascii="Times New Roman"/>
                <w:snapToGrid w:val="0"/>
                <w:spacing w:val="-6"/>
                <w:kern w:val="21"/>
                <w:szCs w:val="21"/>
              </w:rPr>
            </w:pPr>
            <w:r>
              <w:rPr>
                <w:rFonts w:ascii="Times New Roman"/>
                <w:snapToGrid w:val="0"/>
                <w:spacing w:val="-6"/>
                <w:kern w:val="21"/>
                <w:szCs w:val="21"/>
              </w:rPr>
              <w:t>在建工程</w:t>
            </w:r>
          </w:p>
          <w:p>
            <w:pPr>
              <w:pStyle w:val="38"/>
              <w:spacing w:beforeLines="0" w:afterLines="0" w:line="240" w:lineRule="auto"/>
              <w:rPr>
                <w:rFonts w:hint="eastAsia" w:ascii="Times New Roman" w:eastAsia="宋体"/>
                <w:snapToGrid w:val="0"/>
                <w:spacing w:val="-6"/>
                <w:kern w:val="21"/>
                <w:szCs w:val="21"/>
                <w:lang w:eastAsia="zh-CN"/>
              </w:rPr>
            </w:pPr>
            <w:r>
              <w:rPr>
                <w:rFonts w:ascii="Times New Roman"/>
                <w:snapToGrid w:val="0"/>
                <w:spacing w:val="-6"/>
                <w:kern w:val="21"/>
                <w:szCs w:val="21"/>
              </w:rPr>
              <w:t>排放量（固体废物产生量）</w:t>
            </w:r>
            <w:r>
              <w:rPr>
                <w:rFonts w:hint="eastAsia" w:ascii="Times New Roman"/>
                <w:snapToGrid w:val="0"/>
                <w:spacing w:val="-6"/>
                <w:kern w:val="21"/>
                <w:szCs w:val="21"/>
                <w:lang w:val="en-US" w:eastAsia="zh-CN"/>
              </w:rPr>
              <w:t>②</w:t>
            </w:r>
          </w:p>
        </w:tc>
        <w:tc>
          <w:tcPr>
            <w:tcW w:w="623" w:type="pct"/>
            <w:tcMar>
              <w:left w:w="28" w:type="dxa"/>
              <w:right w:w="28" w:type="dxa"/>
            </w:tcMar>
            <w:vAlign w:val="center"/>
          </w:tcPr>
          <w:p>
            <w:pPr>
              <w:pStyle w:val="38"/>
              <w:spacing w:beforeLines="0" w:afterLines="0" w:line="240" w:lineRule="auto"/>
              <w:rPr>
                <w:rFonts w:ascii="Times New Roman"/>
                <w:snapToGrid w:val="0"/>
                <w:spacing w:val="-6"/>
                <w:kern w:val="21"/>
                <w:szCs w:val="21"/>
              </w:rPr>
            </w:pPr>
            <w:r>
              <w:rPr>
                <w:rFonts w:ascii="Times New Roman"/>
                <w:snapToGrid w:val="0"/>
                <w:spacing w:val="-6"/>
                <w:kern w:val="21"/>
                <w:szCs w:val="21"/>
              </w:rPr>
              <w:t>本项目</w:t>
            </w:r>
          </w:p>
          <w:p>
            <w:pPr>
              <w:pStyle w:val="38"/>
              <w:spacing w:beforeLines="0" w:afterLines="0" w:line="240" w:lineRule="auto"/>
              <w:rPr>
                <w:rFonts w:hint="eastAsia" w:ascii="Times New Roman" w:eastAsia="宋体"/>
                <w:snapToGrid w:val="0"/>
                <w:spacing w:val="-6"/>
                <w:kern w:val="21"/>
                <w:szCs w:val="21"/>
                <w:lang w:eastAsia="zh-CN"/>
              </w:rPr>
            </w:pPr>
            <w:r>
              <w:rPr>
                <w:rFonts w:ascii="Times New Roman"/>
                <w:snapToGrid w:val="0"/>
                <w:spacing w:val="-6"/>
                <w:kern w:val="21"/>
                <w:szCs w:val="21"/>
              </w:rPr>
              <w:t>排放量（固体废物产生量）</w:t>
            </w:r>
            <w:r>
              <w:rPr>
                <w:rFonts w:hint="eastAsia" w:ascii="Times New Roman"/>
                <w:snapToGrid w:val="0"/>
                <w:spacing w:val="-6"/>
                <w:kern w:val="21"/>
                <w:szCs w:val="21"/>
                <w:lang w:val="en-US" w:eastAsia="zh-CN"/>
              </w:rPr>
              <w:t>③</w:t>
            </w:r>
          </w:p>
        </w:tc>
        <w:tc>
          <w:tcPr>
            <w:tcW w:w="703" w:type="pct"/>
            <w:tcMar>
              <w:left w:w="28" w:type="dxa"/>
              <w:right w:w="28" w:type="dxa"/>
            </w:tcMar>
            <w:vAlign w:val="center"/>
          </w:tcPr>
          <w:p>
            <w:pPr>
              <w:pStyle w:val="38"/>
              <w:spacing w:beforeLines="0" w:afterLines="0" w:line="240" w:lineRule="auto"/>
              <w:rPr>
                <w:rFonts w:ascii="Times New Roman"/>
                <w:snapToGrid w:val="0"/>
                <w:spacing w:val="-16"/>
                <w:kern w:val="21"/>
                <w:szCs w:val="21"/>
              </w:rPr>
            </w:pPr>
            <w:r>
              <w:rPr>
                <w:rFonts w:ascii="Times New Roman"/>
                <w:snapToGrid w:val="0"/>
                <w:spacing w:val="-16"/>
                <w:kern w:val="21"/>
                <w:szCs w:val="21"/>
              </w:rPr>
              <w:t>以新带老削减量</w:t>
            </w:r>
          </w:p>
          <w:p>
            <w:pPr>
              <w:pStyle w:val="38"/>
              <w:spacing w:beforeLines="0" w:afterLines="0" w:line="240" w:lineRule="auto"/>
              <w:rPr>
                <w:rFonts w:hint="eastAsia" w:ascii="Times New Roman" w:eastAsia="宋体"/>
                <w:snapToGrid w:val="0"/>
                <w:spacing w:val="-16"/>
                <w:kern w:val="21"/>
                <w:szCs w:val="21"/>
                <w:lang w:eastAsia="zh-CN"/>
              </w:rPr>
            </w:pPr>
            <w:r>
              <w:rPr>
                <w:rFonts w:ascii="Times New Roman"/>
                <w:snapToGrid w:val="0"/>
                <w:spacing w:val="-16"/>
                <w:kern w:val="21"/>
                <w:szCs w:val="21"/>
              </w:rPr>
              <w:t>（新建项目不填）</w:t>
            </w:r>
            <w:r>
              <w:rPr>
                <w:rFonts w:hint="eastAsia" w:ascii="Times New Roman"/>
                <w:snapToGrid w:val="0"/>
                <w:spacing w:val="-16"/>
                <w:kern w:val="21"/>
                <w:szCs w:val="21"/>
                <w:lang w:val="en-US" w:eastAsia="zh-CN"/>
              </w:rPr>
              <w:t>④</w:t>
            </w:r>
          </w:p>
        </w:tc>
        <w:tc>
          <w:tcPr>
            <w:tcW w:w="655" w:type="pct"/>
            <w:tcMar>
              <w:left w:w="28" w:type="dxa"/>
              <w:right w:w="28" w:type="dxa"/>
            </w:tcMar>
            <w:vAlign w:val="center"/>
          </w:tcPr>
          <w:p>
            <w:pPr>
              <w:pStyle w:val="38"/>
              <w:spacing w:beforeLines="0" w:afterLines="0" w:line="240" w:lineRule="auto"/>
              <w:rPr>
                <w:rFonts w:ascii="Times New Roman"/>
                <w:snapToGrid w:val="0"/>
                <w:spacing w:val="-16"/>
                <w:kern w:val="21"/>
                <w:szCs w:val="21"/>
              </w:rPr>
            </w:pPr>
            <w:r>
              <w:rPr>
                <w:rFonts w:ascii="Times New Roman"/>
                <w:snapToGrid w:val="0"/>
                <w:spacing w:val="-16"/>
                <w:kern w:val="21"/>
                <w:szCs w:val="21"/>
              </w:rPr>
              <w:t>本项目建成后</w:t>
            </w:r>
          </w:p>
          <w:p>
            <w:pPr>
              <w:pStyle w:val="38"/>
              <w:spacing w:beforeLines="0" w:afterLines="0" w:line="240" w:lineRule="auto"/>
              <w:rPr>
                <w:rFonts w:ascii="Times New Roman"/>
                <w:snapToGrid w:val="0"/>
                <w:spacing w:val="-16"/>
                <w:kern w:val="21"/>
                <w:szCs w:val="21"/>
              </w:rPr>
            </w:pPr>
            <w:r>
              <w:rPr>
                <w:rFonts w:ascii="Times New Roman"/>
                <w:snapToGrid w:val="0"/>
                <w:spacing w:val="-16"/>
                <w:kern w:val="21"/>
                <w:szCs w:val="21"/>
              </w:rPr>
              <w:t>全厂排放量（固体废物产生量）</w:t>
            </w:r>
            <w:r>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Pr>
                <w:rFonts w:ascii="Times New Roman"/>
                <w:snapToGrid w:val="0"/>
                <w:spacing w:val="-16"/>
                <w:kern w:val="21"/>
                <w:szCs w:val="21"/>
              </w:rPr>
              <w:fldChar w:fldCharType="separate"/>
            </w:r>
            <w:r>
              <w:rPr>
                <w:rFonts w:ascii="Times New Roman"/>
                <w:kern w:val="2"/>
                <w:szCs w:val="21"/>
              </w:rPr>
              <w:t>⑤</w:t>
            </w:r>
            <w:r>
              <w:rPr>
                <w:rFonts w:ascii="Times New Roman"/>
                <w:snapToGrid w:val="0"/>
                <w:spacing w:val="-16"/>
                <w:kern w:val="21"/>
                <w:szCs w:val="21"/>
              </w:rPr>
              <w:fldChar w:fldCharType="end"/>
            </w:r>
          </w:p>
        </w:tc>
        <w:tc>
          <w:tcPr>
            <w:tcW w:w="457" w:type="pct"/>
            <w:tcMar>
              <w:left w:w="28" w:type="dxa"/>
              <w:right w:w="28" w:type="dxa"/>
            </w:tcMar>
            <w:vAlign w:val="center"/>
          </w:tcPr>
          <w:p>
            <w:pPr>
              <w:pStyle w:val="38"/>
              <w:spacing w:beforeLines="0" w:afterLines="0" w:line="240" w:lineRule="auto"/>
              <w:rPr>
                <w:rFonts w:ascii="Times New Roman"/>
                <w:snapToGrid w:val="0"/>
                <w:spacing w:val="-6"/>
                <w:kern w:val="21"/>
                <w:szCs w:val="21"/>
              </w:rPr>
            </w:pPr>
            <w:r>
              <w:rPr>
                <w:rFonts w:ascii="Times New Roman"/>
                <w:snapToGrid w:val="0"/>
                <w:spacing w:val="-6"/>
                <w:kern w:val="21"/>
                <w:szCs w:val="21"/>
              </w:rPr>
              <w:t>变化量</w:t>
            </w:r>
          </w:p>
          <w:p>
            <w:pPr>
              <w:pStyle w:val="38"/>
              <w:spacing w:beforeLines="0" w:afterLines="0" w:line="240" w:lineRule="auto"/>
              <w:rPr>
                <w:rFonts w:ascii="Times New Roman"/>
                <w:snapToGrid w:val="0"/>
                <w:spacing w:val="-6"/>
                <w:kern w:val="21"/>
                <w:szCs w:val="21"/>
              </w:rPr>
            </w:pP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ascii="Times New Roman"/>
                <w:kern w:val="2"/>
                <w:szCs w:val="21"/>
              </w:rPr>
              <w:t>⑥</w:t>
            </w:r>
            <w:r>
              <w:rPr>
                <w:rFonts w:ascii="Times New Roman"/>
                <w:snapToGrid w:val="0"/>
                <w:spacing w:val="-16"/>
                <w:kern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2" w:type="pct"/>
            <w:vMerge w:val="restart"/>
            <w:vAlign w:val="center"/>
          </w:tcPr>
          <w:p>
            <w:pPr>
              <w:pStyle w:val="38"/>
              <w:spacing w:beforeLines="0" w:afterLines="0" w:line="240" w:lineRule="auto"/>
              <w:rPr>
                <w:rFonts w:ascii="Times New Roman"/>
                <w:snapToGrid w:val="0"/>
                <w:kern w:val="21"/>
                <w:szCs w:val="21"/>
              </w:rPr>
            </w:pPr>
            <w:r>
              <w:rPr>
                <w:rFonts w:ascii="Times New Roman"/>
                <w:snapToGrid w:val="0"/>
                <w:kern w:val="21"/>
                <w:szCs w:val="21"/>
              </w:rPr>
              <w:t>废气</w:t>
            </w:r>
          </w:p>
        </w:tc>
        <w:tc>
          <w:tcPr>
            <w:tcW w:w="679" w:type="pct"/>
            <w:vAlign w:val="center"/>
          </w:tcPr>
          <w:p>
            <w:pPr>
              <w:adjustRightInd w:val="0"/>
              <w:snapToGrid w:val="0"/>
              <w:jc w:val="center"/>
              <w:rPr>
                <w:snapToGrid w:val="0"/>
                <w:kern w:val="21"/>
                <w:szCs w:val="21"/>
              </w:rPr>
            </w:pPr>
            <w:r>
              <w:rPr>
                <w:szCs w:val="21"/>
              </w:rPr>
              <w:t>VOCs</w:t>
            </w:r>
          </w:p>
        </w:tc>
        <w:tc>
          <w:tcPr>
            <w:tcW w:w="608" w:type="pct"/>
            <w:vAlign w:val="center"/>
          </w:tcPr>
          <w:p>
            <w:pPr>
              <w:adjustRightInd w:val="0"/>
              <w:snapToGrid w:val="0"/>
              <w:jc w:val="center"/>
              <w:rPr>
                <w:snapToGrid w:val="0"/>
                <w:kern w:val="21"/>
                <w:szCs w:val="21"/>
              </w:rPr>
            </w:pPr>
            <w:r>
              <w:rPr>
                <w:szCs w:val="21"/>
              </w:rPr>
              <w:t>1.8504</w:t>
            </w:r>
          </w:p>
        </w:tc>
        <w:tc>
          <w:tcPr>
            <w:tcW w:w="679" w:type="pct"/>
            <w:vAlign w:val="center"/>
          </w:tcPr>
          <w:p>
            <w:pPr>
              <w:widowControl/>
              <w:adjustRightInd w:val="0"/>
              <w:snapToGrid w:val="0"/>
              <w:jc w:val="center"/>
              <w:rPr>
                <w:rFonts w:ascii="Times New Roman" w:hAnsi="Times New Roman" w:eastAsia="宋体" w:cs="Times New Roman"/>
                <w:kern w:val="2"/>
                <w:sz w:val="21"/>
                <w:szCs w:val="21"/>
                <w:lang w:val="en-US" w:eastAsia="zh-CN" w:bidi="ar-SA"/>
              </w:rPr>
            </w:pPr>
            <w:r>
              <w:rPr>
                <w:snapToGrid w:val="0"/>
                <w:kern w:val="21"/>
                <w:szCs w:val="21"/>
              </w:rPr>
              <w:t>0</w:t>
            </w:r>
          </w:p>
        </w:tc>
        <w:tc>
          <w:tcPr>
            <w:tcW w:w="623" w:type="pct"/>
            <w:vAlign w:val="center"/>
          </w:tcPr>
          <w:p>
            <w:pPr>
              <w:adjustRightInd w:val="0"/>
              <w:snapToGrid w:val="0"/>
              <w:jc w:val="center"/>
              <w:rPr>
                <w:snapToGrid w:val="0"/>
                <w:kern w:val="21"/>
                <w:szCs w:val="21"/>
              </w:rPr>
            </w:pPr>
            <w:r>
              <w:rPr>
                <w:szCs w:val="21"/>
              </w:rPr>
              <w:t>0</w:t>
            </w:r>
          </w:p>
        </w:tc>
        <w:tc>
          <w:tcPr>
            <w:tcW w:w="703" w:type="pct"/>
            <w:vAlign w:val="center"/>
          </w:tcPr>
          <w:p>
            <w:pPr>
              <w:pStyle w:val="38"/>
              <w:spacing w:beforeLines="0" w:afterLines="0" w:line="240" w:lineRule="auto"/>
              <w:rPr>
                <w:snapToGrid w:val="0"/>
                <w:kern w:val="21"/>
                <w:szCs w:val="21"/>
              </w:rPr>
            </w:pPr>
            <w:r>
              <w:rPr>
                <w:rFonts w:ascii="Times New Roman"/>
                <w:snapToGrid w:val="0"/>
                <w:kern w:val="21"/>
                <w:szCs w:val="21"/>
              </w:rPr>
              <w:t>0</w:t>
            </w:r>
          </w:p>
        </w:tc>
        <w:tc>
          <w:tcPr>
            <w:tcW w:w="655" w:type="pct"/>
            <w:vAlign w:val="center"/>
          </w:tcPr>
          <w:p>
            <w:pPr>
              <w:widowControl/>
              <w:adjustRightInd w:val="0"/>
              <w:snapToGrid w:val="0"/>
              <w:jc w:val="center"/>
              <w:rPr>
                <w:szCs w:val="21"/>
              </w:rPr>
            </w:pPr>
            <w:r>
              <w:rPr>
                <w:szCs w:val="21"/>
              </w:rPr>
              <w:t>1.8504</w:t>
            </w:r>
          </w:p>
        </w:tc>
        <w:tc>
          <w:tcPr>
            <w:tcW w:w="457" w:type="pct"/>
            <w:vAlign w:val="center"/>
          </w:tcPr>
          <w:p>
            <w:pPr>
              <w:adjustRightInd w:val="0"/>
              <w:snapToGrid w:val="0"/>
              <w:jc w:val="center"/>
              <w:rPr>
                <w:szCs w:val="21"/>
              </w:rPr>
            </w:pP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2" w:type="pct"/>
            <w:vMerge w:val="continue"/>
            <w:vAlign w:val="center"/>
          </w:tcPr>
          <w:p>
            <w:pPr>
              <w:pStyle w:val="38"/>
              <w:spacing w:beforeLines="0" w:afterLines="0" w:line="240" w:lineRule="auto"/>
              <w:rPr>
                <w:rFonts w:ascii="Times New Roman"/>
                <w:snapToGrid w:val="0"/>
                <w:kern w:val="21"/>
                <w:szCs w:val="21"/>
              </w:rPr>
            </w:pPr>
          </w:p>
        </w:tc>
        <w:tc>
          <w:tcPr>
            <w:tcW w:w="679" w:type="pct"/>
            <w:vAlign w:val="center"/>
          </w:tcPr>
          <w:p>
            <w:pPr>
              <w:adjustRightInd w:val="0"/>
              <w:snapToGrid w:val="0"/>
              <w:jc w:val="center"/>
              <w:rPr>
                <w:snapToGrid w:val="0"/>
                <w:kern w:val="21"/>
                <w:szCs w:val="21"/>
              </w:rPr>
            </w:pPr>
            <w:r>
              <w:rPr>
                <w:szCs w:val="21"/>
              </w:rPr>
              <w:t>颗粒物</w:t>
            </w:r>
          </w:p>
        </w:tc>
        <w:tc>
          <w:tcPr>
            <w:tcW w:w="608" w:type="pct"/>
            <w:vAlign w:val="center"/>
          </w:tcPr>
          <w:p>
            <w:pPr>
              <w:adjustRightInd w:val="0"/>
              <w:snapToGrid w:val="0"/>
              <w:jc w:val="center"/>
              <w:rPr>
                <w:rFonts w:hint="default" w:eastAsia="宋体"/>
                <w:snapToGrid w:val="0"/>
                <w:kern w:val="21"/>
                <w:szCs w:val="21"/>
                <w:lang w:val="en-US" w:eastAsia="zh-CN"/>
              </w:rPr>
            </w:pPr>
            <w:r>
              <w:rPr>
                <w:rFonts w:hint="eastAsia"/>
                <w:szCs w:val="21"/>
                <w:lang w:val="en-US" w:eastAsia="zh-CN"/>
              </w:rPr>
              <w:t>0.13344</w:t>
            </w:r>
          </w:p>
        </w:tc>
        <w:tc>
          <w:tcPr>
            <w:tcW w:w="679" w:type="pct"/>
            <w:vAlign w:val="center"/>
          </w:tcPr>
          <w:p>
            <w:pPr>
              <w:widowControl/>
              <w:adjustRightInd w:val="0"/>
              <w:snapToGrid w:val="0"/>
              <w:jc w:val="center"/>
              <w:rPr>
                <w:rFonts w:hint="eastAsia" w:ascii="Times New Roman" w:hAnsi="Times New Roman" w:eastAsia="宋体" w:cs="Times New Roman"/>
                <w:kern w:val="2"/>
                <w:sz w:val="21"/>
                <w:szCs w:val="21"/>
                <w:lang w:val="en-US" w:eastAsia="zh-CN" w:bidi="ar-SA"/>
              </w:rPr>
            </w:pPr>
            <w:r>
              <w:rPr>
                <w:snapToGrid w:val="0"/>
                <w:kern w:val="21"/>
                <w:szCs w:val="21"/>
              </w:rPr>
              <w:t>0</w:t>
            </w:r>
          </w:p>
        </w:tc>
        <w:tc>
          <w:tcPr>
            <w:tcW w:w="623" w:type="pct"/>
            <w:vAlign w:val="center"/>
          </w:tcPr>
          <w:p>
            <w:pPr>
              <w:adjustRightInd w:val="0"/>
              <w:snapToGrid w:val="0"/>
              <w:jc w:val="center"/>
              <w:rPr>
                <w:snapToGrid w:val="0"/>
                <w:kern w:val="21"/>
                <w:szCs w:val="21"/>
              </w:rPr>
            </w:pPr>
            <w:r>
              <w:rPr>
                <w:szCs w:val="21"/>
              </w:rPr>
              <w:t>0.168</w:t>
            </w:r>
          </w:p>
        </w:tc>
        <w:tc>
          <w:tcPr>
            <w:tcW w:w="703" w:type="pct"/>
            <w:vAlign w:val="center"/>
          </w:tcPr>
          <w:p>
            <w:pPr>
              <w:pStyle w:val="38"/>
              <w:spacing w:beforeLines="0" w:afterLines="0" w:line="240" w:lineRule="auto"/>
              <w:rPr>
                <w:snapToGrid w:val="0"/>
                <w:kern w:val="21"/>
                <w:szCs w:val="21"/>
              </w:rPr>
            </w:pPr>
            <w:r>
              <w:rPr>
                <w:rFonts w:ascii="Times New Roman"/>
                <w:snapToGrid w:val="0"/>
                <w:kern w:val="21"/>
                <w:szCs w:val="21"/>
              </w:rPr>
              <w:t>0</w:t>
            </w:r>
          </w:p>
        </w:tc>
        <w:tc>
          <w:tcPr>
            <w:tcW w:w="655" w:type="pct"/>
            <w:vAlign w:val="center"/>
          </w:tcPr>
          <w:p>
            <w:pPr>
              <w:widowControl/>
              <w:adjustRightInd w:val="0"/>
              <w:snapToGrid w:val="0"/>
              <w:jc w:val="center"/>
              <w:rPr>
                <w:szCs w:val="21"/>
              </w:rPr>
            </w:pPr>
            <w:r>
              <w:rPr>
                <w:rFonts w:hint="eastAsia"/>
                <w:szCs w:val="21"/>
                <w:lang w:eastAsia="zh-CN"/>
              </w:rPr>
              <w:t>0.30144</w:t>
            </w:r>
          </w:p>
        </w:tc>
        <w:tc>
          <w:tcPr>
            <w:tcW w:w="457" w:type="pct"/>
            <w:vAlign w:val="center"/>
          </w:tcPr>
          <w:p>
            <w:pPr>
              <w:adjustRightInd w:val="0"/>
              <w:snapToGrid w:val="0"/>
              <w:jc w:val="center"/>
              <w:rPr>
                <w:szCs w:val="21"/>
              </w:rPr>
            </w:pPr>
            <w:r>
              <w:rPr>
                <w:szCs w:val="21"/>
              </w:rPr>
              <w:t>+0.168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2" w:type="pct"/>
            <w:vMerge w:val="continue"/>
            <w:vAlign w:val="center"/>
          </w:tcPr>
          <w:p>
            <w:pPr>
              <w:pStyle w:val="38"/>
              <w:spacing w:beforeLines="0" w:afterLines="0" w:line="240" w:lineRule="auto"/>
              <w:rPr>
                <w:rFonts w:ascii="Times New Roman"/>
                <w:snapToGrid w:val="0"/>
                <w:kern w:val="21"/>
                <w:szCs w:val="21"/>
              </w:rPr>
            </w:pPr>
          </w:p>
        </w:tc>
        <w:tc>
          <w:tcPr>
            <w:tcW w:w="679" w:type="pct"/>
            <w:vAlign w:val="center"/>
          </w:tcPr>
          <w:p>
            <w:pPr>
              <w:adjustRightInd w:val="0"/>
              <w:snapToGrid w:val="0"/>
              <w:jc w:val="center"/>
              <w:rPr>
                <w:snapToGrid w:val="0"/>
                <w:kern w:val="21"/>
                <w:szCs w:val="21"/>
                <w:vertAlign w:val="subscript"/>
              </w:rPr>
            </w:pPr>
            <w:r>
              <w:rPr>
                <w:szCs w:val="21"/>
              </w:rPr>
              <w:t>SO</w:t>
            </w:r>
            <w:r>
              <w:rPr>
                <w:szCs w:val="21"/>
                <w:vertAlign w:val="subscript"/>
              </w:rPr>
              <w:t>2</w:t>
            </w:r>
          </w:p>
        </w:tc>
        <w:tc>
          <w:tcPr>
            <w:tcW w:w="608" w:type="pct"/>
            <w:vAlign w:val="center"/>
          </w:tcPr>
          <w:p>
            <w:pPr>
              <w:adjustRightInd w:val="0"/>
              <w:snapToGrid w:val="0"/>
              <w:jc w:val="center"/>
              <w:rPr>
                <w:snapToGrid w:val="0"/>
                <w:kern w:val="21"/>
                <w:szCs w:val="21"/>
              </w:rPr>
            </w:pPr>
            <w:r>
              <w:rPr>
                <w:szCs w:val="21"/>
              </w:rPr>
              <w:t>0</w:t>
            </w:r>
          </w:p>
        </w:tc>
        <w:tc>
          <w:tcPr>
            <w:tcW w:w="679" w:type="pct"/>
            <w:vAlign w:val="center"/>
          </w:tcPr>
          <w:p>
            <w:pPr>
              <w:pStyle w:val="38"/>
              <w:spacing w:beforeLines="0" w:afterLines="0" w:line="240" w:lineRule="auto"/>
              <w:rPr>
                <w:rFonts w:ascii="Times New Roman"/>
                <w:snapToGrid w:val="0"/>
                <w:kern w:val="21"/>
                <w:szCs w:val="21"/>
              </w:rPr>
            </w:pPr>
            <w:r>
              <w:rPr>
                <w:rFonts w:ascii="Times New Roman"/>
                <w:snapToGrid w:val="0"/>
                <w:kern w:val="21"/>
                <w:szCs w:val="21"/>
              </w:rPr>
              <w:t>0</w:t>
            </w:r>
          </w:p>
        </w:tc>
        <w:tc>
          <w:tcPr>
            <w:tcW w:w="623" w:type="pct"/>
            <w:vAlign w:val="center"/>
          </w:tcPr>
          <w:p>
            <w:pPr>
              <w:adjustRightInd w:val="0"/>
              <w:snapToGrid w:val="0"/>
              <w:jc w:val="center"/>
              <w:rPr>
                <w:snapToGrid w:val="0"/>
                <w:kern w:val="21"/>
                <w:szCs w:val="21"/>
              </w:rPr>
            </w:pPr>
            <w:r>
              <w:rPr>
                <w:szCs w:val="21"/>
              </w:rPr>
              <w:t>0.24</w:t>
            </w:r>
          </w:p>
        </w:tc>
        <w:tc>
          <w:tcPr>
            <w:tcW w:w="703" w:type="pct"/>
            <w:vAlign w:val="center"/>
          </w:tcPr>
          <w:p>
            <w:pPr>
              <w:pStyle w:val="38"/>
              <w:spacing w:beforeLines="0" w:afterLines="0" w:line="240" w:lineRule="auto"/>
              <w:rPr>
                <w:rFonts w:ascii="Times New Roman"/>
                <w:snapToGrid w:val="0"/>
                <w:kern w:val="21"/>
                <w:szCs w:val="21"/>
              </w:rPr>
            </w:pPr>
            <w:r>
              <w:rPr>
                <w:rFonts w:ascii="Times New Roman"/>
                <w:snapToGrid w:val="0"/>
                <w:kern w:val="21"/>
                <w:szCs w:val="21"/>
              </w:rPr>
              <w:t>0</w:t>
            </w:r>
          </w:p>
        </w:tc>
        <w:tc>
          <w:tcPr>
            <w:tcW w:w="655" w:type="pct"/>
            <w:vAlign w:val="center"/>
          </w:tcPr>
          <w:p>
            <w:pPr>
              <w:adjustRightInd w:val="0"/>
              <w:snapToGrid w:val="0"/>
              <w:jc w:val="center"/>
              <w:rPr>
                <w:szCs w:val="21"/>
              </w:rPr>
            </w:pPr>
            <w:r>
              <w:rPr>
                <w:szCs w:val="21"/>
              </w:rPr>
              <w:t>0.24</w:t>
            </w:r>
          </w:p>
        </w:tc>
        <w:tc>
          <w:tcPr>
            <w:tcW w:w="457" w:type="pct"/>
            <w:vAlign w:val="center"/>
          </w:tcPr>
          <w:p>
            <w:pPr>
              <w:adjustRightInd w:val="0"/>
              <w:snapToGrid w:val="0"/>
              <w:jc w:val="center"/>
              <w:rPr>
                <w:szCs w:val="21"/>
              </w:rPr>
            </w:pPr>
            <w:r>
              <w:rPr>
                <w:szCs w:val="21"/>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2" w:type="pct"/>
            <w:vMerge w:val="continue"/>
            <w:vAlign w:val="center"/>
          </w:tcPr>
          <w:p>
            <w:pPr>
              <w:pStyle w:val="38"/>
              <w:spacing w:beforeLines="0" w:afterLines="0" w:line="240" w:lineRule="auto"/>
              <w:rPr>
                <w:rFonts w:ascii="Times New Roman"/>
                <w:snapToGrid w:val="0"/>
                <w:kern w:val="21"/>
                <w:szCs w:val="21"/>
              </w:rPr>
            </w:pPr>
          </w:p>
        </w:tc>
        <w:tc>
          <w:tcPr>
            <w:tcW w:w="679" w:type="pct"/>
            <w:vAlign w:val="center"/>
          </w:tcPr>
          <w:p>
            <w:pPr>
              <w:adjustRightInd w:val="0"/>
              <w:snapToGrid w:val="0"/>
              <w:jc w:val="center"/>
              <w:rPr>
                <w:snapToGrid w:val="0"/>
                <w:kern w:val="21"/>
                <w:szCs w:val="21"/>
                <w:vertAlign w:val="subscript"/>
              </w:rPr>
            </w:pPr>
            <w:r>
              <w:rPr>
                <w:szCs w:val="21"/>
              </w:rPr>
              <w:t>NO</w:t>
            </w:r>
            <w:r>
              <w:rPr>
                <w:szCs w:val="21"/>
                <w:vertAlign w:val="subscript"/>
              </w:rPr>
              <w:t>x</w:t>
            </w:r>
          </w:p>
        </w:tc>
        <w:tc>
          <w:tcPr>
            <w:tcW w:w="608" w:type="pct"/>
            <w:vAlign w:val="center"/>
          </w:tcPr>
          <w:p>
            <w:pPr>
              <w:adjustRightInd w:val="0"/>
              <w:snapToGrid w:val="0"/>
              <w:jc w:val="center"/>
              <w:rPr>
                <w:snapToGrid w:val="0"/>
                <w:kern w:val="21"/>
                <w:szCs w:val="21"/>
              </w:rPr>
            </w:pPr>
            <w:r>
              <w:rPr>
                <w:szCs w:val="21"/>
              </w:rPr>
              <w:t>0</w:t>
            </w:r>
          </w:p>
        </w:tc>
        <w:tc>
          <w:tcPr>
            <w:tcW w:w="679" w:type="pct"/>
            <w:vAlign w:val="center"/>
          </w:tcPr>
          <w:p>
            <w:pPr>
              <w:pStyle w:val="38"/>
              <w:spacing w:beforeLines="0" w:afterLines="0" w:line="240" w:lineRule="auto"/>
              <w:rPr>
                <w:rFonts w:ascii="Times New Roman"/>
                <w:snapToGrid w:val="0"/>
                <w:kern w:val="21"/>
                <w:szCs w:val="21"/>
              </w:rPr>
            </w:pPr>
            <w:r>
              <w:rPr>
                <w:rFonts w:ascii="Times New Roman"/>
                <w:snapToGrid w:val="0"/>
                <w:kern w:val="21"/>
                <w:szCs w:val="21"/>
              </w:rPr>
              <w:t>0</w:t>
            </w:r>
          </w:p>
        </w:tc>
        <w:tc>
          <w:tcPr>
            <w:tcW w:w="623" w:type="pct"/>
            <w:vAlign w:val="center"/>
          </w:tcPr>
          <w:p>
            <w:pPr>
              <w:adjustRightInd w:val="0"/>
              <w:snapToGrid w:val="0"/>
              <w:jc w:val="center"/>
              <w:rPr>
                <w:snapToGrid w:val="0"/>
                <w:kern w:val="21"/>
                <w:szCs w:val="21"/>
              </w:rPr>
            </w:pPr>
            <w:r>
              <w:rPr>
                <w:szCs w:val="21"/>
              </w:rPr>
              <w:t>0.3636</w:t>
            </w:r>
          </w:p>
        </w:tc>
        <w:tc>
          <w:tcPr>
            <w:tcW w:w="703" w:type="pct"/>
            <w:vAlign w:val="center"/>
          </w:tcPr>
          <w:p>
            <w:pPr>
              <w:pStyle w:val="38"/>
              <w:spacing w:beforeLines="0" w:afterLines="0" w:line="240" w:lineRule="auto"/>
              <w:rPr>
                <w:rFonts w:ascii="Times New Roman"/>
                <w:snapToGrid w:val="0"/>
                <w:kern w:val="21"/>
                <w:szCs w:val="21"/>
              </w:rPr>
            </w:pPr>
            <w:r>
              <w:rPr>
                <w:rFonts w:ascii="Times New Roman"/>
                <w:snapToGrid w:val="0"/>
                <w:kern w:val="21"/>
                <w:szCs w:val="21"/>
              </w:rPr>
              <w:t>0</w:t>
            </w:r>
          </w:p>
        </w:tc>
        <w:tc>
          <w:tcPr>
            <w:tcW w:w="655" w:type="pct"/>
            <w:vAlign w:val="center"/>
          </w:tcPr>
          <w:p>
            <w:pPr>
              <w:adjustRightInd w:val="0"/>
              <w:snapToGrid w:val="0"/>
              <w:jc w:val="center"/>
              <w:rPr>
                <w:szCs w:val="21"/>
              </w:rPr>
            </w:pPr>
            <w:r>
              <w:rPr>
                <w:szCs w:val="21"/>
              </w:rPr>
              <w:t>0.3636</w:t>
            </w:r>
          </w:p>
        </w:tc>
        <w:tc>
          <w:tcPr>
            <w:tcW w:w="457" w:type="pct"/>
            <w:vAlign w:val="center"/>
          </w:tcPr>
          <w:p>
            <w:pPr>
              <w:adjustRightInd w:val="0"/>
              <w:snapToGrid w:val="0"/>
              <w:jc w:val="center"/>
              <w:rPr>
                <w:szCs w:val="21"/>
              </w:rPr>
            </w:pPr>
            <w:r>
              <w:rPr>
                <w:szCs w:val="21"/>
              </w:rPr>
              <w:t>+0.3636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2" w:type="pct"/>
            <w:vMerge w:val="restart"/>
            <w:vAlign w:val="center"/>
          </w:tcPr>
          <w:p>
            <w:pPr>
              <w:pStyle w:val="38"/>
              <w:spacing w:beforeLines="0" w:afterLines="0" w:line="240" w:lineRule="auto"/>
              <w:rPr>
                <w:rFonts w:ascii="Times New Roman"/>
                <w:snapToGrid w:val="0"/>
                <w:kern w:val="21"/>
                <w:szCs w:val="21"/>
              </w:rPr>
            </w:pPr>
            <w:r>
              <w:rPr>
                <w:rFonts w:ascii="Times New Roman"/>
                <w:snapToGrid w:val="0"/>
                <w:kern w:val="21"/>
                <w:szCs w:val="21"/>
              </w:rPr>
              <w:t>废水</w:t>
            </w:r>
          </w:p>
        </w:tc>
        <w:tc>
          <w:tcPr>
            <w:tcW w:w="679" w:type="pct"/>
            <w:vAlign w:val="center"/>
          </w:tcPr>
          <w:p>
            <w:pPr>
              <w:adjustRightInd w:val="0"/>
              <w:snapToGrid w:val="0"/>
              <w:jc w:val="center"/>
              <w:rPr>
                <w:szCs w:val="21"/>
              </w:rPr>
            </w:pPr>
            <w:r>
              <w:rPr>
                <w:szCs w:val="21"/>
              </w:rPr>
              <w:t>废水量</w:t>
            </w:r>
          </w:p>
        </w:tc>
        <w:tc>
          <w:tcPr>
            <w:tcW w:w="608" w:type="pct"/>
            <w:vAlign w:val="center"/>
          </w:tcPr>
          <w:p>
            <w:pPr>
              <w:adjustRightInd w:val="0"/>
              <w:snapToGrid w:val="0"/>
              <w:jc w:val="center"/>
              <w:rPr>
                <w:szCs w:val="21"/>
              </w:rPr>
            </w:pPr>
            <w:r>
              <w:rPr>
                <w:szCs w:val="21"/>
              </w:rPr>
              <w:t>8400</w:t>
            </w:r>
          </w:p>
        </w:tc>
        <w:tc>
          <w:tcPr>
            <w:tcW w:w="679" w:type="pct"/>
            <w:vAlign w:val="center"/>
          </w:tcPr>
          <w:p>
            <w:pPr>
              <w:adjustRightInd w:val="0"/>
              <w:snapToGrid w:val="0"/>
              <w:jc w:val="center"/>
              <w:rPr>
                <w:szCs w:val="21"/>
              </w:rPr>
            </w:pPr>
            <w:r>
              <w:rPr>
                <w:szCs w:val="21"/>
              </w:rPr>
              <w:t>0</w:t>
            </w:r>
          </w:p>
        </w:tc>
        <w:tc>
          <w:tcPr>
            <w:tcW w:w="623" w:type="pct"/>
            <w:vAlign w:val="center"/>
          </w:tcPr>
          <w:p>
            <w:pPr>
              <w:pStyle w:val="38"/>
              <w:spacing w:beforeLines="0" w:afterLines="0" w:line="240" w:lineRule="auto"/>
              <w:rPr>
                <w:rFonts w:ascii="Times New Roman"/>
                <w:snapToGrid w:val="0"/>
                <w:kern w:val="21"/>
                <w:szCs w:val="21"/>
              </w:rPr>
            </w:pPr>
            <w:r>
              <w:rPr>
                <w:rFonts w:ascii="Times New Roman"/>
                <w:snapToGrid w:val="0"/>
                <w:kern w:val="21"/>
                <w:szCs w:val="21"/>
              </w:rPr>
              <w:t>0</w:t>
            </w:r>
          </w:p>
        </w:tc>
        <w:tc>
          <w:tcPr>
            <w:tcW w:w="703" w:type="pct"/>
            <w:vAlign w:val="center"/>
          </w:tcPr>
          <w:p>
            <w:pPr>
              <w:pStyle w:val="38"/>
              <w:spacing w:beforeLines="0" w:afterLines="0" w:line="240" w:lineRule="auto"/>
              <w:rPr>
                <w:snapToGrid w:val="0"/>
                <w:kern w:val="21"/>
                <w:szCs w:val="21"/>
              </w:rPr>
            </w:pPr>
            <w:r>
              <w:rPr>
                <w:rFonts w:ascii="Times New Roman"/>
                <w:snapToGrid w:val="0"/>
                <w:kern w:val="21"/>
                <w:szCs w:val="21"/>
              </w:rPr>
              <w:t>0</w:t>
            </w:r>
          </w:p>
        </w:tc>
        <w:tc>
          <w:tcPr>
            <w:tcW w:w="655" w:type="pct"/>
            <w:vAlign w:val="center"/>
          </w:tcPr>
          <w:p>
            <w:pPr>
              <w:adjustRightInd w:val="0"/>
              <w:snapToGrid w:val="0"/>
              <w:jc w:val="center"/>
              <w:rPr>
                <w:szCs w:val="21"/>
              </w:rPr>
            </w:pPr>
            <w:r>
              <w:rPr>
                <w:szCs w:val="21"/>
              </w:rPr>
              <w:t>8400</w:t>
            </w:r>
          </w:p>
        </w:tc>
        <w:tc>
          <w:tcPr>
            <w:tcW w:w="457" w:type="pct"/>
            <w:vAlign w:val="center"/>
          </w:tcPr>
          <w:p>
            <w:pPr>
              <w:adjustRightInd w:val="0"/>
              <w:snapToGrid w:val="0"/>
              <w:jc w:val="center"/>
              <w:rPr>
                <w:szCs w:val="21"/>
              </w:rPr>
            </w:pP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2" w:type="pct"/>
            <w:vMerge w:val="continue"/>
            <w:vAlign w:val="center"/>
          </w:tcPr>
          <w:p>
            <w:pPr>
              <w:pStyle w:val="38"/>
              <w:spacing w:beforeLines="0" w:afterLines="0" w:line="240" w:lineRule="auto"/>
              <w:rPr>
                <w:rFonts w:ascii="Times New Roman"/>
                <w:snapToGrid w:val="0"/>
                <w:kern w:val="21"/>
                <w:szCs w:val="21"/>
              </w:rPr>
            </w:pPr>
          </w:p>
        </w:tc>
        <w:tc>
          <w:tcPr>
            <w:tcW w:w="679" w:type="pct"/>
            <w:vAlign w:val="center"/>
          </w:tcPr>
          <w:p>
            <w:pPr>
              <w:adjustRightInd w:val="0"/>
              <w:snapToGrid w:val="0"/>
              <w:jc w:val="center"/>
              <w:rPr>
                <w:szCs w:val="21"/>
              </w:rPr>
            </w:pPr>
            <w:r>
              <w:rPr>
                <w:szCs w:val="21"/>
              </w:rPr>
              <w:t>COD</w:t>
            </w:r>
          </w:p>
        </w:tc>
        <w:tc>
          <w:tcPr>
            <w:tcW w:w="608" w:type="pct"/>
            <w:vAlign w:val="center"/>
          </w:tcPr>
          <w:p>
            <w:pPr>
              <w:keepNext w:val="0"/>
              <w:keepLines w:val="0"/>
              <w:widowControl/>
              <w:suppressLineNumbers w:val="0"/>
              <w:jc w:val="center"/>
              <w:textAlignment w:val="center"/>
              <w:rPr>
                <w:rFonts w:hint="default" w:eastAsia="宋体"/>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679" w:type="pct"/>
            <w:vAlign w:val="center"/>
          </w:tcPr>
          <w:p>
            <w:pPr>
              <w:adjustRightInd w:val="0"/>
              <w:snapToGrid w:val="0"/>
              <w:jc w:val="center"/>
              <w:rPr>
                <w:szCs w:val="21"/>
              </w:rPr>
            </w:pPr>
            <w:r>
              <w:rPr>
                <w:szCs w:val="21"/>
              </w:rPr>
              <w:t>0</w:t>
            </w:r>
          </w:p>
        </w:tc>
        <w:tc>
          <w:tcPr>
            <w:tcW w:w="623" w:type="pct"/>
            <w:vAlign w:val="center"/>
          </w:tcPr>
          <w:p>
            <w:pPr>
              <w:pStyle w:val="38"/>
              <w:spacing w:beforeLines="0" w:afterLines="0" w:line="240" w:lineRule="auto"/>
              <w:rPr>
                <w:rFonts w:ascii="Times New Roman"/>
                <w:snapToGrid w:val="0"/>
                <w:kern w:val="21"/>
                <w:szCs w:val="21"/>
              </w:rPr>
            </w:pPr>
            <w:r>
              <w:rPr>
                <w:rFonts w:ascii="Times New Roman"/>
                <w:snapToGrid w:val="0"/>
                <w:kern w:val="21"/>
                <w:szCs w:val="21"/>
              </w:rPr>
              <w:t>0</w:t>
            </w:r>
          </w:p>
        </w:tc>
        <w:tc>
          <w:tcPr>
            <w:tcW w:w="703" w:type="pct"/>
            <w:vAlign w:val="center"/>
          </w:tcPr>
          <w:p>
            <w:pPr>
              <w:pStyle w:val="38"/>
              <w:spacing w:beforeLines="0" w:afterLines="0" w:line="240" w:lineRule="auto"/>
              <w:rPr>
                <w:snapToGrid w:val="0"/>
                <w:kern w:val="21"/>
                <w:szCs w:val="21"/>
              </w:rPr>
            </w:pPr>
            <w:r>
              <w:rPr>
                <w:rFonts w:ascii="Times New Roman"/>
                <w:snapToGrid w:val="0"/>
                <w:kern w:val="21"/>
                <w:szCs w:val="21"/>
              </w:rPr>
              <w:t>0</w:t>
            </w:r>
          </w:p>
        </w:tc>
        <w:tc>
          <w:tcPr>
            <w:tcW w:w="655" w:type="pct"/>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457" w:type="pct"/>
            <w:vAlign w:val="center"/>
          </w:tcPr>
          <w:p>
            <w:pPr>
              <w:adjustRightInd w:val="0"/>
              <w:snapToGrid w:val="0"/>
              <w:jc w:val="center"/>
              <w:rPr>
                <w:szCs w:val="21"/>
              </w:rPr>
            </w:pP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2" w:type="pct"/>
            <w:vMerge w:val="continue"/>
            <w:vAlign w:val="center"/>
          </w:tcPr>
          <w:p>
            <w:pPr>
              <w:pStyle w:val="38"/>
              <w:spacing w:beforeLines="0" w:afterLines="0" w:line="240" w:lineRule="auto"/>
              <w:rPr>
                <w:rFonts w:ascii="Times New Roman"/>
                <w:snapToGrid w:val="0"/>
                <w:kern w:val="21"/>
                <w:szCs w:val="21"/>
              </w:rPr>
            </w:pPr>
          </w:p>
        </w:tc>
        <w:tc>
          <w:tcPr>
            <w:tcW w:w="679" w:type="pct"/>
            <w:vAlign w:val="center"/>
          </w:tcPr>
          <w:p>
            <w:pPr>
              <w:adjustRightInd w:val="0"/>
              <w:snapToGrid w:val="0"/>
              <w:jc w:val="center"/>
              <w:rPr>
                <w:szCs w:val="21"/>
              </w:rPr>
            </w:pPr>
            <w:r>
              <w:rPr>
                <w:szCs w:val="21"/>
              </w:rPr>
              <w:t>SS</w:t>
            </w:r>
          </w:p>
        </w:tc>
        <w:tc>
          <w:tcPr>
            <w:tcW w:w="608" w:type="pct"/>
            <w:vAlign w:val="center"/>
          </w:tcPr>
          <w:p>
            <w:pPr>
              <w:keepNext w:val="0"/>
              <w:keepLines w:val="0"/>
              <w:widowControl/>
              <w:suppressLineNumbers w:val="0"/>
              <w:jc w:val="center"/>
              <w:textAlignment w:val="center"/>
              <w:rPr>
                <w:rFonts w:hint="default" w:eastAsia="宋体"/>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3.36</w:t>
            </w:r>
          </w:p>
        </w:tc>
        <w:tc>
          <w:tcPr>
            <w:tcW w:w="679" w:type="pct"/>
            <w:vAlign w:val="center"/>
          </w:tcPr>
          <w:p>
            <w:pPr>
              <w:adjustRightInd w:val="0"/>
              <w:snapToGrid w:val="0"/>
              <w:jc w:val="center"/>
              <w:rPr>
                <w:szCs w:val="21"/>
              </w:rPr>
            </w:pPr>
            <w:r>
              <w:rPr>
                <w:szCs w:val="21"/>
              </w:rPr>
              <w:t>0</w:t>
            </w:r>
          </w:p>
        </w:tc>
        <w:tc>
          <w:tcPr>
            <w:tcW w:w="623" w:type="pct"/>
            <w:vAlign w:val="center"/>
          </w:tcPr>
          <w:p>
            <w:pPr>
              <w:pStyle w:val="38"/>
              <w:spacing w:beforeLines="0" w:afterLines="0" w:line="240" w:lineRule="auto"/>
              <w:rPr>
                <w:rFonts w:ascii="Times New Roman"/>
                <w:snapToGrid w:val="0"/>
                <w:kern w:val="21"/>
                <w:szCs w:val="21"/>
              </w:rPr>
            </w:pPr>
            <w:r>
              <w:rPr>
                <w:rFonts w:ascii="Times New Roman"/>
                <w:snapToGrid w:val="0"/>
                <w:kern w:val="21"/>
                <w:szCs w:val="21"/>
              </w:rPr>
              <w:t>0</w:t>
            </w:r>
          </w:p>
        </w:tc>
        <w:tc>
          <w:tcPr>
            <w:tcW w:w="703" w:type="pct"/>
            <w:vAlign w:val="center"/>
          </w:tcPr>
          <w:p>
            <w:pPr>
              <w:pStyle w:val="38"/>
              <w:spacing w:beforeLines="0" w:afterLines="0" w:line="240" w:lineRule="auto"/>
              <w:rPr>
                <w:snapToGrid w:val="0"/>
                <w:kern w:val="21"/>
                <w:szCs w:val="21"/>
              </w:rPr>
            </w:pPr>
            <w:r>
              <w:rPr>
                <w:rFonts w:ascii="Times New Roman"/>
                <w:snapToGrid w:val="0"/>
                <w:kern w:val="21"/>
                <w:szCs w:val="21"/>
              </w:rPr>
              <w:t>0</w:t>
            </w:r>
          </w:p>
        </w:tc>
        <w:tc>
          <w:tcPr>
            <w:tcW w:w="655" w:type="pct"/>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3.36</w:t>
            </w:r>
          </w:p>
        </w:tc>
        <w:tc>
          <w:tcPr>
            <w:tcW w:w="457" w:type="pct"/>
            <w:vAlign w:val="center"/>
          </w:tcPr>
          <w:p>
            <w:pPr>
              <w:adjustRightInd w:val="0"/>
              <w:snapToGrid w:val="0"/>
              <w:jc w:val="center"/>
              <w:rPr>
                <w:szCs w:val="21"/>
              </w:rPr>
            </w:pP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2" w:type="pct"/>
            <w:vMerge w:val="continue"/>
            <w:vAlign w:val="center"/>
          </w:tcPr>
          <w:p>
            <w:pPr>
              <w:pStyle w:val="38"/>
              <w:spacing w:beforeLines="0" w:afterLines="0" w:line="240" w:lineRule="auto"/>
              <w:rPr>
                <w:rFonts w:ascii="Times New Roman"/>
                <w:snapToGrid w:val="0"/>
                <w:kern w:val="21"/>
                <w:szCs w:val="21"/>
              </w:rPr>
            </w:pPr>
          </w:p>
        </w:tc>
        <w:tc>
          <w:tcPr>
            <w:tcW w:w="679" w:type="pct"/>
            <w:vAlign w:val="center"/>
          </w:tcPr>
          <w:p>
            <w:pPr>
              <w:adjustRightInd w:val="0"/>
              <w:snapToGrid w:val="0"/>
              <w:jc w:val="center"/>
              <w:rPr>
                <w:szCs w:val="21"/>
              </w:rPr>
            </w:pPr>
            <w:r>
              <w:rPr>
                <w:szCs w:val="21"/>
              </w:rPr>
              <w:t>NH</w:t>
            </w:r>
            <w:r>
              <w:rPr>
                <w:szCs w:val="21"/>
                <w:vertAlign w:val="subscript"/>
              </w:rPr>
              <w:t>3</w:t>
            </w:r>
            <w:r>
              <w:rPr>
                <w:szCs w:val="21"/>
              </w:rPr>
              <w:t>-N</w:t>
            </w:r>
          </w:p>
        </w:tc>
        <w:tc>
          <w:tcPr>
            <w:tcW w:w="608" w:type="pct"/>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0.378</w:t>
            </w:r>
          </w:p>
        </w:tc>
        <w:tc>
          <w:tcPr>
            <w:tcW w:w="679" w:type="pct"/>
            <w:vAlign w:val="center"/>
          </w:tcPr>
          <w:p>
            <w:pPr>
              <w:adjustRightInd w:val="0"/>
              <w:snapToGrid w:val="0"/>
              <w:jc w:val="center"/>
              <w:rPr>
                <w:szCs w:val="21"/>
              </w:rPr>
            </w:pPr>
            <w:r>
              <w:rPr>
                <w:szCs w:val="21"/>
              </w:rPr>
              <w:t>0</w:t>
            </w:r>
          </w:p>
        </w:tc>
        <w:tc>
          <w:tcPr>
            <w:tcW w:w="623" w:type="pct"/>
            <w:vAlign w:val="center"/>
          </w:tcPr>
          <w:p>
            <w:pPr>
              <w:pStyle w:val="38"/>
              <w:spacing w:beforeLines="0" w:afterLines="0" w:line="240" w:lineRule="auto"/>
              <w:rPr>
                <w:rFonts w:ascii="Times New Roman"/>
                <w:snapToGrid w:val="0"/>
                <w:kern w:val="21"/>
                <w:szCs w:val="21"/>
              </w:rPr>
            </w:pPr>
            <w:r>
              <w:rPr>
                <w:rFonts w:ascii="Times New Roman"/>
                <w:snapToGrid w:val="0"/>
                <w:kern w:val="21"/>
                <w:szCs w:val="21"/>
              </w:rPr>
              <w:t>0</w:t>
            </w:r>
          </w:p>
        </w:tc>
        <w:tc>
          <w:tcPr>
            <w:tcW w:w="703" w:type="pct"/>
            <w:vAlign w:val="center"/>
          </w:tcPr>
          <w:p>
            <w:pPr>
              <w:pStyle w:val="38"/>
              <w:spacing w:beforeLines="0" w:afterLines="0" w:line="240" w:lineRule="auto"/>
              <w:rPr>
                <w:snapToGrid w:val="0"/>
                <w:kern w:val="21"/>
                <w:szCs w:val="21"/>
              </w:rPr>
            </w:pPr>
            <w:r>
              <w:rPr>
                <w:rFonts w:ascii="Times New Roman"/>
                <w:snapToGrid w:val="0"/>
                <w:kern w:val="21"/>
                <w:szCs w:val="21"/>
              </w:rPr>
              <w:t>0</w:t>
            </w:r>
          </w:p>
        </w:tc>
        <w:tc>
          <w:tcPr>
            <w:tcW w:w="655" w:type="pct"/>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0.378</w:t>
            </w:r>
          </w:p>
        </w:tc>
        <w:tc>
          <w:tcPr>
            <w:tcW w:w="457" w:type="pct"/>
            <w:vAlign w:val="center"/>
          </w:tcPr>
          <w:p>
            <w:pPr>
              <w:adjustRightInd w:val="0"/>
              <w:snapToGrid w:val="0"/>
              <w:jc w:val="center"/>
              <w:rPr>
                <w:szCs w:val="21"/>
              </w:rPr>
            </w:pP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2" w:type="pct"/>
            <w:vMerge w:val="continue"/>
            <w:vAlign w:val="center"/>
          </w:tcPr>
          <w:p>
            <w:pPr>
              <w:pStyle w:val="38"/>
              <w:spacing w:beforeLines="0" w:afterLines="0" w:line="240" w:lineRule="auto"/>
              <w:rPr>
                <w:rFonts w:ascii="Times New Roman"/>
                <w:snapToGrid w:val="0"/>
                <w:kern w:val="21"/>
                <w:szCs w:val="21"/>
              </w:rPr>
            </w:pPr>
          </w:p>
        </w:tc>
        <w:tc>
          <w:tcPr>
            <w:tcW w:w="679" w:type="pct"/>
            <w:vAlign w:val="center"/>
          </w:tcPr>
          <w:p>
            <w:pPr>
              <w:adjustRightInd w:val="0"/>
              <w:snapToGrid w:val="0"/>
              <w:jc w:val="center"/>
            </w:pPr>
            <w:r>
              <w:rPr>
                <w:szCs w:val="21"/>
              </w:rPr>
              <w:t>TP</w:t>
            </w:r>
          </w:p>
        </w:tc>
        <w:tc>
          <w:tcPr>
            <w:tcW w:w="608" w:type="pct"/>
            <w:vAlign w:val="center"/>
          </w:tcPr>
          <w:p>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1"/>
                <w:szCs w:val="21"/>
                <w:u w:val="none"/>
                <w:lang w:val="en-US" w:eastAsia="zh-CN" w:bidi="ar"/>
              </w:rPr>
              <w:t>0.0672</w:t>
            </w:r>
          </w:p>
        </w:tc>
        <w:tc>
          <w:tcPr>
            <w:tcW w:w="679" w:type="pct"/>
            <w:vAlign w:val="center"/>
          </w:tcPr>
          <w:p>
            <w:pPr>
              <w:adjustRightInd w:val="0"/>
              <w:snapToGrid w:val="0"/>
              <w:jc w:val="center"/>
            </w:pPr>
            <w:r>
              <w:rPr>
                <w:snapToGrid w:val="0"/>
                <w:kern w:val="21"/>
                <w:szCs w:val="21"/>
              </w:rPr>
              <w:t>0</w:t>
            </w:r>
          </w:p>
        </w:tc>
        <w:tc>
          <w:tcPr>
            <w:tcW w:w="623" w:type="pct"/>
            <w:vAlign w:val="center"/>
          </w:tcPr>
          <w:p>
            <w:pPr>
              <w:pStyle w:val="38"/>
              <w:spacing w:beforeLines="0" w:afterLines="0" w:line="240" w:lineRule="auto"/>
              <w:rPr>
                <w:rFonts w:ascii="Times New Roman"/>
                <w:snapToGrid w:val="0"/>
                <w:kern w:val="21"/>
                <w:szCs w:val="21"/>
              </w:rPr>
            </w:pPr>
            <w:r>
              <w:rPr>
                <w:rFonts w:ascii="Times New Roman"/>
                <w:snapToGrid w:val="0"/>
                <w:kern w:val="21"/>
                <w:szCs w:val="21"/>
              </w:rPr>
              <w:t>0</w:t>
            </w:r>
          </w:p>
        </w:tc>
        <w:tc>
          <w:tcPr>
            <w:tcW w:w="703" w:type="pct"/>
            <w:vAlign w:val="center"/>
          </w:tcPr>
          <w:p>
            <w:pPr>
              <w:pStyle w:val="38"/>
              <w:spacing w:beforeLines="0" w:afterLines="0" w:line="240" w:lineRule="auto"/>
              <w:rPr>
                <w:snapToGrid w:val="0"/>
                <w:kern w:val="21"/>
                <w:szCs w:val="21"/>
              </w:rPr>
            </w:pPr>
            <w:r>
              <w:rPr>
                <w:rFonts w:ascii="Times New Roman"/>
                <w:snapToGrid w:val="0"/>
                <w:kern w:val="21"/>
                <w:szCs w:val="21"/>
              </w:rPr>
              <w:t>0</w:t>
            </w:r>
          </w:p>
        </w:tc>
        <w:tc>
          <w:tcPr>
            <w:tcW w:w="655" w:type="pct"/>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0.0672</w:t>
            </w:r>
          </w:p>
        </w:tc>
        <w:tc>
          <w:tcPr>
            <w:tcW w:w="457" w:type="pct"/>
            <w:vAlign w:val="center"/>
          </w:tcPr>
          <w:p>
            <w:pPr>
              <w:adjustRightInd w:val="0"/>
              <w:snapToGrid w:val="0"/>
              <w:jc w:val="center"/>
              <w:rPr>
                <w:szCs w:val="21"/>
              </w:rPr>
            </w:pP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2" w:type="pct"/>
            <w:vMerge w:val="continue"/>
            <w:vAlign w:val="center"/>
          </w:tcPr>
          <w:p>
            <w:pPr>
              <w:pStyle w:val="38"/>
              <w:spacing w:beforeLines="0" w:afterLines="0" w:line="240" w:lineRule="auto"/>
              <w:rPr>
                <w:rFonts w:ascii="Times New Roman"/>
                <w:snapToGrid w:val="0"/>
                <w:kern w:val="21"/>
                <w:szCs w:val="21"/>
              </w:rPr>
            </w:pPr>
          </w:p>
        </w:tc>
        <w:tc>
          <w:tcPr>
            <w:tcW w:w="679" w:type="pct"/>
            <w:vAlign w:val="center"/>
          </w:tcPr>
          <w:p>
            <w:pPr>
              <w:adjustRightInd w:val="0"/>
              <w:snapToGrid w:val="0"/>
              <w:jc w:val="center"/>
              <w:rPr>
                <w:rFonts w:hint="default" w:eastAsia="宋体"/>
                <w:szCs w:val="21"/>
                <w:lang w:val="en-US" w:eastAsia="zh-CN"/>
              </w:rPr>
            </w:pPr>
            <w:r>
              <w:rPr>
                <w:rFonts w:hint="eastAsia"/>
                <w:szCs w:val="21"/>
                <w:lang w:val="en-US" w:eastAsia="zh-CN"/>
              </w:rPr>
              <w:t>TN</w:t>
            </w:r>
          </w:p>
        </w:tc>
        <w:tc>
          <w:tcPr>
            <w:tcW w:w="608" w:type="pct"/>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0.588</w:t>
            </w:r>
          </w:p>
        </w:tc>
        <w:tc>
          <w:tcPr>
            <w:tcW w:w="679" w:type="pct"/>
            <w:vAlign w:val="center"/>
          </w:tcPr>
          <w:p>
            <w:pPr>
              <w:adjustRightInd w:val="0"/>
              <w:snapToGrid w:val="0"/>
              <w:jc w:val="center"/>
              <w:rPr>
                <w:rFonts w:ascii="Times New Roman" w:hAnsi="Times New Roman" w:eastAsia="宋体" w:cs="Times New Roman"/>
                <w:kern w:val="2"/>
                <w:sz w:val="21"/>
                <w:szCs w:val="24"/>
                <w:lang w:val="en-US" w:eastAsia="zh-CN" w:bidi="ar-SA"/>
              </w:rPr>
            </w:pPr>
            <w:r>
              <w:rPr>
                <w:snapToGrid w:val="0"/>
                <w:kern w:val="21"/>
                <w:szCs w:val="21"/>
              </w:rPr>
              <w:t>0</w:t>
            </w:r>
          </w:p>
        </w:tc>
        <w:tc>
          <w:tcPr>
            <w:tcW w:w="623" w:type="pct"/>
            <w:vAlign w:val="center"/>
          </w:tcPr>
          <w:p>
            <w:pPr>
              <w:pStyle w:val="38"/>
              <w:spacing w:beforeLines="0" w:afterLines="0" w:line="240" w:lineRule="auto"/>
              <w:rPr>
                <w:rFonts w:ascii="Times New Roman" w:hAnsi="Times New Roman" w:eastAsia="宋体" w:cs="Times New Roman"/>
                <w:snapToGrid w:val="0"/>
                <w:kern w:val="21"/>
                <w:sz w:val="21"/>
                <w:szCs w:val="21"/>
                <w:lang w:val="en-US" w:eastAsia="zh-CN" w:bidi="ar-SA"/>
              </w:rPr>
            </w:pPr>
            <w:r>
              <w:rPr>
                <w:rFonts w:ascii="Times New Roman"/>
                <w:snapToGrid w:val="0"/>
                <w:kern w:val="21"/>
                <w:szCs w:val="21"/>
              </w:rPr>
              <w:t>0</w:t>
            </w:r>
          </w:p>
        </w:tc>
        <w:tc>
          <w:tcPr>
            <w:tcW w:w="703" w:type="pct"/>
            <w:vAlign w:val="center"/>
          </w:tcPr>
          <w:p>
            <w:pPr>
              <w:pStyle w:val="38"/>
              <w:spacing w:beforeLines="0" w:afterLines="0" w:line="240" w:lineRule="auto"/>
              <w:rPr>
                <w:rFonts w:ascii="Times New Roman" w:hAnsi="Times New Roman" w:eastAsia="宋体" w:cs="Times New Roman"/>
                <w:snapToGrid w:val="0"/>
                <w:kern w:val="21"/>
                <w:sz w:val="21"/>
                <w:szCs w:val="21"/>
                <w:lang w:val="en-US" w:eastAsia="zh-CN" w:bidi="ar-SA"/>
              </w:rPr>
            </w:pPr>
            <w:r>
              <w:rPr>
                <w:rFonts w:ascii="Times New Roman"/>
                <w:snapToGrid w:val="0"/>
                <w:kern w:val="21"/>
                <w:szCs w:val="21"/>
              </w:rPr>
              <w:t>0</w:t>
            </w:r>
          </w:p>
        </w:tc>
        <w:tc>
          <w:tcPr>
            <w:tcW w:w="655" w:type="pct"/>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0.588</w:t>
            </w:r>
          </w:p>
        </w:tc>
        <w:tc>
          <w:tcPr>
            <w:tcW w:w="457" w:type="pct"/>
            <w:vAlign w:val="center"/>
          </w:tcPr>
          <w:p>
            <w:pPr>
              <w:adjustRightInd w:val="0"/>
              <w:snapToGrid w:val="0"/>
              <w:jc w:val="center"/>
              <w:rPr>
                <w:rFonts w:hint="eastAsia" w:eastAsia="宋体"/>
                <w:szCs w:val="21"/>
                <w:lang w:val="en-US" w:eastAsia="zh-CN"/>
              </w:rPr>
            </w:pPr>
            <w:r>
              <w:rPr>
                <w:rFonts w:hint="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2" w:type="pct"/>
            <w:vMerge w:val="restart"/>
            <w:vAlign w:val="center"/>
          </w:tcPr>
          <w:p>
            <w:pPr>
              <w:pStyle w:val="38"/>
              <w:spacing w:beforeLines="0" w:afterLines="0" w:line="240" w:lineRule="auto"/>
              <w:rPr>
                <w:rFonts w:ascii="Times New Roman"/>
                <w:snapToGrid w:val="0"/>
                <w:kern w:val="21"/>
                <w:szCs w:val="21"/>
              </w:rPr>
            </w:pPr>
            <w:r>
              <w:rPr>
                <w:rFonts w:ascii="Times New Roman"/>
                <w:snapToGrid w:val="0"/>
                <w:kern w:val="21"/>
                <w:szCs w:val="21"/>
              </w:rPr>
              <w:t>一般工业</w:t>
            </w:r>
          </w:p>
          <w:p>
            <w:pPr>
              <w:pStyle w:val="38"/>
              <w:spacing w:before="24" w:after="24" w:line="240" w:lineRule="auto"/>
              <w:rPr>
                <w:rFonts w:ascii="Times New Roman"/>
                <w:snapToGrid w:val="0"/>
                <w:kern w:val="21"/>
                <w:szCs w:val="21"/>
              </w:rPr>
            </w:pPr>
            <w:r>
              <w:rPr>
                <w:rFonts w:ascii="Times New Roman"/>
                <w:snapToGrid w:val="0"/>
                <w:kern w:val="21"/>
                <w:szCs w:val="21"/>
              </w:rPr>
              <w:t>固体废物</w:t>
            </w:r>
          </w:p>
        </w:tc>
        <w:tc>
          <w:tcPr>
            <w:tcW w:w="679" w:type="pct"/>
            <w:vAlign w:val="center"/>
          </w:tcPr>
          <w:p>
            <w:pPr>
              <w:adjustRightInd w:val="0"/>
              <w:snapToGrid w:val="0"/>
              <w:jc w:val="center"/>
              <w:rPr>
                <w:szCs w:val="21"/>
              </w:rPr>
            </w:pPr>
            <w:r>
              <w:rPr>
                <w:szCs w:val="21"/>
              </w:rPr>
              <w:t>废包装袋</w:t>
            </w:r>
          </w:p>
        </w:tc>
        <w:tc>
          <w:tcPr>
            <w:tcW w:w="608" w:type="pct"/>
            <w:vAlign w:val="center"/>
          </w:tcPr>
          <w:p>
            <w:pPr>
              <w:adjustRightInd w:val="0"/>
              <w:snapToGrid w:val="0"/>
              <w:jc w:val="center"/>
              <w:rPr>
                <w:szCs w:val="21"/>
              </w:rPr>
            </w:pPr>
            <w:r>
              <w:rPr>
                <w:szCs w:val="21"/>
              </w:rPr>
              <w:t>4</w:t>
            </w:r>
          </w:p>
        </w:tc>
        <w:tc>
          <w:tcPr>
            <w:tcW w:w="679" w:type="pct"/>
            <w:vAlign w:val="center"/>
          </w:tcPr>
          <w:p>
            <w:pPr>
              <w:adjustRightInd w:val="0"/>
              <w:snapToGrid w:val="0"/>
              <w:jc w:val="center"/>
              <w:rPr>
                <w:szCs w:val="21"/>
              </w:rPr>
            </w:pPr>
            <w:r>
              <w:rPr>
                <w:snapToGrid w:val="0"/>
                <w:kern w:val="21"/>
                <w:szCs w:val="21"/>
              </w:rPr>
              <w:t>0</w:t>
            </w:r>
          </w:p>
        </w:tc>
        <w:tc>
          <w:tcPr>
            <w:tcW w:w="623" w:type="pct"/>
            <w:vAlign w:val="center"/>
          </w:tcPr>
          <w:p>
            <w:pPr>
              <w:adjustRightInd w:val="0"/>
              <w:snapToGrid w:val="0"/>
              <w:jc w:val="center"/>
              <w:rPr>
                <w:snapToGrid w:val="0"/>
                <w:kern w:val="21"/>
                <w:szCs w:val="21"/>
              </w:rPr>
            </w:pPr>
            <w:r>
              <w:rPr>
                <w:snapToGrid w:val="0"/>
                <w:kern w:val="21"/>
                <w:szCs w:val="21"/>
              </w:rPr>
              <w:t>0</w:t>
            </w:r>
          </w:p>
        </w:tc>
        <w:tc>
          <w:tcPr>
            <w:tcW w:w="703" w:type="pct"/>
            <w:vAlign w:val="center"/>
          </w:tcPr>
          <w:p>
            <w:pPr>
              <w:pStyle w:val="38"/>
              <w:spacing w:beforeLines="0" w:afterLines="0" w:line="240" w:lineRule="auto"/>
              <w:rPr>
                <w:rFonts w:ascii="Times New Roman"/>
                <w:snapToGrid w:val="0"/>
                <w:kern w:val="21"/>
                <w:szCs w:val="21"/>
              </w:rPr>
            </w:pPr>
            <w:r>
              <w:rPr>
                <w:rFonts w:ascii="Times New Roman"/>
                <w:snapToGrid w:val="0"/>
                <w:kern w:val="21"/>
                <w:szCs w:val="21"/>
              </w:rPr>
              <w:t>0</w:t>
            </w:r>
          </w:p>
        </w:tc>
        <w:tc>
          <w:tcPr>
            <w:tcW w:w="655" w:type="pct"/>
            <w:vAlign w:val="center"/>
          </w:tcPr>
          <w:p>
            <w:pPr>
              <w:adjustRightInd w:val="0"/>
              <w:snapToGrid w:val="0"/>
              <w:jc w:val="center"/>
              <w:rPr>
                <w:szCs w:val="21"/>
              </w:rPr>
            </w:pPr>
            <w:r>
              <w:rPr>
                <w:szCs w:val="21"/>
              </w:rPr>
              <w:t>4</w:t>
            </w:r>
          </w:p>
        </w:tc>
        <w:tc>
          <w:tcPr>
            <w:tcW w:w="457" w:type="pct"/>
            <w:vAlign w:val="center"/>
          </w:tcPr>
          <w:p>
            <w:pPr>
              <w:adjustRightInd w:val="0"/>
              <w:snapToGrid w:val="0"/>
              <w:jc w:val="center"/>
              <w:rPr>
                <w:szCs w:val="21"/>
              </w:rPr>
            </w:pP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2" w:type="pct"/>
            <w:vMerge w:val="continue"/>
            <w:vAlign w:val="center"/>
          </w:tcPr>
          <w:p>
            <w:pPr>
              <w:pStyle w:val="38"/>
              <w:spacing w:beforeLines="0" w:afterLines="0" w:line="240" w:lineRule="auto"/>
              <w:rPr>
                <w:rFonts w:ascii="Times New Roman"/>
                <w:snapToGrid w:val="0"/>
                <w:kern w:val="21"/>
                <w:szCs w:val="21"/>
              </w:rPr>
            </w:pPr>
          </w:p>
        </w:tc>
        <w:tc>
          <w:tcPr>
            <w:tcW w:w="679" w:type="pct"/>
            <w:vAlign w:val="center"/>
          </w:tcPr>
          <w:p>
            <w:pPr>
              <w:adjustRightInd w:val="0"/>
              <w:snapToGrid w:val="0"/>
              <w:jc w:val="center"/>
              <w:rPr>
                <w:szCs w:val="21"/>
              </w:rPr>
            </w:pPr>
            <w:r>
              <w:rPr>
                <w:szCs w:val="21"/>
              </w:rPr>
              <w:t>废过滤残渣</w:t>
            </w:r>
          </w:p>
        </w:tc>
        <w:tc>
          <w:tcPr>
            <w:tcW w:w="608" w:type="pct"/>
            <w:vAlign w:val="center"/>
          </w:tcPr>
          <w:p>
            <w:pPr>
              <w:adjustRightInd w:val="0"/>
              <w:snapToGrid w:val="0"/>
              <w:jc w:val="center"/>
              <w:rPr>
                <w:szCs w:val="21"/>
              </w:rPr>
            </w:pPr>
            <w:r>
              <w:rPr>
                <w:szCs w:val="21"/>
              </w:rPr>
              <w:t>100</w:t>
            </w:r>
          </w:p>
        </w:tc>
        <w:tc>
          <w:tcPr>
            <w:tcW w:w="679" w:type="pct"/>
            <w:vAlign w:val="center"/>
          </w:tcPr>
          <w:p>
            <w:pPr>
              <w:adjustRightInd w:val="0"/>
              <w:snapToGrid w:val="0"/>
              <w:jc w:val="center"/>
              <w:rPr>
                <w:snapToGrid w:val="0"/>
                <w:kern w:val="21"/>
                <w:szCs w:val="21"/>
              </w:rPr>
            </w:pPr>
            <w:r>
              <w:rPr>
                <w:snapToGrid w:val="0"/>
                <w:kern w:val="21"/>
                <w:szCs w:val="21"/>
              </w:rPr>
              <w:t>0</w:t>
            </w:r>
          </w:p>
        </w:tc>
        <w:tc>
          <w:tcPr>
            <w:tcW w:w="623" w:type="pct"/>
            <w:vAlign w:val="center"/>
          </w:tcPr>
          <w:p>
            <w:pPr>
              <w:adjustRightInd w:val="0"/>
              <w:snapToGrid w:val="0"/>
              <w:jc w:val="center"/>
              <w:rPr>
                <w:snapToGrid w:val="0"/>
                <w:kern w:val="21"/>
                <w:szCs w:val="21"/>
              </w:rPr>
            </w:pPr>
            <w:r>
              <w:rPr>
                <w:snapToGrid w:val="0"/>
                <w:kern w:val="21"/>
                <w:szCs w:val="21"/>
              </w:rPr>
              <w:t>0</w:t>
            </w:r>
          </w:p>
        </w:tc>
        <w:tc>
          <w:tcPr>
            <w:tcW w:w="703" w:type="pct"/>
            <w:vAlign w:val="center"/>
          </w:tcPr>
          <w:p>
            <w:pPr>
              <w:pStyle w:val="38"/>
              <w:spacing w:beforeLines="0" w:afterLines="0" w:line="240" w:lineRule="auto"/>
              <w:rPr>
                <w:rFonts w:ascii="Times New Roman"/>
                <w:snapToGrid w:val="0"/>
                <w:kern w:val="21"/>
                <w:szCs w:val="21"/>
              </w:rPr>
            </w:pPr>
            <w:r>
              <w:rPr>
                <w:rFonts w:ascii="Times New Roman"/>
                <w:snapToGrid w:val="0"/>
                <w:kern w:val="21"/>
                <w:szCs w:val="21"/>
              </w:rPr>
              <w:t>0</w:t>
            </w:r>
          </w:p>
        </w:tc>
        <w:tc>
          <w:tcPr>
            <w:tcW w:w="655" w:type="pct"/>
            <w:vAlign w:val="center"/>
          </w:tcPr>
          <w:p>
            <w:pPr>
              <w:adjustRightInd w:val="0"/>
              <w:snapToGrid w:val="0"/>
              <w:jc w:val="center"/>
              <w:rPr>
                <w:szCs w:val="21"/>
              </w:rPr>
            </w:pPr>
            <w:r>
              <w:rPr>
                <w:szCs w:val="21"/>
              </w:rPr>
              <w:t>100</w:t>
            </w:r>
          </w:p>
        </w:tc>
        <w:tc>
          <w:tcPr>
            <w:tcW w:w="457" w:type="pct"/>
            <w:vAlign w:val="center"/>
          </w:tcPr>
          <w:p>
            <w:pPr>
              <w:adjustRightInd w:val="0"/>
              <w:snapToGrid w:val="0"/>
              <w:jc w:val="center"/>
              <w:rPr>
                <w:szCs w:val="21"/>
              </w:rPr>
            </w:pP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2" w:type="pct"/>
            <w:vMerge w:val="continue"/>
            <w:vAlign w:val="center"/>
          </w:tcPr>
          <w:p>
            <w:pPr>
              <w:pStyle w:val="38"/>
              <w:spacing w:beforeLines="0" w:afterLines="0" w:line="240" w:lineRule="auto"/>
              <w:rPr>
                <w:rFonts w:ascii="Times New Roman"/>
                <w:snapToGrid w:val="0"/>
                <w:kern w:val="21"/>
                <w:szCs w:val="21"/>
              </w:rPr>
            </w:pPr>
          </w:p>
        </w:tc>
        <w:tc>
          <w:tcPr>
            <w:tcW w:w="679" w:type="pct"/>
            <w:vAlign w:val="center"/>
          </w:tcPr>
          <w:p>
            <w:pPr>
              <w:adjustRightInd w:val="0"/>
              <w:snapToGrid w:val="0"/>
              <w:jc w:val="center"/>
              <w:rPr>
                <w:szCs w:val="21"/>
              </w:rPr>
            </w:pPr>
            <w:r>
              <w:rPr>
                <w:szCs w:val="21"/>
              </w:rPr>
              <w:t>收尘</w:t>
            </w:r>
          </w:p>
        </w:tc>
        <w:tc>
          <w:tcPr>
            <w:tcW w:w="608" w:type="pct"/>
            <w:vAlign w:val="center"/>
          </w:tcPr>
          <w:p>
            <w:pPr>
              <w:adjustRightInd w:val="0"/>
              <w:snapToGrid w:val="0"/>
              <w:jc w:val="center"/>
              <w:rPr>
                <w:szCs w:val="21"/>
              </w:rPr>
            </w:pPr>
            <w:r>
              <w:rPr>
                <w:szCs w:val="21"/>
              </w:rPr>
              <w:t>12.6112</w:t>
            </w:r>
          </w:p>
        </w:tc>
        <w:tc>
          <w:tcPr>
            <w:tcW w:w="679" w:type="pct"/>
            <w:vAlign w:val="center"/>
          </w:tcPr>
          <w:p>
            <w:pPr>
              <w:adjustRightInd w:val="0"/>
              <w:snapToGrid w:val="0"/>
              <w:jc w:val="center"/>
              <w:rPr>
                <w:szCs w:val="21"/>
              </w:rPr>
            </w:pPr>
            <w:r>
              <w:rPr>
                <w:snapToGrid w:val="0"/>
                <w:kern w:val="21"/>
                <w:szCs w:val="21"/>
              </w:rPr>
              <w:t>0</w:t>
            </w:r>
          </w:p>
        </w:tc>
        <w:tc>
          <w:tcPr>
            <w:tcW w:w="623" w:type="pct"/>
            <w:vAlign w:val="center"/>
          </w:tcPr>
          <w:p>
            <w:pPr>
              <w:adjustRightInd w:val="0"/>
              <w:snapToGrid w:val="0"/>
              <w:jc w:val="center"/>
              <w:rPr>
                <w:snapToGrid w:val="0"/>
                <w:kern w:val="21"/>
                <w:szCs w:val="21"/>
              </w:rPr>
            </w:pPr>
            <w:r>
              <w:rPr>
                <w:snapToGrid w:val="0"/>
                <w:kern w:val="21"/>
                <w:szCs w:val="21"/>
              </w:rPr>
              <w:t>0</w:t>
            </w:r>
          </w:p>
        </w:tc>
        <w:tc>
          <w:tcPr>
            <w:tcW w:w="703" w:type="pct"/>
            <w:vAlign w:val="center"/>
          </w:tcPr>
          <w:p>
            <w:pPr>
              <w:pStyle w:val="38"/>
              <w:spacing w:beforeLines="0" w:afterLines="0" w:line="240" w:lineRule="auto"/>
              <w:rPr>
                <w:rFonts w:ascii="Times New Roman"/>
                <w:snapToGrid w:val="0"/>
                <w:kern w:val="21"/>
                <w:szCs w:val="21"/>
              </w:rPr>
            </w:pPr>
            <w:r>
              <w:rPr>
                <w:rFonts w:ascii="Times New Roman"/>
                <w:snapToGrid w:val="0"/>
                <w:kern w:val="21"/>
                <w:szCs w:val="21"/>
              </w:rPr>
              <w:t>0</w:t>
            </w:r>
          </w:p>
        </w:tc>
        <w:tc>
          <w:tcPr>
            <w:tcW w:w="655" w:type="pct"/>
            <w:vAlign w:val="center"/>
          </w:tcPr>
          <w:p>
            <w:pPr>
              <w:adjustRightInd w:val="0"/>
              <w:snapToGrid w:val="0"/>
              <w:jc w:val="center"/>
              <w:rPr>
                <w:szCs w:val="21"/>
              </w:rPr>
            </w:pPr>
            <w:r>
              <w:rPr>
                <w:szCs w:val="21"/>
              </w:rPr>
              <w:t>12.6112</w:t>
            </w:r>
          </w:p>
        </w:tc>
        <w:tc>
          <w:tcPr>
            <w:tcW w:w="457" w:type="pct"/>
            <w:vAlign w:val="center"/>
          </w:tcPr>
          <w:p>
            <w:pPr>
              <w:adjustRightInd w:val="0"/>
              <w:snapToGrid w:val="0"/>
              <w:jc w:val="center"/>
              <w:rPr>
                <w:szCs w:val="21"/>
              </w:rPr>
            </w:pP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2" w:type="pct"/>
            <w:vMerge w:val="restart"/>
            <w:vAlign w:val="center"/>
          </w:tcPr>
          <w:p>
            <w:pPr>
              <w:pStyle w:val="38"/>
              <w:spacing w:beforeLines="0" w:afterLines="0" w:line="240" w:lineRule="auto"/>
              <w:rPr>
                <w:rFonts w:ascii="Times New Roman"/>
                <w:snapToGrid w:val="0"/>
                <w:kern w:val="21"/>
                <w:szCs w:val="21"/>
              </w:rPr>
            </w:pPr>
            <w:r>
              <w:rPr>
                <w:rFonts w:ascii="Times New Roman"/>
                <w:snapToGrid w:val="0"/>
                <w:kern w:val="21"/>
                <w:szCs w:val="21"/>
              </w:rPr>
              <w:t>危险废物</w:t>
            </w:r>
          </w:p>
        </w:tc>
        <w:tc>
          <w:tcPr>
            <w:tcW w:w="679" w:type="pct"/>
            <w:vAlign w:val="center"/>
          </w:tcPr>
          <w:p>
            <w:pPr>
              <w:adjustRightInd w:val="0"/>
              <w:snapToGrid w:val="0"/>
              <w:jc w:val="center"/>
              <w:rPr>
                <w:szCs w:val="21"/>
              </w:rPr>
            </w:pPr>
            <w:r>
              <w:rPr>
                <w:szCs w:val="21"/>
              </w:rPr>
              <w:t>含油抹布、手套</w:t>
            </w:r>
          </w:p>
        </w:tc>
        <w:tc>
          <w:tcPr>
            <w:tcW w:w="608" w:type="pct"/>
            <w:vAlign w:val="center"/>
          </w:tcPr>
          <w:p>
            <w:pPr>
              <w:adjustRightInd w:val="0"/>
              <w:snapToGrid w:val="0"/>
              <w:jc w:val="center"/>
              <w:rPr>
                <w:snapToGrid w:val="0"/>
                <w:kern w:val="21"/>
                <w:szCs w:val="21"/>
              </w:rPr>
            </w:pPr>
            <w:r>
              <w:rPr>
                <w:szCs w:val="21"/>
              </w:rPr>
              <w:t>4</w:t>
            </w:r>
          </w:p>
        </w:tc>
        <w:tc>
          <w:tcPr>
            <w:tcW w:w="679" w:type="pct"/>
            <w:vAlign w:val="center"/>
          </w:tcPr>
          <w:p>
            <w:pPr>
              <w:pStyle w:val="38"/>
              <w:spacing w:beforeLines="0" w:afterLines="0" w:line="240" w:lineRule="auto"/>
              <w:rPr>
                <w:rFonts w:ascii="Times New Roman"/>
                <w:snapToGrid w:val="0"/>
                <w:kern w:val="21"/>
                <w:szCs w:val="21"/>
              </w:rPr>
            </w:pPr>
            <w:r>
              <w:rPr>
                <w:rFonts w:ascii="Times New Roman"/>
                <w:snapToGrid w:val="0"/>
                <w:kern w:val="21"/>
                <w:szCs w:val="21"/>
              </w:rPr>
              <w:t>0</w:t>
            </w:r>
          </w:p>
        </w:tc>
        <w:tc>
          <w:tcPr>
            <w:tcW w:w="623" w:type="pct"/>
            <w:vAlign w:val="center"/>
          </w:tcPr>
          <w:p>
            <w:pPr>
              <w:pStyle w:val="38"/>
              <w:spacing w:beforeLines="0" w:afterLines="0" w:line="240" w:lineRule="auto"/>
              <w:rPr>
                <w:rFonts w:ascii="Times New Roman"/>
                <w:snapToGrid w:val="0"/>
                <w:kern w:val="21"/>
                <w:szCs w:val="21"/>
              </w:rPr>
            </w:pPr>
            <w:r>
              <w:rPr>
                <w:rFonts w:ascii="Times New Roman"/>
                <w:snapToGrid w:val="0"/>
                <w:kern w:val="21"/>
                <w:szCs w:val="21"/>
              </w:rPr>
              <w:t>0</w:t>
            </w:r>
          </w:p>
        </w:tc>
        <w:tc>
          <w:tcPr>
            <w:tcW w:w="703" w:type="pct"/>
            <w:vAlign w:val="center"/>
          </w:tcPr>
          <w:p>
            <w:pPr>
              <w:pStyle w:val="38"/>
              <w:spacing w:beforeLines="0" w:afterLines="0" w:line="240" w:lineRule="auto"/>
              <w:rPr>
                <w:rFonts w:ascii="Times New Roman"/>
                <w:snapToGrid w:val="0"/>
                <w:kern w:val="21"/>
                <w:szCs w:val="21"/>
              </w:rPr>
            </w:pPr>
            <w:r>
              <w:rPr>
                <w:rFonts w:ascii="Times New Roman"/>
                <w:snapToGrid w:val="0"/>
                <w:kern w:val="21"/>
                <w:szCs w:val="21"/>
              </w:rPr>
              <w:t>0</w:t>
            </w:r>
          </w:p>
        </w:tc>
        <w:tc>
          <w:tcPr>
            <w:tcW w:w="655" w:type="pct"/>
            <w:vAlign w:val="center"/>
          </w:tcPr>
          <w:p>
            <w:pPr>
              <w:adjustRightInd w:val="0"/>
              <w:snapToGrid w:val="0"/>
              <w:jc w:val="center"/>
              <w:rPr>
                <w:snapToGrid w:val="0"/>
                <w:kern w:val="21"/>
                <w:szCs w:val="21"/>
              </w:rPr>
            </w:pPr>
            <w:r>
              <w:rPr>
                <w:szCs w:val="21"/>
              </w:rPr>
              <w:t>4</w:t>
            </w:r>
          </w:p>
        </w:tc>
        <w:tc>
          <w:tcPr>
            <w:tcW w:w="457" w:type="pct"/>
            <w:vAlign w:val="center"/>
          </w:tcPr>
          <w:p>
            <w:pPr>
              <w:adjustRightInd w:val="0"/>
              <w:snapToGrid w:val="0"/>
              <w:jc w:val="center"/>
              <w:rPr>
                <w:snapToGrid w:val="0"/>
                <w:kern w:val="21"/>
                <w:szCs w:val="21"/>
              </w:rPr>
            </w:pP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2" w:type="pct"/>
            <w:vMerge w:val="continue"/>
            <w:vAlign w:val="center"/>
          </w:tcPr>
          <w:p>
            <w:pPr>
              <w:pStyle w:val="38"/>
              <w:spacing w:beforeLines="0" w:afterLines="0" w:line="240" w:lineRule="auto"/>
              <w:rPr>
                <w:rFonts w:ascii="Times New Roman"/>
                <w:snapToGrid w:val="0"/>
                <w:kern w:val="21"/>
                <w:szCs w:val="21"/>
              </w:rPr>
            </w:pPr>
          </w:p>
        </w:tc>
        <w:tc>
          <w:tcPr>
            <w:tcW w:w="679" w:type="pct"/>
            <w:vAlign w:val="center"/>
          </w:tcPr>
          <w:p>
            <w:pPr>
              <w:adjustRightInd w:val="0"/>
              <w:snapToGrid w:val="0"/>
              <w:jc w:val="center"/>
              <w:rPr>
                <w:szCs w:val="21"/>
              </w:rPr>
            </w:pPr>
            <w:r>
              <w:rPr>
                <w:szCs w:val="21"/>
              </w:rPr>
              <w:t>废活性炭</w:t>
            </w:r>
          </w:p>
        </w:tc>
        <w:tc>
          <w:tcPr>
            <w:tcW w:w="608" w:type="pct"/>
            <w:vAlign w:val="center"/>
          </w:tcPr>
          <w:p>
            <w:pPr>
              <w:adjustRightInd w:val="0"/>
              <w:snapToGrid w:val="0"/>
              <w:jc w:val="center"/>
              <w:rPr>
                <w:snapToGrid w:val="0"/>
                <w:kern w:val="21"/>
                <w:szCs w:val="21"/>
              </w:rPr>
            </w:pPr>
            <w:r>
              <w:rPr>
                <w:szCs w:val="21"/>
              </w:rPr>
              <w:t>31.6</w:t>
            </w:r>
          </w:p>
        </w:tc>
        <w:tc>
          <w:tcPr>
            <w:tcW w:w="679" w:type="pct"/>
            <w:vAlign w:val="center"/>
          </w:tcPr>
          <w:p>
            <w:pPr>
              <w:pStyle w:val="38"/>
              <w:spacing w:beforeLines="0" w:afterLines="0" w:line="240" w:lineRule="auto"/>
              <w:rPr>
                <w:rFonts w:ascii="Times New Roman"/>
                <w:snapToGrid w:val="0"/>
                <w:kern w:val="21"/>
                <w:szCs w:val="21"/>
              </w:rPr>
            </w:pPr>
            <w:r>
              <w:rPr>
                <w:rFonts w:ascii="Times New Roman"/>
                <w:snapToGrid w:val="0"/>
                <w:kern w:val="21"/>
                <w:szCs w:val="21"/>
              </w:rPr>
              <w:t>0</w:t>
            </w:r>
          </w:p>
        </w:tc>
        <w:tc>
          <w:tcPr>
            <w:tcW w:w="623" w:type="pct"/>
            <w:vAlign w:val="center"/>
          </w:tcPr>
          <w:p>
            <w:pPr>
              <w:pStyle w:val="38"/>
              <w:spacing w:beforeLines="0" w:afterLines="0" w:line="240" w:lineRule="auto"/>
              <w:rPr>
                <w:rFonts w:ascii="Times New Roman"/>
                <w:snapToGrid w:val="0"/>
                <w:kern w:val="21"/>
                <w:szCs w:val="21"/>
              </w:rPr>
            </w:pPr>
            <w:r>
              <w:rPr>
                <w:rFonts w:ascii="Times New Roman"/>
                <w:snapToGrid w:val="0"/>
                <w:kern w:val="21"/>
                <w:szCs w:val="21"/>
              </w:rPr>
              <w:t>0</w:t>
            </w:r>
          </w:p>
        </w:tc>
        <w:tc>
          <w:tcPr>
            <w:tcW w:w="703" w:type="pct"/>
            <w:vAlign w:val="center"/>
          </w:tcPr>
          <w:p>
            <w:pPr>
              <w:pStyle w:val="38"/>
              <w:spacing w:beforeLines="0" w:afterLines="0" w:line="240" w:lineRule="auto"/>
              <w:rPr>
                <w:rFonts w:ascii="Times New Roman"/>
                <w:snapToGrid w:val="0"/>
                <w:kern w:val="21"/>
                <w:szCs w:val="21"/>
              </w:rPr>
            </w:pPr>
            <w:r>
              <w:rPr>
                <w:rFonts w:ascii="Times New Roman"/>
                <w:snapToGrid w:val="0"/>
                <w:kern w:val="21"/>
                <w:szCs w:val="21"/>
              </w:rPr>
              <w:t>0</w:t>
            </w:r>
          </w:p>
        </w:tc>
        <w:tc>
          <w:tcPr>
            <w:tcW w:w="655" w:type="pct"/>
            <w:vAlign w:val="center"/>
          </w:tcPr>
          <w:p>
            <w:pPr>
              <w:adjustRightInd w:val="0"/>
              <w:snapToGrid w:val="0"/>
              <w:jc w:val="center"/>
              <w:rPr>
                <w:snapToGrid w:val="0"/>
                <w:kern w:val="21"/>
                <w:szCs w:val="21"/>
              </w:rPr>
            </w:pPr>
            <w:r>
              <w:rPr>
                <w:szCs w:val="21"/>
              </w:rPr>
              <w:t>31.6</w:t>
            </w:r>
          </w:p>
        </w:tc>
        <w:tc>
          <w:tcPr>
            <w:tcW w:w="457" w:type="pct"/>
            <w:vAlign w:val="center"/>
          </w:tcPr>
          <w:p>
            <w:pPr>
              <w:adjustRightInd w:val="0"/>
              <w:snapToGrid w:val="0"/>
              <w:jc w:val="center"/>
              <w:rPr>
                <w:snapToGrid w:val="0"/>
                <w:kern w:val="21"/>
                <w:szCs w:val="21"/>
              </w:rPr>
            </w:pP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2" w:type="pct"/>
            <w:vMerge w:val="continue"/>
            <w:vAlign w:val="center"/>
          </w:tcPr>
          <w:p>
            <w:pPr>
              <w:pStyle w:val="38"/>
              <w:spacing w:beforeLines="0" w:afterLines="0" w:line="240" w:lineRule="auto"/>
              <w:rPr>
                <w:rFonts w:ascii="Times New Roman"/>
                <w:snapToGrid w:val="0"/>
                <w:kern w:val="21"/>
                <w:szCs w:val="21"/>
              </w:rPr>
            </w:pPr>
          </w:p>
        </w:tc>
        <w:tc>
          <w:tcPr>
            <w:tcW w:w="679" w:type="pct"/>
            <w:vAlign w:val="center"/>
          </w:tcPr>
          <w:p>
            <w:pPr>
              <w:adjustRightInd w:val="0"/>
              <w:snapToGrid w:val="0"/>
              <w:jc w:val="center"/>
              <w:rPr>
                <w:szCs w:val="21"/>
              </w:rPr>
            </w:pPr>
            <w:r>
              <w:rPr>
                <w:szCs w:val="21"/>
              </w:rPr>
              <w:t>废导热油</w:t>
            </w:r>
          </w:p>
        </w:tc>
        <w:tc>
          <w:tcPr>
            <w:tcW w:w="608" w:type="pct"/>
            <w:vAlign w:val="center"/>
          </w:tcPr>
          <w:p>
            <w:pPr>
              <w:adjustRightInd w:val="0"/>
              <w:snapToGrid w:val="0"/>
              <w:jc w:val="center"/>
              <w:rPr>
                <w:szCs w:val="21"/>
              </w:rPr>
            </w:pPr>
            <w:r>
              <w:rPr>
                <w:szCs w:val="21"/>
              </w:rPr>
              <w:t>0</w:t>
            </w:r>
          </w:p>
        </w:tc>
        <w:tc>
          <w:tcPr>
            <w:tcW w:w="679" w:type="pct"/>
            <w:vAlign w:val="center"/>
          </w:tcPr>
          <w:p>
            <w:pPr>
              <w:pStyle w:val="38"/>
              <w:spacing w:beforeLines="0" w:afterLines="0" w:line="240" w:lineRule="auto"/>
              <w:rPr>
                <w:rFonts w:ascii="Times New Roman"/>
                <w:snapToGrid w:val="0"/>
                <w:kern w:val="21"/>
                <w:szCs w:val="21"/>
              </w:rPr>
            </w:pPr>
            <w:r>
              <w:rPr>
                <w:rFonts w:ascii="Times New Roman"/>
                <w:snapToGrid w:val="0"/>
                <w:kern w:val="21"/>
                <w:szCs w:val="21"/>
              </w:rPr>
              <w:t>0</w:t>
            </w:r>
          </w:p>
        </w:tc>
        <w:tc>
          <w:tcPr>
            <w:tcW w:w="623" w:type="pct"/>
            <w:vAlign w:val="center"/>
          </w:tcPr>
          <w:p>
            <w:pPr>
              <w:pStyle w:val="38"/>
              <w:spacing w:beforeLines="0" w:afterLines="0" w:line="240" w:lineRule="auto"/>
              <w:rPr>
                <w:rFonts w:ascii="Times New Roman"/>
                <w:snapToGrid w:val="0"/>
                <w:kern w:val="21"/>
                <w:szCs w:val="21"/>
              </w:rPr>
            </w:pPr>
            <w:r>
              <w:rPr>
                <w:rFonts w:ascii="Times New Roman"/>
                <w:snapToGrid w:val="0"/>
                <w:kern w:val="21"/>
                <w:szCs w:val="21"/>
              </w:rPr>
              <w:t>10</w:t>
            </w:r>
          </w:p>
        </w:tc>
        <w:tc>
          <w:tcPr>
            <w:tcW w:w="703" w:type="pct"/>
            <w:vAlign w:val="center"/>
          </w:tcPr>
          <w:p>
            <w:pPr>
              <w:pStyle w:val="38"/>
              <w:spacing w:beforeLines="0" w:afterLines="0" w:line="240" w:lineRule="auto"/>
              <w:rPr>
                <w:rFonts w:ascii="Times New Roman"/>
                <w:snapToGrid w:val="0"/>
                <w:kern w:val="21"/>
                <w:szCs w:val="21"/>
              </w:rPr>
            </w:pPr>
            <w:r>
              <w:rPr>
                <w:rFonts w:ascii="Times New Roman"/>
                <w:snapToGrid w:val="0"/>
                <w:kern w:val="21"/>
                <w:szCs w:val="21"/>
              </w:rPr>
              <w:t>0</w:t>
            </w:r>
          </w:p>
        </w:tc>
        <w:tc>
          <w:tcPr>
            <w:tcW w:w="655" w:type="pct"/>
            <w:vAlign w:val="center"/>
          </w:tcPr>
          <w:p>
            <w:pPr>
              <w:adjustRightInd w:val="0"/>
              <w:snapToGrid w:val="0"/>
              <w:jc w:val="center"/>
              <w:rPr>
                <w:szCs w:val="21"/>
              </w:rPr>
            </w:pPr>
            <w:r>
              <w:rPr>
                <w:szCs w:val="21"/>
              </w:rPr>
              <w:t>10</w:t>
            </w:r>
          </w:p>
        </w:tc>
        <w:tc>
          <w:tcPr>
            <w:tcW w:w="457" w:type="pct"/>
            <w:vAlign w:val="center"/>
          </w:tcPr>
          <w:p>
            <w:pPr>
              <w:adjustRightInd w:val="0"/>
              <w:snapToGrid w:val="0"/>
              <w:jc w:val="center"/>
              <w:rPr>
                <w:szCs w:val="21"/>
              </w:rPr>
            </w:pPr>
            <w:r>
              <w:rPr>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2" w:type="pct"/>
            <w:vMerge w:val="continue"/>
            <w:vAlign w:val="center"/>
          </w:tcPr>
          <w:p>
            <w:pPr>
              <w:pStyle w:val="38"/>
              <w:spacing w:beforeLines="0" w:afterLines="0" w:line="240" w:lineRule="auto"/>
              <w:rPr>
                <w:rFonts w:ascii="Times New Roman"/>
                <w:snapToGrid w:val="0"/>
                <w:kern w:val="21"/>
                <w:szCs w:val="21"/>
              </w:rPr>
            </w:pPr>
          </w:p>
        </w:tc>
        <w:tc>
          <w:tcPr>
            <w:tcW w:w="679" w:type="pct"/>
            <w:vAlign w:val="center"/>
          </w:tcPr>
          <w:p>
            <w:pPr>
              <w:adjustRightInd w:val="0"/>
              <w:snapToGrid w:val="0"/>
              <w:jc w:val="center"/>
              <w:rPr>
                <w:szCs w:val="21"/>
              </w:rPr>
            </w:pPr>
            <w:r>
              <w:rPr>
                <w:szCs w:val="21"/>
              </w:rPr>
              <w:t>废包装桶</w:t>
            </w:r>
          </w:p>
        </w:tc>
        <w:tc>
          <w:tcPr>
            <w:tcW w:w="608" w:type="pct"/>
            <w:vAlign w:val="center"/>
          </w:tcPr>
          <w:p>
            <w:pPr>
              <w:adjustRightInd w:val="0"/>
              <w:snapToGrid w:val="0"/>
              <w:jc w:val="center"/>
              <w:rPr>
                <w:szCs w:val="21"/>
              </w:rPr>
            </w:pPr>
            <w:r>
              <w:rPr>
                <w:szCs w:val="21"/>
              </w:rPr>
              <w:t>0</w:t>
            </w:r>
          </w:p>
        </w:tc>
        <w:tc>
          <w:tcPr>
            <w:tcW w:w="679" w:type="pct"/>
            <w:vAlign w:val="center"/>
          </w:tcPr>
          <w:p>
            <w:pPr>
              <w:pStyle w:val="38"/>
              <w:spacing w:beforeLines="0" w:afterLines="0" w:line="240" w:lineRule="auto"/>
              <w:rPr>
                <w:rFonts w:ascii="Times New Roman"/>
                <w:snapToGrid w:val="0"/>
                <w:kern w:val="21"/>
                <w:szCs w:val="21"/>
              </w:rPr>
            </w:pPr>
            <w:r>
              <w:rPr>
                <w:rFonts w:ascii="Times New Roman"/>
                <w:snapToGrid w:val="0"/>
                <w:kern w:val="21"/>
                <w:szCs w:val="21"/>
              </w:rPr>
              <w:t>0</w:t>
            </w:r>
          </w:p>
        </w:tc>
        <w:tc>
          <w:tcPr>
            <w:tcW w:w="623" w:type="pct"/>
            <w:vAlign w:val="center"/>
          </w:tcPr>
          <w:p>
            <w:pPr>
              <w:pStyle w:val="38"/>
              <w:spacing w:beforeLines="0" w:afterLines="0" w:line="240" w:lineRule="auto"/>
              <w:rPr>
                <w:rFonts w:ascii="Times New Roman"/>
                <w:snapToGrid w:val="0"/>
                <w:kern w:val="21"/>
                <w:szCs w:val="21"/>
              </w:rPr>
            </w:pPr>
            <w:r>
              <w:rPr>
                <w:rFonts w:ascii="Times New Roman"/>
                <w:snapToGrid w:val="0"/>
                <w:kern w:val="21"/>
                <w:szCs w:val="21"/>
              </w:rPr>
              <w:t>3</w:t>
            </w:r>
          </w:p>
        </w:tc>
        <w:tc>
          <w:tcPr>
            <w:tcW w:w="703" w:type="pct"/>
            <w:vAlign w:val="center"/>
          </w:tcPr>
          <w:p>
            <w:pPr>
              <w:pStyle w:val="38"/>
              <w:spacing w:beforeLines="0" w:afterLines="0" w:line="240" w:lineRule="auto"/>
              <w:rPr>
                <w:rFonts w:ascii="Times New Roman"/>
                <w:snapToGrid w:val="0"/>
                <w:kern w:val="21"/>
                <w:szCs w:val="21"/>
              </w:rPr>
            </w:pPr>
            <w:r>
              <w:rPr>
                <w:rFonts w:ascii="Times New Roman"/>
                <w:snapToGrid w:val="0"/>
                <w:kern w:val="21"/>
                <w:szCs w:val="21"/>
              </w:rPr>
              <w:t>0</w:t>
            </w:r>
          </w:p>
        </w:tc>
        <w:tc>
          <w:tcPr>
            <w:tcW w:w="655" w:type="pct"/>
            <w:vAlign w:val="center"/>
          </w:tcPr>
          <w:p>
            <w:pPr>
              <w:adjustRightInd w:val="0"/>
              <w:snapToGrid w:val="0"/>
              <w:jc w:val="center"/>
              <w:rPr>
                <w:szCs w:val="21"/>
              </w:rPr>
            </w:pPr>
            <w:r>
              <w:rPr>
                <w:szCs w:val="21"/>
              </w:rPr>
              <w:t>3</w:t>
            </w:r>
          </w:p>
        </w:tc>
        <w:tc>
          <w:tcPr>
            <w:tcW w:w="457" w:type="pct"/>
            <w:vAlign w:val="center"/>
          </w:tcPr>
          <w:p>
            <w:pPr>
              <w:adjustRightInd w:val="0"/>
              <w:snapToGrid w:val="0"/>
              <w:jc w:val="center"/>
              <w:rPr>
                <w:szCs w:val="21"/>
              </w:rPr>
            </w:pPr>
            <w:r>
              <w:rPr>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pct"/>
            <w:gridSpan w:val="2"/>
            <w:vAlign w:val="center"/>
          </w:tcPr>
          <w:p>
            <w:pPr>
              <w:adjustRightInd w:val="0"/>
              <w:snapToGrid w:val="0"/>
              <w:jc w:val="center"/>
              <w:rPr>
                <w:szCs w:val="21"/>
              </w:rPr>
            </w:pPr>
            <w:r>
              <w:rPr>
                <w:snapToGrid w:val="0"/>
                <w:kern w:val="21"/>
                <w:szCs w:val="21"/>
              </w:rPr>
              <w:t>生活垃圾</w:t>
            </w:r>
          </w:p>
        </w:tc>
        <w:tc>
          <w:tcPr>
            <w:tcW w:w="608" w:type="pct"/>
            <w:vAlign w:val="center"/>
          </w:tcPr>
          <w:p>
            <w:pPr>
              <w:adjustRightInd w:val="0"/>
              <w:snapToGrid w:val="0"/>
              <w:jc w:val="center"/>
              <w:rPr>
                <w:snapToGrid w:val="0"/>
                <w:kern w:val="21"/>
                <w:szCs w:val="21"/>
              </w:rPr>
            </w:pPr>
            <w:r>
              <w:rPr>
                <w:szCs w:val="21"/>
              </w:rPr>
              <w:t>115</w:t>
            </w:r>
          </w:p>
        </w:tc>
        <w:tc>
          <w:tcPr>
            <w:tcW w:w="679" w:type="pct"/>
            <w:vAlign w:val="center"/>
          </w:tcPr>
          <w:p>
            <w:pPr>
              <w:pStyle w:val="38"/>
              <w:spacing w:beforeLines="0" w:afterLines="0" w:line="240" w:lineRule="auto"/>
              <w:rPr>
                <w:rFonts w:ascii="Times New Roman"/>
                <w:snapToGrid w:val="0"/>
                <w:kern w:val="21"/>
                <w:szCs w:val="21"/>
              </w:rPr>
            </w:pPr>
            <w:r>
              <w:rPr>
                <w:rFonts w:ascii="Times New Roman"/>
                <w:snapToGrid w:val="0"/>
                <w:kern w:val="21"/>
                <w:szCs w:val="21"/>
              </w:rPr>
              <w:t>0</w:t>
            </w:r>
          </w:p>
        </w:tc>
        <w:tc>
          <w:tcPr>
            <w:tcW w:w="623" w:type="pct"/>
            <w:vAlign w:val="center"/>
          </w:tcPr>
          <w:p>
            <w:pPr>
              <w:pStyle w:val="38"/>
              <w:spacing w:beforeLines="0" w:afterLines="0" w:line="240" w:lineRule="auto"/>
              <w:rPr>
                <w:rFonts w:ascii="Times New Roman"/>
                <w:snapToGrid w:val="0"/>
                <w:kern w:val="21"/>
                <w:szCs w:val="21"/>
              </w:rPr>
            </w:pPr>
            <w:r>
              <w:rPr>
                <w:rFonts w:ascii="Times New Roman"/>
                <w:snapToGrid w:val="0"/>
                <w:kern w:val="21"/>
                <w:szCs w:val="21"/>
              </w:rPr>
              <w:t>0</w:t>
            </w:r>
          </w:p>
        </w:tc>
        <w:tc>
          <w:tcPr>
            <w:tcW w:w="703" w:type="pct"/>
            <w:vAlign w:val="center"/>
          </w:tcPr>
          <w:p>
            <w:pPr>
              <w:pStyle w:val="38"/>
              <w:spacing w:beforeLines="0" w:afterLines="0" w:line="240" w:lineRule="auto"/>
              <w:rPr>
                <w:rFonts w:ascii="Times New Roman"/>
                <w:snapToGrid w:val="0"/>
                <w:kern w:val="21"/>
                <w:szCs w:val="21"/>
              </w:rPr>
            </w:pPr>
            <w:r>
              <w:rPr>
                <w:rFonts w:ascii="Times New Roman"/>
                <w:snapToGrid w:val="0"/>
                <w:kern w:val="21"/>
                <w:szCs w:val="21"/>
              </w:rPr>
              <w:t>0</w:t>
            </w:r>
          </w:p>
        </w:tc>
        <w:tc>
          <w:tcPr>
            <w:tcW w:w="655" w:type="pct"/>
            <w:vAlign w:val="center"/>
          </w:tcPr>
          <w:p>
            <w:pPr>
              <w:adjustRightInd w:val="0"/>
              <w:snapToGrid w:val="0"/>
              <w:jc w:val="center"/>
              <w:rPr>
                <w:snapToGrid w:val="0"/>
                <w:kern w:val="21"/>
                <w:szCs w:val="21"/>
              </w:rPr>
            </w:pPr>
            <w:r>
              <w:rPr>
                <w:szCs w:val="21"/>
              </w:rPr>
              <w:t>115</w:t>
            </w:r>
          </w:p>
        </w:tc>
        <w:tc>
          <w:tcPr>
            <w:tcW w:w="457" w:type="pct"/>
            <w:vAlign w:val="center"/>
          </w:tcPr>
          <w:p>
            <w:pPr>
              <w:adjustRightInd w:val="0"/>
              <w:snapToGrid w:val="0"/>
              <w:jc w:val="center"/>
              <w:rPr>
                <w:snapToGrid w:val="0"/>
                <w:kern w:val="21"/>
                <w:szCs w:val="21"/>
              </w:rPr>
            </w:pPr>
            <w:r>
              <w:rPr>
                <w:szCs w:val="21"/>
              </w:rPr>
              <w:t>0</w:t>
            </w:r>
          </w:p>
        </w:tc>
      </w:tr>
    </w:tbl>
    <w:p>
      <w:pPr>
        <w:pStyle w:val="38"/>
        <w:spacing w:beforeLines="80" w:after="24"/>
        <w:jc w:val="left"/>
        <w:rPr>
          <w:rFonts w:ascii="Times New Roman"/>
        </w:rPr>
        <w:sectPr>
          <w:footerReference r:id="rId7" w:type="default"/>
          <w:pgSz w:w="16838" w:h="11906" w:orient="landscape"/>
          <w:pgMar w:top="1701" w:right="1531" w:bottom="1701" w:left="1531" w:header="851" w:footer="851" w:gutter="0"/>
          <w:cols w:space="720" w:num="1"/>
          <w:docGrid w:linePitch="312" w:charSpace="0"/>
        </w:sectPr>
      </w:pPr>
      <w:r>
        <w:rPr>
          <w:rFonts w:ascii="Times New Roman"/>
          <w:snapToGrid w:val="0"/>
          <w:kern w:val="21"/>
          <w:szCs w:val="21"/>
        </w:rPr>
        <w:t>注：</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ascii="Times New Roman"/>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hint="eastAsia" w:ascii="Times New Roman"/>
          <w:snapToGrid w:val="0"/>
          <w:spacing w:val="-16"/>
          <w:kern w:val="21"/>
          <w:szCs w:val="21"/>
          <w:lang w:val="en-US" w:eastAsia="zh-CN"/>
        </w:rPr>
        <w:t>①</w:t>
      </w:r>
      <w:r>
        <w:rPr>
          <w:rFonts w:ascii="Times New Roman"/>
          <w:snapToGrid w:val="0"/>
          <w:spacing w:val="-6"/>
          <w:kern w:val="21"/>
          <w:szCs w:val="21"/>
        </w:rPr>
        <w:t>+</w:t>
      </w:r>
      <w:r>
        <w:rPr>
          <w:rFonts w:hint="eastAsia" w:ascii="Times New Roman"/>
          <w:snapToGrid w:val="0"/>
          <w:spacing w:val="-6"/>
          <w:kern w:val="21"/>
          <w:szCs w:val="21"/>
          <w:lang w:val="en-US" w:eastAsia="zh-CN"/>
        </w:rPr>
        <w:t>②</w:t>
      </w:r>
      <w:r>
        <w:rPr>
          <w:rFonts w:ascii="Times New Roman"/>
          <w:snapToGrid w:val="0"/>
          <w:spacing w:val="-6"/>
          <w:kern w:val="21"/>
          <w:szCs w:val="21"/>
        </w:rPr>
        <w:t>+</w:t>
      </w:r>
      <w:r>
        <w:rPr>
          <w:rFonts w:hint="eastAsia" w:ascii="Times New Roman"/>
          <w:snapToGrid w:val="0"/>
          <w:spacing w:val="-6"/>
          <w:kern w:val="21"/>
          <w:szCs w:val="21"/>
          <w:lang w:val="en-US" w:eastAsia="zh-CN"/>
        </w:rPr>
        <w:t>③</w:t>
      </w:r>
      <w:r>
        <w:rPr>
          <w:rFonts w:ascii="Times New Roman"/>
          <w:snapToGrid w:val="0"/>
          <w:spacing w:val="-6"/>
          <w:kern w:val="21"/>
          <w:szCs w:val="21"/>
        </w:rPr>
        <w:t>-</w:t>
      </w:r>
      <w:r>
        <w:rPr>
          <w:rFonts w:hint="eastAsia" w:ascii="Times New Roman"/>
          <w:snapToGrid w:val="0"/>
          <w:spacing w:val="-16"/>
          <w:kern w:val="21"/>
          <w:szCs w:val="21"/>
          <w:lang w:val="en-US" w:eastAsia="zh-CN"/>
        </w:rPr>
        <w:t>④</w:t>
      </w:r>
      <w:r>
        <w:rPr>
          <w:rFonts w:ascii="Times New Roman"/>
          <w:snapToGrid w:val="0"/>
          <w:spacing w:val="-16"/>
          <w:kern w:val="21"/>
          <w:szCs w:val="21"/>
        </w:rPr>
        <w:t>；</w:t>
      </w:r>
      <w:r>
        <w:rPr>
          <w:rFonts w:hint="eastAsia" w:ascii="Times New Roman"/>
          <w:snapToGrid w:val="0"/>
          <w:spacing w:val="-6"/>
          <w:kern w:val="21"/>
          <w:szCs w:val="21"/>
          <w:lang w:val="en-US" w:eastAsia="zh-CN"/>
        </w:rPr>
        <w:t>⑥</w:t>
      </w:r>
      <w:r>
        <w:rPr>
          <w:rFonts w:ascii="Times New Roman"/>
          <w:snapToGrid w:val="0"/>
          <w:spacing w:val="-6"/>
          <w:kern w:val="21"/>
          <w:szCs w:val="21"/>
        </w:rPr>
        <w:t>=</w:t>
      </w:r>
      <w:r>
        <w:rPr>
          <w:rFonts w:hint="eastAsia" w:ascii="Times New Roman"/>
          <w:snapToGrid w:val="0"/>
          <w:spacing w:val="-6"/>
          <w:kern w:val="21"/>
          <w:szCs w:val="21"/>
          <w:lang w:val="en-US" w:eastAsia="zh-CN"/>
        </w:rPr>
        <w:t>⑤-</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ascii="Times New Roman"/>
          <w:szCs w:val="21"/>
        </w:rPr>
        <w:t>①</w:t>
      </w:r>
      <w:r>
        <w:rPr>
          <w:rFonts w:ascii="Times New Roman"/>
          <w:snapToGrid w:val="0"/>
          <w:spacing w:val="-6"/>
          <w:kern w:val="21"/>
          <w:szCs w:val="21"/>
        </w:rPr>
        <w:fldChar w:fldCharType="end"/>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0" w:type="dxa"/>
          </w:tcPr>
          <w:p>
            <w:pPr>
              <w:adjustRightInd w:val="0"/>
              <w:snapToGrid w:val="0"/>
              <w:spacing w:line="480" w:lineRule="exact"/>
              <w:jc w:val="center"/>
              <w:rPr>
                <w:sz w:val="24"/>
              </w:rPr>
            </w:pPr>
            <w:r>
              <w:br w:type="page"/>
            </w:r>
            <w:r>
              <w:rPr>
                <w:sz w:val="24"/>
              </w:rPr>
              <w:t>注      释</w:t>
            </w:r>
          </w:p>
          <w:p>
            <w:pPr>
              <w:adjustRightInd w:val="0"/>
              <w:snapToGrid w:val="0"/>
              <w:spacing w:line="312" w:lineRule="auto"/>
              <w:ind w:firstLine="480" w:firstLineChars="200"/>
              <w:rPr>
                <w:sz w:val="24"/>
              </w:rPr>
            </w:pPr>
            <w:r>
              <w:rPr>
                <w:sz w:val="24"/>
              </w:rPr>
              <w:t>本报告表附以下附件、附图：</w:t>
            </w:r>
          </w:p>
          <w:p>
            <w:pPr>
              <w:adjustRightInd w:val="0"/>
              <w:snapToGrid w:val="0"/>
              <w:spacing w:line="312" w:lineRule="auto"/>
              <w:ind w:firstLine="482" w:firstLineChars="200"/>
              <w:rPr>
                <w:b/>
                <w:bCs/>
                <w:sz w:val="24"/>
              </w:rPr>
            </w:pPr>
            <w:r>
              <w:rPr>
                <w:b/>
                <w:bCs/>
                <w:sz w:val="24"/>
              </w:rPr>
              <w:t>附图</w:t>
            </w:r>
          </w:p>
          <w:p>
            <w:pPr>
              <w:adjustRightInd w:val="0"/>
              <w:snapToGrid w:val="0"/>
              <w:spacing w:line="312" w:lineRule="auto"/>
              <w:ind w:firstLine="480" w:firstLineChars="200"/>
              <w:rPr>
                <w:sz w:val="24"/>
              </w:rPr>
            </w:pPr>
            <w:r>
              <w:rPr>
                <w:sz w:val="24"/>
              </w:rPr>
              <w:t>附图1  项目地理位置示意图</w:t>
            </w:r>
          </w:p>
          <w:p>
            <w:pPr>
              <w:adjustRightInd w:val="0"/>
              <w:snapToGrid w:val="0"/>
              <w:spacing w:line="312" w:lineRule="auto"/>
              <w:ind w:firstLine="480" w:firstLineChars="200"/>
              <w:rPr>
                <w:sz w:val="24"/>
              </w:rPr>
            </w:pPr>
            <w:r>
              <w:rPr>
                <w:sz w:val="24"/>
              </w:rPr>
              <w:t>附图2  项目周边环境状况示意图</w:t>
            </w:r>
          </w:p>
          <w:p>
            <w:pPr>
              <w:adjustRightInd w:val="0"/>
              <w:snapToGrid w:val="0"/>
              <w:spacing w:line="312" w:lineRule="auto"/>
              <w:ind w:firstLine="480" w:firstLineChars="200"/>
              <w:rPr>
                <w:sz w:val="24"/>
              </w:rPr>
            </w:pPr>
            <w:r>
              <w:rPr>
                <w:sz w:val="24"/>
              </w:rPr>
              <w:t>附图3</w:t>
            </w:r>
            <w:r>
              <w:rPr>
                <w:rFonts w:hint="eastAsia"/>
                <w:sz w:val="24"/>
                <w:lang w:val="en-US" w:eastAsia="zh-CN"/>
              </w:rPr>
              <w:t xml:space="preserve">  </w:t>
            </w:r>
            <w:r>
              <w:rPr>
                <w:rFonts w:hint="eastAsia"/>
                <w:sz w:val="24"/>
              </w:rPr>
              <w:t>厂区总平面布置图</w:t>
            </w:r>
          </w:p>
          <w:p>
            <w:pPr>
              <w:adjustRightInd w:val="0"/>
              <w:snapToGrid w:val="0"/>
              <w:spacing w:line="312" w:lineRule="auto"/>
              <w:ind w:firstLine="480" w:firstLineChars="200"/>
              <w:rPr>
                <w:sz w:val="24"/>
                <w:szCs w:val="22"/>
              </w:rPr>
            </w:pPr>
            <w:r>
              <w:rPr>
                <w:sz w:val="24"/>
                <w:szCs w:val="22"/>
              </w:rPr>
              <w:t>附图4  水系图</w:t>
            </w:r>
          </w:p>
          <w:p>
            <w:pPr>
              <w:adjustRightInd w:val="0"/>
              <w:snapToGrid w:val="0"/>
              <w:spacing w:line="312" w:lineRule="auto"/>
              <w:ind w:firstLine="480" w:firstLineChars="200"/>
              <w:rPr>
                <w:sz w:val="24"/>
                <w:szCs w:val="22"/>
              </w:rPr>
            </w:pPr>
            <w:r>
              <w:rPr>
                <w:sz w:val="24"/>
                <w:szCs w:val="22"/>
              </w:rPr>
              <w:t>附图5  生态红线区域规划图</w:t>
            </w:r>
          </w:p>
          <w:p>
            <w:pPr>
              <w:adjustRightInd w:val="0"/>
              <w:snapToGrid w:val="0"/>
              <w:spacing w:line="312" w:lineRule="auto"/>
              <w:ind w:firstLine="480" w:firstLineChars="200"/>
              <w:rPr>
                <w:sz w:val="24"/>
                <w:szCs w:val="22"/>
              </w:rPr>
            </w:pPr>
            <w:r>
              <w:rPr>
                <w:sz w:val="24"/>
                <w:szCs w:val="22"/>
              </w:rPr>
              <w:t>附图6  礼嘉镇规划图</w:t>
            </w:r>
          </w:p>
          <w:p>
            <w:pPr>
              <w:adjustRightInd w:val="0"/>
              <w:snapToGrid w:val="0"/>
              <w:spacing w:line="312" w:lineRule="auto"/>
              <w:ind w:firstLine="482" w:firstLineChars="200"/>
              <w:rPr>
                <w:b/>
                <w:bCs/>
                <w:sz w:val="24"/>
              </w:rPr>
            </w:pPr>
          </w:p>
          <w:p>
            <w:pPr>
              <w:adjustRightInd w:val="0"/>
              <w:snapToGrid w:val="0"/>
              <w:spacing w:line="312" w:lineRule="auto"/>
              <w:ind w:firstLine="482" w:firstLineChars="200"/>
              <w:rPr>
                <w:b/>
                <w:bCs/>
                <w:sz w:val="24"/>
              </w:rPr>
            </w:pPr>
            <w:r>
              <w:rPr>
                <w:b/>
                <w:bCs/>
                <w:sz w:val="24"/>
              </w:rPr>
              <w:t>附件</w:t>
            </w:r>
          </w:p>
          <w:p>
            <w:pPr>
              <w:adjustRightInd w:val="0"/>
              <w:snapToGrid w:val="0"/>
              <w:spacing w:line="312" w:lineRule="auto"/>
              <w:ind w:firstLine="480" w:firstLineChars="200"/>
              <w:rPr>
                <w:sz w:val="24"/>
                <w:szCs w:val="22"/>
              </w:rPr>
            </w:pPr>
            <w:r>
              <w:rPr>
                <w:sz w:val="24"/>
                <w:szCs w:val="22"/>
              </w:rPr>
              <w:t>附件1    常州市环保督查问题现场核查及反馈情况表</w:t>
            </w:r>
          </w:p>
          <w:p>
            <w:pPr>
              <w:adjustRightInd w:val="0"/>
              <w:snapToGrid w:val="0"/>
              <w:spacing w:line="312" w:lineRule="auto"/>
              <w:ind w:firstLine="480" w:firstLineChars="200"/>
              <w:rPr>
                <w:sz w:val="24"/>
                <w:szCs w:val="22"/>
              </w:rPr>
            </w:pPr>
            <w:r>
              <w:rPr>
                <w:sz w:val="24"/>
                <w:szCs w:val="22"/>
              </w:rPr>
              <w:t>附件2    环评委托书</w:t>
            </w:r>
          </w:p>
          <w:p>
            <w:pPr>
              <w:adjustRightInd w:val="0"/>
              <w:snapToGrid w:val="0"/>
              <w:spacing w:line="312" w:lineRule="auto"/>
              <w:ind w:firstLine="480" w:firstLineChars="200"/>
              <w:rPr>
                <w:rFonts w:hint="eastAsia" w:eastAsia="宋体"/>
                <w:sz w:val="24"/>
                <w:szCs w:val="22"/>
                <w:lang w:val="en-US" w:eastAsia="zh-CN"/>
              </w:rPr>
            </w:pPr>
            <w:r>
              <w:rPr>
                <w:sz w:val="24"/>
                <w:szCs w:val="22"/>
              </w:rPr>
              <w:t>附件3    备案</w:t>
            </w:r>
            <w:r>
              <w:rPr>
                <w:rFonts w:hint="eastAsia"/>
                <w:sz w:val="24"/>
                <w:szCs w:val="22"/>
                <w:lang w:val="en-US" w:eastAsia="zh-CN"/>
              </w:rPr>
              <w:t>证</w:t>
            </w:r>
          </w:p>
          <w:p>
            <w:pPr>
              <w:adjustRightInd w:val="0"/>
              <w:snapToGrid w:val="0"/>
              <w:spacing w:line="312" w:lineRule="auto"/>
              <w:ind w:firstLine="480" w:firstLineChars="200"/>
              <w:rPr>
                <w:sz w:val="24"/>
                <w:szCs w:val="22"/>
              </w:rPr>
            </w:pPr>
            <w:r>
              <w:rPr>
                <w:sz w:val="24"/>
                <w:szCs w:val="22"/>
              </w:rPr>
              <w:t>附件4    建设项目环境影响申报（登记）表</w:t>
            </w:r>
          </w:p>
          <w:p>
            <w:pPr>
              <w:adjustRightInd w:val="0"/>
              <w:snapToGrid w:val="0"/>
              <w:spacing w:line="312" w:lineRule="auto"/>
              <w:ind w:firstLine="480" w:firstLineChars="200"/>
              <w:rPr>
                <w:sz w:val="24"/>
                <w:szCs w:val="22"/>
              </w:rPr>
            </w:pPr>
            <w:r>
              <w:rPr>
                <w:sz w:val="24"/>
                <w:szCs w:val="22"/>
              </w:rPr>
              <w:t>附件</w:t>
            </w:r>
            <w:r>
              <w:rPr>
                <w:rFonts w:hint="eastAsia"/>
                <w:sz w:val="24"/>
                <w:szCs w:val="22"/>
                <w:lang w:val="en-US" w:eastAsia="zh-CN"/>
              </w:rPr>
              <w:t>5</w:t>
            </w:r>
            <w:r>
              <w:rPr>
                <w:sz w:val="24"/>
                <w:szCs w:val="22"/>
              </w:rPr>
              <w:t xml:space="preserve">    营业执照</w:t>
            </w:r>
          </w:p>
          <w:p>
            <w:pPr>
              <w:adjustRightInd w:val="0"/>
              <w:snapToGrid w:val="0"/>
              <w:spacing w:line="312" w:lineRule="auto"/>
              <w:ind w:firstLine="480" w:firstLineChars="200"/>
              <w:rPr>
                <w:sz w:val="24"/>
                <w:szCs w:val="22"/>
              </w:rPr>
            </w:pPr>
            <w:r>
              <w:rPr>
                <w:sz w:val="24"/>
                <w:szCs w:val="22"/>
              </w:rPr>
              <w:t>附件</w:t>
            </w:r>
            <w:r>
              <w:rPr>
                <w:rFonts w:hint="eastAsia"/>
                <w:sz w:val="24"/>
                <w:szCs w:val="22"/>
                <w:lang w:val="en-US" w:eastAsia="zh-CN"/>
              </w:rPr>
              <w:t>6</w:t>
            </w:r>
            <w:r>
              <w:rPr>
                <w:sz w:val="24"/>
                <w:szCs w:val="22"/>
              </w:rPr>
              <w:t xml:space="preserve">    排污许可证</w:t>
            </w:r>
          </w:p>
          <w:p>
            <w:pPr>
              <w:adjustRightInd w:val="0"/>
              <w:snapToGrid w:val="0"/>
              <w:spacing w:line="312" w:lineRule="auto"/>
              <w:ind w:firstLine="480" w:firstLineChars="200"/>
              <w:rPr>
                <w:rFonts w:hint="default"/>
                <w:sz w:val="24"/>
                <w:szCs w:val="22"/>
                <w:lang w:val="en-US"/>
              </w:rPr>
            </w:pPr>
            <w:r>
              <w:rPr>
                <w:sz w:val="24"/>
                <w:szCs w:val="22"/>
              </w:rPr>
              <w:t>附件7    土地情况说明、</w:t>
            </w:r>
            <w:r>
              <w:rPr>
                <w:rFonts w:hint="eastAsia"/>
                <w:sz w:val="24"/>
                <w:szCs w:val="22"/>
                <w:lang w:val="en-US" w:eastAsia="zh-CN"/>
              </w:rPr>
              <w:t>租赁合同、房东营业执照</w:t>
            </w:r>
          </w:p>
          <w:p>
            <w:pPr>
              <w:adjustRightInd w:val="0"/>
              <w:snapToGrid w:val="0"/>
              <w:spacing w:line="312" w:lineRule="auto"/>
              <w:ind w:firstLine="480" w:firstLineChars="200"/>
              <w:rPr>
                <w:rFonts w:hint="eastAsia" w:eastAsia="宋体"/>
                <w:sz w:val="24"/>
                <w:szCs w:val="22"/>
                <w:lang w:eastAsia="zh-CN"/>
              </w:rPr>
            </w:pPr>
            <w:r>
              <w:rPr>
                <w:sz w:val="24"/>
                <w:szCs w:val="22"/>
              </w:rPr>
              <w:t>附件</w:t>
            </w:r>
            <w:r>
              <w:rPr>
                <w:rFonts w:hint="eastAsia"/>
                <w:sz w:val="24"/>
                <w:szCs w:val="22"/>
                <w:lang w:val="en-US" w:eastAsia="zh-CN"/>
              </w:rPr>
              <w:t xml:space="preserve">8 </w:t>
            </w:r>
            <w:r>
              <w:rPr>
                <w:sz w:val="24"/>
                <w:szCs w:val="22"/>
              </w:rPr>
              <w:t xml:space="preserve">   </w:t>
            </w:r>
            <w:r>
              <w:rPr>
                <w:rFonts w:hint="eastAsia"/>
                <w:sz w:val="24"/>
                <w:szCs w:val="22"/>
                <w:lang w:val="en-US" w:eastAsia="zh-CN"/>
              </w:rPr>
              <w:t>排水许可证</w:t>
            </w:r>
          </w:p>
          <w:p>
            <w:pPr>
              <w:adjustRightInd w:val="0"/>
              <w:snapToGrid w:val="0"/>
              <w:spacing w:line="312" w:lineRule="auto"/>
              <w:ind w:firstLine="480" w:firstLineChars="200"/>
              <w:rPr>
                <w:sz w:val="24"/>
                <w:szCs w:val="22"/>
              </w:rPr>
            </w:pPr>
            <w:r>
              <w:rPr>
                <w:sz w:val="24"/>
                <w:szCs w:val="22"/>
              </w:rPr>
              <w:t>附件</w:t>
            </w:r>
            <w:r>
              <w:rPr>
                <w:rFonts w:hint="eastAsia"/>
                <w:sz w:val="24"/>
                <w:szCs w:val="22"/>
                <w:lang w:val="en-US" w:eastAsia="zh-CN"/>
              </w:rPr>
              <w:t>9</w:t>
            </w:r>
            <w:r>
              <w:rPr>
                <w:sz w:val="24"/>
                <w:szCs w:val="22"/>
              </w:rPr>
              <w:t xml:space="preserve">    现状监测报告</w:t>
            </w:r>
          </w:p>
          <w:p>
            <w:pPr>
              <w:adjustRightInd w:val="0"/>
              <w:snapToGrid w:val="0"/>
              <w:spacing w:line="312" w:lineRule="auto"/>
              <w:ind w:firstLine="480" w:firstLineChars="200"/>
              <w:rPr>
                <w:rFonts w:hint="default" w:eastAsia="宋体"/>
                <w:sz w:val="24"/>
                <w:szCs w:val="22"/>
                <w:lang w:val="en-US" w:eastAsia="zh-CN"/>
              </w:rPr>
            </w:pPr>
            <w:r>
              <w:rPr>
                <w:sz w:val="24"/>
                <w:szCs w:val="22"/>
              </w:rPr>
              <w:t>附件1</w:t>
            </w:r>
            <w:r>
              <w:rPr>
                <w:rFonts w:hint="eastAsia"/>
                <w:sz w:val="24"/>
                <w:szCs w:val="22"/>
                <w:lang w:val="en-US" w:eastAsia="zh-CN"/>
              </w:rPr>
              <w:t>0</w:t>
            </w:r>
            <w:r>
              <w:rPr>
                <w:sz w:val="24"/>
                <w:szCs w:val="22"/>
              </w:rPr>
              <w:t xml:space="preserve">    </w:t>
            </w:r>
            <w:r>
              <w:rPr>
                <w:rFonts w:hint="eastAsia"/>
                <w:sz w:val="24"/>
                <w:szCs w:val="22"/>
                <w:lang w:val="en-US" w:eastAsia="zh-CN"/>
              </w:rPr>
              <w:t>原有项目废气监测报告</w:t>
            </w:r>
          </w:p>
          <w:p>
            <w:pPr>
              <w:adjustRightInd w:val="0"/>
              <w:snapToGrid w:val="0"/>
              <w:spacing w:line="312" w:lineRule="auto"/>
              <w:ind w:firstLine="480" w:firstLineChars="200"/>
              <w:rPr>
                <w:sz w:val="24"/>
                <w:szCs w:val="22"/>
              </w:rPr>
            </w:pPr>
            <w:r>
              <w:rPr>
                <w:sz w:val="24"/>
                <w:szCs w:val="22"/>
              </w:rPr>
              <w:t>附件1</w:t>
            </w:r>
            <w:r>
              <w:rPr>
                <w:rFonts w:hint="eastAsia"/>
                <w:sz w:val="24"/>
                <w:szCs w:val="22"/>
                <w:lang w:val="en-US" w:eastAsia="zh-CN"/>
              </w:rPr>
              <w:t>1</w:t>
            </w:r>
            <w:r>
              <w:rPr>
                <w:sz w:val="24"/>
                <w:szCs w:val="22"/>
              </w:rPr>
              <w:t xml:space="preserve">    编制主持人现场照片</w:t>
            </w:r>
          </w:p>
          <w:p>
            <w:pPr>
              <w:adjustRightInd w:val="0"/>
              <w:snapToGrid w:val="0"/>
              <w:spacing w:line="312" w:lineRule="auto"/>
              <w:ind w:firstLine="480" w:firstLineChars="200"/>
              <w:rPr>
                <w:sz w:val="24"/>
                <w:szCs w:val="22"/>
              </w:rPr>
            </w:pPr>
            <w:r>
              <w:rPr>
                <w:sz w:val="24"/>
                <w:szCs w:val="22"/>
              </w:rPr>
              <w:t>附件1</w:t>
            </w:r>
            <w:r>
              <w:rPr>
                <w:rFonts w:hint="eastAsia"/>
                <w:sz w:val="24"/>
                <w:szCs w:val="22"/>
                <w:lang w:val="en-US" w:eastAsia="zh-CN"/>
              </w:rPr>
              <w:t>2</w:t>
            </w:r>
            <w:r>
              <w:rPr>
                <w:sz w:val="24"/>
                <w:szCs w:val="22"/>
              </w:rPr>
              <w:t xml:space="preserve">   公示委托书</w:t>
            </w:r>
          </w:p>
          <w:p>
            <w:pPr>
              <w:adjustRightInd w:val="0"/>
              <w:snapToGrid w:val="0"/>
              <w:spacing w:line="312" w:lineRule="auto"/>
              <w:ind w:firstLine="480" w:firstLineChars="200"/>
              <w:rPr>
                <w:sz w:val="24"/>
                <w:szCs w:val="22"/>
              </w:rPr>
            </w:pPr>
            <w:r>
              <w:rPr>
                <w:sz w:val="24"/>
                <w:szCs w:val="22"/>
              </w:rPr>
              <w:t>附件1</w:t>
            </w:r>
            <w:r>
              <w:rPr>
                <w:rFonts w:hint="eastAsia"/>
                <w:sz w:val="24"/>
                <w:szCs w:val="22"/>
                <w:lang w:val="en-US" w:eastAsia="zh-CN"/>
              </w:rPr>
              <w:t>3</w:t>
            </w:r>
            <w:r>
              <w:rPr>
                <w:sz w:val="24"/>
                <w:szCs w:val="22"/>
              </w:rPr>
              <w:t xml:space="preserve">   全文本公开证明材料</w:t>
            </w:r>
          </w:p>
          <w:p>
            <w:pPr>
              <w:autoSpaceDE w:val="0"/>
              <w:adjustRightInd w:val="0"/>
              <w:snapToGrid w:val="0"/>
              <w:spacing w:line="312" w:lineRule="auto"/>
              <w:ind w:firstLine="480" w:firstLineChars="200"/>
              <w:rPr>
                <w:sz w:val="24"/>
                <w:szCs w:val="22"/>
              </w:rPr>
            </w:pPr>
            <w:r>
              <w:rPr>
                <w:sz w:val="24"/>
                <w:szCs w:val="22"/>
              </w:rPr>
              <w:t>附件1</w:t>
            </w:r>
            <w:r>
              <w:rPr>
                <w:rFonts w:hint="eastAsia"/>
                <w:sz w:val="24"/>
                <w:szCs w:val="22"/>
                <w:lang w:val="en-US" w:eastAsia="zh-CN"/>
              </w:rPr>
              <w:t>4</w:t>
            </w:r>
            <w:r>
              <w:rPr>
                <w:sz w:val="24"/>
                <w:szCs w:val="22"/>
              </w:rPr>
              <w:t xml:space="preserve">   建设单位承诺书</w:t>
            </w:r>
          </w:p>
          <w:p>
            <w:pPr>
              <w:autoSpaceDE w:val="0"/>
              <w:adjustRightInd w:val="0"/>
              <w:snapToGrid w:val="0"/>
              <w:spacing w:line="312" w:lineRule="auto"/>
              <w:ind w:firstLine="480" w:firstLineChars="200"/>
              <w:rPr>
                <w:color w:val="0000FF"/>
                <w:sz w:val="24"/>
              </w:rPr>
            </w:pPr>
            <w:r>
              <w:rPr>
                <w:sz w:val="24"/>
              </w:rPr>
              <w:t>附件1</w:t>
            </w:r>
            <w:r>
              <w:rPr>
                <w:rFonts w:hint="eastAsia"/>
                <w:sz w:val="24"/>
                <w:lang w:val="en-US" w:eastAsia="zh-CN"/>
              </w:rPr>
              <w:t>5</w:t>
            </w:r>
            <w:r>
              <w:rPr>
                <w:sz w:val="24"/>
              </w:rPr>
              <w:t xml:space="preserve">   规划及规划环评批复</w:t>
            </w:r>
          </w:p>
        </w:tc>
      </w:tr>
    </w:tbl>
    <w:p>
      <w:pPr>
        <w:rPr>
          <w:color w:val="0000FF"/>
        </w:rPr>
      </w:pPr>
    </w:p>
    <w:sectPr>
      <w:footerReference r:id="rId8" w:type="default"/>
      <w:pgSz w:w="11906" w:h="16838"/>
      <w:pgMar w:top="1701" w:right="1531" w:bottom="1701" w:left="1531"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文鼎CS中宋">
    <w:altName w:val="宋体"/>
    <w:panose1 w:val="00000000000000000000"/>
    <w:charset w:val="86"/>
    <w:family w:val="modern"/>
    <w:pitch w:val="default"/>
    <w:sig w:usb0="00000000" w:usb1="00000000" w:usb2="0000001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53235"/>
    </w:sdtPr>
    <w:sdtContent>
      <w:p>
        <w:pPr>
          <w:pStyle w:val="14"/>
          <w:jc w:val="center"/>
        </w:pPr>
        <w:r>
          <w:rPr>
            <w:rFonts w:hint="eastAsia"/>
          </w:rPr>
          <w:t>1</w:t>
        </w:r>
      </w:p>
    </w:sdtContent>
  </w:sdt>
  <w:p>
    <w:pPr>
      <w:pStyle w:val="14"/>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fldChar w:fldCharType="begin"/>
    </w:r>
    <w:r>
      <w:rPr>
        <w:rStyle w:val="25"/>
      </w:rPr>
      <w:instrText xml:space="preserve">PAGE  </w:instrText>
    </w:r>
    <w: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0146930"/>
    </w:sdtPr>
    <w:sdtContent>
      <w:p>
        <w:pPr>
          <w:pStyle w:val="14"/>
          <w:jc w:val="center"/>
        </w:pPr>
        <w:r>
          <w:fldChar w:fldCharType="begin"/>
        </w:r>
        <w:r>
          <w:instrText xml:space="preserve">PAGE   \* MERGEFORMAT</w:instrText>
        </w:r>
        <w:r>
          <w:fldChar w:fldCharType="separate"/>
        </w:r>
        <w:r>
          <w:rPr>
            <w:lang w:val="zh-CN"/>
          </w:rPr>
          <w:t>22</w:t>
        </w:r>
        <w:r>
          <w:rPr>
            <w:lang w:val="zh-CN"/>
          </w:rPr>
          <w:fldChar w:fldCharType="end"/>
        </w:r>
      </w:p>
    </w:sdtContent>
  </w:sdt>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BBD26"/>
    <w:multiLevelType w:val="singleLevel"/>
    <w:tmpl w:val="9ABBBD2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attachedTemplate r:id="rId1"/>
  <w:documentProtection w:edit="trackedChanges"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14947"/>
    <w:rsid w:val="00000C5C"/>
    <w:rsid w:val="000041D2"/>
    <w:rsid w:val="00005394"/>
    <w:rsid w:val="000060B3"/>
    <w:rsid w:val="00006631"/>
    <w:rsid w:val="00006E61"/>
    <w:rsid w:val="000077AF"/>
    <w:rsid w:val="0001129B"/>
    <w:rsid w:val="00011E62"/>
    <w:rsid w:val="00012326"/>
    <w:rsid w:val="00012F85"/>
    <w:rsid w:val="00013965"/>
    <w:rsid w:val="00013F5A"/>
    <w:rsid w:val="00015BCB"/>
    <w:rsid w:val="00021060"/>
    <w:rsid w:val="0002149F"/>
    <w:rsid w:val="00021D19"/>
    <w:rsid w:val="00022194"/>
    <w:rsid w:val="000222E4"/>
    <w:rsid w:val="00022B4D"/>
    <w:rsid w:val="000236F7"/>
    <w:rsid w:val="00025552"/>
    <w:rsid w:val="00026088"/>
    <w:rsid w:val="00027E0D"/>
    <w:rsid w:val="00030596"/>
    <w:rsid w:val="00031717"/>
    <w:rsid w:val="00031900"/>
    <w:rsid w:val="000322F5"/>
    <w:rsid w:val="000329AC"/>
    <w:rsid w:val="00033549"/>
    <w:rsid w:val="00034291"/>
    <w:rsid w:val="00035AAD"/>
    <w:rsid w:val="00036065"/>
    <w:rsid w:val="00037226"/>
    <w:rsid w:val="0004061A"/>
    <w:rsid w:val="0004129A"/>
    <w:rsid w:val="00041F3A"/>
    <w:rsid w:val="00042B03"/>
    <w:rsid w:val="00042EFD"/>
    <w:rsid w:val="000431C9"/>
    <w:rsid w:val="0004364B"/>
    <w:rsid w:val="00045046"/>
    <w:rsid w:val="00045093"/>
    <w:rsid w:val="00045995"/>
    <w:rsid w:val="00045ED2"/>
    <w:rsid w:val="00050565"/>
    <w:rsid w:val="00050A7F"/>
    <w:rsid w:val="00050E73"/>
    <w:rsid w:val="0005580D"/>
    <w:rsid w:val="000563A6"/>
    <w:rsid w:val="00056B8F"/>
    <w:rsid w:val="00056EAE"/>
    <w:rsid w:val="00060B69"/>
    <w:rsid w:val="00061B1F"/>
    <w:rsid w:val="00062B8D"/>
    <w:rsid w:val="00063910"/>
    <w:rsid w:val="00063A4D"/>
    <w:rsid w:val="00064340"/>
    <w:rsid w:val="00065623"/>
    <w:rsid w:val="00065BAE"/>
    <w:rsid w:val="00067834"/>
    <w:rsid w:val="00067887"/>
    <w:rsid w:val="000710EC"/>
    <w:rsid w:val="00071FB6"/>
    <w:rsid w:val="000727EE"/>
    <w:rsid w:val="000733C4"/>
    <w:rsid w:val="00073A0F"/>
    <w:rsid w:val="00074327"/>
    <w:rsid w:val="0007440E"/>
    <w:rsid w:val="00074783"/>
    <w:rsid w:val="0007499F"/>
    <w:rsid w:val="00074D9E"/>
    <w:rsid w:val="000751A3"/>
    <w:rsid w:val="000752EA"/>
    <w:rsid w:val="00077CD9"/>
    <w:rsid w:val="0008070B"/>
    <w:rsid w:val="00080B9A"/>
    <w:rsid w:val="000810AC"/>
    <w:rsid w:val="000817FC"/>
    <w:rsid w:val="00081A02"/>
    <w:rsid w:val="00082231"/>
    <w:rsid w:val="000829EA"/>
    <w:rsid w:val="00082E85"/>
    <w:rsid w:val="00084715"/>
    <w:rsid w:val="0008546E"/>
    <w:rsid w:val="00086B4E"/>
    <w:rsid w:val="00090020"/>
    <w:rsid w:val="00092D38"/>
    <w:rsid w:val="0009328E"/>
    <w:rsid w:val="0009337F"/>
    <w:rsid w:val="0009377B"/>
    <w:rsid w:val="00093DFE"/>
    <w:rsid w:val="000977A9"/>
    <w:rsid w:val="00097E50"/>
    <w:rsid w:val="000A0530"/>
    <w:rsid w:val="000A20C9"/>
    <w:rsid w:val="000A333C"/>
    <w:rsid w:val="000A4132"/>
    <w:rsid w:val="000A7795"/>
    <w:rsid w:val="000B00F1"/>
    <w:rsid w:val="000B058F"/>
    <w:rsid w:val="000B16D0"/>
    <w:rsid w:val="000B26C9"/>
    <w:rsid w:val="000B2F40"/>
    <w:rsid w:val="000B3FD1"/>
    <w:rsid w:val="000B4467"/>
    <w:rsid w:val="000B4AF6"/>
    <w:rsid w:val="000B4DB9"/>
    <w:rsid w:val="000B5415"/>
    <w:rsid w:val="000B596C"/>
    <w:rsid w:val="000B7456"/>
    <w:rsid w:val="000C0234"/>
    <w:rsid w:val="000C09AC"/>
    <w:rsid w:val="000C0B38"/>
    <w:rsid w:val="000C26F3"/>
    <w:rsid w:val="000C3B28"/>
    <w:rsid w:val="000C3DC1"/>
    <w:rsid w:val="000C4342"/>
    <w:rsid w:val="000C61D0"/>
    <w:rsid w:val="000C6BE6"/>
    <w:rsid w:val="000C767F"/>
    <w:rsid w:val="000D142D"/>
    <w:rsid w:val="000D249B"/>
    <w:rsid w:val="000D451C"/>
    <w:rsid w:val="000D5A44"/>
    <w:rsid w:val="000D7C23"/>
    <w:rsid w:val="000E0A21"/>
    <w:rsid w:val="000E3ED2"/>
    <w:rsid w:val="000E65D5"/>
    <w:rsid w:val="000E7328"/>
    <w:rsid w:val="000E7347"/>
    <w:rsid w:val="000F1568"/>
    <w:rsid w:val="000F1BA5"/>
    <w:rsid w:val="000F1CCE"/>
    <w:rsid w:val="000F6A45"/>
    <w:rsid w:val="0010092F"/>
    <w:rsid w:val="00102053"/>
    <w:rsid w:val="00102D63"/>
    <w:rsid w:val="00103D67"/>
    <w:rsid w:val="00103F41"/>
    <w:rsid w:val="001041DD"/>
    <w:rsid w:val="00104477"/>
    <w:rsid w:val="00104E05"/>
    <w:rsid w:val="00105D3B"/>
    <w:rsid w:val="00106495"/>
    <w:rsid w:val="0010650C"/>
    <w:rsid w:val="001114F0"/>
    <w:rsid w:val="001126A8"/>
    <w:rsid w:val="001127C2"/>
    <w:rsid w:val="00115404"/>
    <w:rsid w:val="00115DD2"/>
    <w:rsid w:val="00116A5D"/>
    <w:rsid w:val="0012080D"/>
    <w:rsid w:val="00120870"/>
    <w:rsid w:val="001237D7"/>
    <w:rsid w:val="00123C15"/>
    <w:rsid w:val="00123E26"/>
    <w:rsid w:val="00126025"/>
    <w:rsid w:val="00127C1A"/>
    <w:rsid w:val="00127C90"/>
    <w:rsid w:val="0013008B"/>
    <w:rsid w:val="00130107"/>
    <w:rsid w:val="00131A98"/>
    <w:rsid w:val="00131E7D"/>
    <w:rsid w:val="00131EBE"/>
    <w:rsid w:val="00131F42"/>
    <w:rsid w:val="00132ACE"/>
    <w:rsid w:val="001341F0"/>
    <w:rsid w:val="00134697"/>
    <w:rsid w:val="001357F1"/>
    <w:rsid w:val="00135826"/>
    <w:rsid w:val="00136B1A"/>
    <w:rsid w:val="00140C73"/>
    <w:rsid w:val="00140F6A"/>
    <w:rsid w:val="00140FA8"/>
    <w:rsid w:val="0014124F"/>
    <w:rsid w:val="00141295"/>
    <w:rsid w:val="001426EF"/>
    <w:rsid w:val="00142FEB"/>
    <w:rsid w:val="001431CF"/>
    <w:rsid w:val="00143A2D"/>
    <w:rsid w:val="00143B8C"/>
    <w:rsid w:val="00145390"/>
    <w:rsid w:val="00145A41"/>
    <w:rsid w:val="00146926"/>
    <w:rsid w:val="00150F87"/>
    <w:rsid w:val="00151675"/>
    <w:rsid w:val="00153DD7"/>
    <w:rsid w:val="0015424E"/>
    <w:rsid w:val="0015541B"/>
    <w:rsid w:val="00155EA6"/>
    <w:rsid w:val="00156A04"/>
    <w:rsid w:val="00157435"/>
    <w:rsid w:val="00160902"/>
    <w:rsid w:val="0016298B"/>
    <w:rsid w:val="00162E61"/>
    <w:rsid w:val="00163EAD"/>
    <w:rsid w:val="0017066B"/>
    <w:rsid w:val="00170EBF"/>
    <w:rsid w:val="00171052"/>
    <w:rsid w:val="0017504D"/>
    <w:rsid w:val="00175382"/>
    <w:rsid w:val="0017671A"/>
    <w:rsid w:val="00177422"/>
    <w:rsid w:val="00183E4F"/>
    <w:rsid w:val="00184590"/>
    <w:rsid w:val="00184A80"/>
    <w:rsid w:val="00184B25"/>
    <w:rsid w:val="00186665"/>
    <w:rsid w:val="001870D1"/>
    <w:rsid w:val="0018781E"/>
    <w:rsid w:val="00187995"/>
    <w:rsid w:val="00190CB8"/>
    <w:rsid w:val="0019262D"/>
    <w:rsid w:val="00192BB0"/>
    <w:rsid w:val="00192C92"/>
    <w:rsid w:val="00194258"/>
    <w:rsid w:val="00195860"/>
    <w:rsid w:val="00195CA8"/>
    <w:rsid w:val="001966D3"/>
    <w:rsid w:val="00197306"/>
    <w:rsid w:val="001A1A12"/>
    <w:rsid w:val="001A1AD3"/>
    <w:rsid w:val="001A1B35"/>
    <w:rsid w:val="001A48A2"/>
    <w:rsid w:val="001A6F61"/>
    <w:rsid w:val="001B0E04"/>
    <w:rsid w:val="001B449E"/>
    <w:rsid w:val="001B45EA"/>
    <w:rsid w:val="001B660A"/>
    <w:rsid w:val="001B72B8"/>
    <w:rsid w:val="001C035C"/>
    <w:rsid w:val="001C056A"/>
    <w:rsid w:val="001C0804"/>
    <w:rsid w:val="001C10F2"/>
    <w:rsid w:val="001C11BC"/>
    <w:rsid w:val="001C14C5"/>
    <w:rsid w:val="001C2AF0"/>
    <w:rsid w:val="001C6240"/>
    <w:rsid w:val="001C6332"/>
    <w:rsid w:val="001C69B3"/>
    <w:rsid w:val="001C6ED7"/>
    <w:rsid w:val="001C76B9"/>
    <w:rsid w:val="001D30FE"/>
    <w:rsid w:val="001D3EA8"/>
    <w:rsid w:val="001D4418"/>
    <w:rsid w:val="001D48A7"/>
    <w:rsid w:val="001D5595"/>
    <w:rsid w:val="001D5998"/>
    <w:rsid w:val="001D7874"/>
    <w:rsid w:val="001D796A"/>
    <w:rsid w:val="001D7F22"/>
    <w:rsid w:val="001E0092"/>
    <w:rsid w:val="001E07E5"/>
    <w:rsid w:val="001E0E44"/>
    <w:rsid w:val="001E2355"/>
    <w:rsid w:val="001E30D5"/>
    <w:rsid w:val="001E375C"/>
    <w:rsid w:val="001E514B"/>
    <w:rsid w:val="001E6D89"/>
    <w:rsid w:val="001F0F17"/>
    <w:rsid w:val="001F1424"/>
    <w:rsid w:val="001F25C8"/>
    <w:rsid w:val="001F3347"/>
    <w:rsid w:val="001F48F2"/>
    <w:rsid w:val="001F4F11"/>
    <w:rsid w:val="001F5C55"/>
    <w:rsid w:val="001F66FF"/>
    <w:rsid w:val="001F69E4"/>
    <w:rsid w:val="001F7F3C"/>
    <w:rsid w:val="00201372"/>
    <w:rsid w:val="00202228"/>
    <w:rsid w:val="00202DC4"/>
    <w:rsid w:val="00203B3F"/>
    <w:rsid w:val="00203EF9"/>
    <w:rsid w:val="0020542A"/>
    <w:rsid w:val="00205FAC"/>
    <w:rsid w:val="00210D3C"/>
    <w:rsid w:val="002125B4"/>
    <w:rsid w:val="00212F43"/>
    <w:rsid w:val="002155B8"/>
    <w:rsid w:val="00215610"/>
    <w:rsid w:val="0021747A"/>
    <w:rsid w:val="00217CD1"/>
    <w:rsid w:val="00220430"/>
    <w:rsid w:val="00220C1D"/>
    <w:rsid w:val="00220E77"/>
    <w:rsid w:val="0022250A"/>
    <w:rsid w:val="00224839"/>
    <w:rsid w:val="002249B2"/>
    <w:rsid w:val="00225329"/>
    <w:rsid w:val="0022633D"/>
    <w:rsid w:val="00226574"/>
    <w:rsid w:val="00227274"/>
    <w:rsid w:val="002278EC"/>
    <w:rsid w:val="002315AC"/>
    <w:rsid w:val="0023280E"/>
    <w:rsid w:val="00233FE7"/>
    <w:rsid w:val="002346A0"/>
    <w:rsid w:val="0023575E"/>
    <w:rsid w:val="0023630E"/>
    <w:rsid w:val="002377D1"/>
    <w:rsid w:val="002409D1"/>
    <w:rsid w:val="00242FE5"/>
    <w:rsid w:val="00243347"/>
    <w:rsid w:val="0024345F"/>
    <w:rsid w:val="00243F2C"/>
    <w:rsid w:val="00246AB9"/>
    <w:rsid w:val="002473E7"/>
    <w:rsid w:val="0024784E"/>
    <w:rsid w:val="00247F18"/>
    <w:rsid w:val="002506BC"/>
    <w:rsid w:val="00254345"/>
    <w:rsid w:val="00257243"/>
    <w:rsid w:val="00260C09"/>
    <w:rsid w:val="002618D7"/>
    <w:rsid w:val="002619B5"/>
    <w:rsid w:val="002628AE"/>
    <w:rsid w:val="002642C7"/>
    <w:rsid w:val="00264557"/>
    <w:rsid w:val="002645B6"/>
    <w:rsid w:val="00267DC1"/>
    <w:rsid w:val="002701DA"/>
    <w:rsid w:val="00271F7D"/>
    <w:rsid w:val="002805AB"/>
    <w:rsid w:val="00281DD4"/>
    <w:rsid w:val="00282B87"/>
    <w:rsid w:val="0028324D"/>
    <w:rsid w:val="00284204"/>
    <w:rsid w:val="002842E4"/>
    <w:rsid w:val="00291773"/>
    <w:rsid w:val="00291B4C"/>
    <w:rsid w:val="0029224D"/>
    <w:rsid w:val="002942BA"/>
    <w:rsid w:val="00295894"/>
    <w:rsid w:val="00295B43"/>
    <w:rsid w:val="00296A40"/>
    <w:rsid w:val="00296D33"/>
    <w:rsid w:val="002A02A7"/>
    <w:rsid w:val="002A0E2A"/>
    <w:rsid w:val="002A168C"/>
    <w:rsid w:val="002A1831"/>
    <w:rsid w:val="002A1B1A"/>
    <w:rsid w:val="002A3DC7"/>
    <w:rsid w:val="002A48D4"/>
    <w:rsid w:val="002B0F8C"/>
    <w:rsid w:val="002B2976"/>
    <w:rsid w:val="002B49E2"/>
    <w:rsid w:val="002B5C58"/>
    <w:rsid w:val="002B7B00"/>
    <w:rsid w:val="002B7C44"/>
    <w:rsid w:val="002C0B92"/>
    <w:rsid w:val="002C1FF8"/>
    <w:rsid w:val="002C2150"/>
    <w:rsid w:val="002C26AF"/>
    <w:rsid w:val="002C2B17"/>
    <w:rsid w:val="002C6B03"/>
    <w:rsid w:val="002C76D2"/>
    <w:rsid w:val="002C7D28"/>
    <w:rsid w:val="002D3DD0"/>
    <w:rsid w:val="002D58A4"/>
    <w:rsid w:val="002D5E9F"/>
    <w:rsid w:val="002D69BA"/>
    <w:rsid w:val="002E0194"/>
    <w:rsid w:val="002E06D2"/>
    <w:rsid w:val="002E1F3A"/>
    <w:rsid w:val="002E298A"/>
    <w:rsid w:val="002E3332"/>
    <w:rsid w:val="002E3CD9"/>
    <w:rsid w:val="002E44D7"/>
    <w:rsid w:val="002E4A19"/>
    <w:rsid w:val="002E4AA7"/>
    <w:rsid w:val="002E4C0D"/>
    <w:rsid w:val="002E51D7"/>
    <w:rsid w:val="002F45D4"/>
    <w:rsid w:val="002F4FBC"/>
    <w:rsid w:val="002F6EF7"/>
    <w:rsid w:val="00300935"/>
    <w:rsid w:val="003017C5"/>
    <w:rsid w:val="00301978"/>
    <w:rsid w:val="0030332C"/>
    <w:rsid w:val="0030391D"/>
    <w:rsid w:val="003051C2"/>
    <w:rsid w:val="0030605E"/>
    <w:rsid w:val="00307223"/>
    <w:rsid w:val="00307F73"/>
    <w:rsid w:val="00311C52"/>
    <w:rsid w:val="00312296"/>
    <w:rsid w:val="00312C61"/>
    <w:rsid w:val="00314176"/>
    <w:rsid w:val="00314D1B"/>
    <w:rsid w:val="00314F0E"/>
    <w:rsid w:val="00320460"/>
    <w:rsid w:val="003205F9"/>
    <w:rsid w:val="00321CDC"/>
    <w:rsid w:val="00321D8E"/>
    <w:rsid w:val="00322703"/>
    <w:rsid w:val="003227EA"/>
    <w:rsid w:val="00324C47"/>
    <w:rsid w:val="00325928"/>
    <w:rsid w:val="00325C99"/>
    <w:rsid w:val="0032647B"/>
    <w:rsid w:val="00327ACA"/>
    <w:rsid w:val="00331C99"/>
    <w:rsid w:val="00332863"/>
    <w:rsid w:val="00333FE4"/>
    <w:rsid w:val="003346EE"/>
    <w:rsid w:val="00334C30"/>
    <w:rsid w:val="003355F9"/>
    <w:rsid w:val="00335C67"/>
    <w:rsid w:val="003363AA"/>
    <w:rsid w:val="0033684D"/>
    <w:rsid w:val="00337B42"/>
    <w:rsid w:val="00341B42"/>
    <w:rsid w:val="003428A1"/>
    <w:rsid w:val="0034348F"/>
    <w:rsid w:val="00343D86"/>
    <w:rsid w:val="003444F7"/>
    <w:rsid w:val="00345EA6"/>
    <w:rsid w:val="00350585"/>
    <w:rsid w:val="003505B9"/>
    <w:rsid w:val="003547F6"/>
    <w:rsid w:val="00356653"/>
    <w:rsid w:val="0035734A"/>
    <w:rsid w:val="0035743F"/>
    <w:rsid w:val="00357A50"/>
    <w:rsid w:val="00357BE2"/>
    <w:rsid w:val="00357DFF"/>
    <w:rsid w:val="00360AD2"/>
    <w:rsid w:val="0036170C"/>
    <w:rsid w:val="00362778"/>
    <w:rsid w:val="00362D7D"/>
    <w:rsid w:val="00366E0F"/>
    <w:rsid w:val="003670D6"/>
    <w:rsid w:val="00367A2D"/>
    <w:rsid w:val="00370062"/>
    <w:rsid w:val="003719D4"/>
    <w:rsid w:val="003741FD"/>
    <w:rsid w:val="00374519"/>
    <w:rsid w:val="00374FB4"/>
    <w:rsid w:val="00377A05"/>
    <w:rsid w:val="0038163C"/>
    <w:rsid w:val="00381A72"/>
    <w:rsid w:val="0038453B"/>
    <w:rsid w:val="00384676"/>
    <w:rsid w:val="003853F4"/>
    <w:rsid w:val="00385AC4"/>
    <w:rsid w:val="00387173"/>
    <w:rsid w:val="00390857"/>
    <w:rsid w:val="003926AE"/>
    <w:rsid w:val="00394DF2"/>
    <w:rsid w:val="003960F3"/>
    <w:rsid w:val="00396D5A"/>
    <w:rsid w:val="00397D26"/>
    <w:rsid w:val="003A280B"/>
    <w:rsid w:val="003A2E8D"/>
    <w:rsid w:val="003A3959"/>
    <w:rsid w:val="003A4BF3"/>
    <w:rsid w:val="003A5432"/>
    <w:rsid w:val="003A791B"/>
    <w:rsid w:val="003B1A03"/>
    <w:rsid w:val="003B1F02"/>
    <w:rsid w:val="003B2C58"/>
    <w:rsid w:val="003B420D"/>
    <w:rsid w:val="003B45D3"/>
    <w:rsid w:val="003B4738"/>
    <w:rsid w:val="003B4B4A"/>
    <w:rsid w:val="003B511B"/>
    <w:rsid w:val="003B66AC"/>
    <w:rsid w:val="003C0384"/>
    <w:rsid w:val="003C1F85"/>
    <w:rsid w:val="003C3D07"/>
    <w:rsid w:val="003C64B0"/>
    <w:rsid w:val="003C64D7"/>
    <w:rsid w:val="003C6C16"/>
    <w:rsid w:val="003D017B"/>
    <w:rsid w:val="003D056D"/>
    <w:rsid w:val="003D328A"/>
    <w:rsid w:val="003D35EF"/>
    <w:rsid w:val="003D3D89"/>
    <w:rsid w:val="003D46B1"/>
    <w:rsid w:val="003D4D3F"/>
    <w:rsid w:val="003D530B"/>
    <w:rsid w:val="003D6186"/>
    <w:rsid w:val="003D6B84"/>
    <w:rsid w:val="003D794D"/>
    <w:rsid w:val="003D7CFC"/>
    <w:rsid w:val="003E1E6E"/>
    <w:rsid w:val="003E2ED3"/>
    <w:rsid w:val="003E3058"/>
    <w:rsid w:val="003E3662"/>
    <w:rsid w:val="003E383C"/>
    <w:rsid w:val="003E39F0"/>
    <w:rsid w:val="003E46C4"/>
    <w:rsid w:val="003E76A9"/>
    <w:rsid w:val="003F0809"/>
    <w:rsid w:val="003F0EBA"/>
    <w:rsid w:val="003F17BC"/>
    <w:rsid w:val="003F17FA"/>
    <w:rsid w:val="003F1EFE"/>
    <w:rsid w:val="003F2F99"/>
    <w:rsid w:val="003F390A"/>
    <w:rsid w:val="003F4D1B"/>
    <w:rsid w:val="003F55F5"/>
    <w:rsid w:val="003F5CF8"/>
    <w:rsid w:val="003F6A8C"/>
    <w:rsid w:val="003F755C"/>
    <w:rsid w:val="00400B6E"/>
    <w:rsid w:val="00400CD6"/>
    <w:rsid w:val="00401E0D"/>
    <w:rsid w:val="00401ED1"/>
    <w:rsid w:val="00403234"/>
    <w:rsid w:val="004045AF"/>
    <w:rsid w:val="00406F01"/>
    <w:rsid w:val="00410349"/>
    <w:rsid w:val="0041076D"/>
    <w:rsid w:val="00411598"/>
    <w:rsid w:val="004118E9"/>
    <w:rsid w:val="0041291F"/>
    <w:rsid w:val="0041300E"/>
    <w:rsid w:val="00413DEA"/>
    <w:rsid w:val="00414040"/>
    <w:rsid w:val="00414D7B"/>
    <w:rsid w:val="00415439"/>
    <w:rsid w:val="00415A38"/>
    <w:rsid w:val="004166D2"/>
    <w:rsid w:val="00416D50"/>
    <w:rsid w:val="00416FD5"/>
    <w:rsid w:val="00417772"/>
    <w:rsid w:val="00420E6A"/>
    <w:rsid w:val="004226D2"/>
    <w:rsid w:val="00425A9E"/>
    <w:rsid w:val="00425D8F"/>
    <w:rsid w:val="00426383"/>
    <w:rsid w:val="00426D6B"/>
    <w:rsid w:val="00427E0B"/>
    <w:rsid w:val="00431E6C"/>
    <w:rsid w:val="00433A65"/>
    <w:rsid w:val="00433C85"/>
    <w:rsid w:val="00433CE7"/>
    <w:rsid w:val="004349AB"/>
    <w:rsid w:val="004360B8"/>
    <w:rsid w:val="00436300"/>
    <w:rsid w:val="00437438"/>
    <w:rsid w:val="0044060B"/>
    <w:rsid w:val="00442031"/>
    <w:rsid w:val="004421D6"/>
    <w:rsid w:val="00442950"/>
    <w:rsid w:val="0044356E"/>
    <w:rsid w:val="00444CE8"/>
    <w:rsid w:val="0044554D"/>
    <w:rsid w:val="00445F9F"/>
    <w:rsid w:val="0044646B"/>
    <w:rsid w:val="00446CD9"/>
    <w:rsid w:val="00447990"/>
    <w:rsid w:val="00447C90"/>
    <w:rsid w:val="00450AA3"/>
    <w:rsid w:val="004514BD"/>
    <w:rsid w:val="00452738"/>
    <w:rsid w:val="00455653"/>
    <w:rsid w:val="00455F02"/>
    <w:rsid w:val="00456091"/>
    <w:rsid w:val="004601FB"/>
    <w:rsid w:val="00460C43"/>
    <w:rsid w:val="004618F6"/>
    <w:rsid w:val="00462ED6"/>
    <w:rsid w:val="0046347C"/>
    <w:rsid w:val="00465D91"/>
    <w:rsid w:val="00466321"/>
    <w:rsid w:val="0046717A"/>
    <w:rsid w:val="00467C17"/>
    <w:rsid w:val="00470803"/>
    <w:rsid w:val="00475999"/>
    <w:rsid w:val="00476510"/>
    <w:rsid w:val="00476FE9"/>
    <w:rsid w:val="00480F07"/>
    <w:rsid w:val="0048131A"/>
    <w:rsid w:val="00483C32"/>
    <w:rsid w:val="0048450F"/>
    <w:rsid w:val="00484B9B"/>
    <w:rsid w:val="004855F6"/>
    <w:rsid w:val="0048661E"/>
    <w:rsid w:val="004867F9"/>
    <w:rsid w:val="00487380"/>
    <w:rsid w:val="00487AD7"/>
    <w:rsid w:val="004908D8"/>
    <w:rsid w:val="00490D5B"/>
    <w:rsid w:val="00490FA5"/>
    <w:rsid w:val="004910D0"/>
    <w:rsid w:val="00491436"/>
    <w:rsid w:val="00491853"/>
    <w:rsid w:val="0049220E"/>
    <w:rsid w:val="00493FC5"/>
    <w:rsid w:val="004940EE"/>
    <w:rsid w:val="00494670"/>
    <w:rsid w:val="00495B19"/>
    <w:rsid w:val="00495BE9"/>
    <w:rsid w:val="004961F5"/>
    <w:rsid w:val="004A2366"/>
    <w:rsid w:val="004A32CA"/>
    <w:rsid w:val="004A3823"/>
    <w:rsid w:val="004A5324"/>
    <w:rsid w:val="004A5808"/>
    <w:rsid w:val="004A68D3"/>
    <w:rsid w:val="004A7509"/>
    <w:rsid w:val="004A7A31"/>
    <w:rsid w:val="004B115E"/>
    <w:rsid w:val="004B1C6A"/>
    <w:rsid w:val="004B34A1"/>
    <w:rsid w:val="004B4A6B"/>
    <w:rsid w:val="004B4AFD"/>
    <w:rsid w:val="004B4C44"/>
    <w:rsid w:val="004B4D17"/>
    <w:rsid w:val="004B5AEE"/>
    <w:rsid w:val="004B7684"/>
    <w:rsid w:val="004C094E"/>
    <w:rsid w:val="004C234D"/>
    <w:rsid w:val="004C2F0C"/>
    <w:rsid w:val="004C42BA"/>
    <w:rsid w:val="004C5CB3"/>
    <w:rsid w:val="004C7747"/>
    <w:rsid w:val="004D0360"/>
    <w:rsid w:val="004D0C7E"/>
    <w:rsid w:val="004D3054"/>
    <w:rsid w:val="004D4633"/>
    <w:rsid w:val="004D490E"/>
    <w:rsid w:val="004D548A"/>
    <w:rsid w:val="004D57FE"/>
    <w:rsid w:val="004D60AA"/>
    <w:rsid w:val="004D6FDF"/>
    <w:rsid w:val="004D74C6"/>
    <w:rsid w:val="004D7C36"/>
    <w:rsid w:val="004E0237"/>
    <w:rsid w:val="004E1F4A"/>
    <w:rsid w:val="004E1F7F"/>
    <w:rsid w:val="004E2D8C"/>
    <w:rsid w:val="004E3639"/>
    <w:rsid w:val="004E4414"/>
    <w:rsid w:val="004E656B"/>
    <w:rsid w:val="004E6946"/>
    <w:rsid w:val="004E7A40"/>
    <w:rsid w:val="004E7A77"/>
    <w:rsid w:val="004F0C27"/>
    <w:rsid w:val="004F1398"/>
    <w:rsid w:val="004F16BB"/>
    <w:rsid w:val="004F1AD8"/>
    <w:rsid w:val="004F1ADF"/>
    <w:rsid w:val="004F2945"/>
    <w:rsid w:val="004F5198"/>
    <w:rsid w:val="004F5E69"/>
    <w:rsid w:val="004F61DE"/>
    <w:rsid w:val="004F6791"/>
    <w:rsid w:val="004F6AE2"/>
    <w:rsid w:val="004F6B98"/>
    <w:rsid w:val="004F70A8"/>
    <w:rsid w:val="004F7ADE"/>
    <w:rsid w:val="005001F2"/>
    <w:rsid w:val="00500F3F"/>
    <w:rsid w:val="00503959"/>
    <w:rsid w:val="005039CB"/>
    <w:rsid w:val="005041E1"/>
    <w:rsid w:val="00505508"/>
    <w:rsid w:val="0050558F"/>
    <w:rsid w:val="00506286"/>
    <w:rsid w:val="00510813"/>
    <w:rsid w:val="005115A4"/>
    <w:rsid w:val="00511990"/>
    <w:rsid w:val="00511CCF"/>
    <w:rsid w:val="00511DE0"/>
    <w:rsid w:val="00512ED9"/>
    <w:rsid w:val="00514870"/>
    <w:rsid w:val="00514B9B"/>
    <w:rsid w:val="0051578A"/>
    <w:rsid w:val="00517528"/>
    <w:rsid w:val="00517E82"/>
    <w:rsid w:val="00517EB4"/>
    <w:rsid w:val="00517F02"/>
    <w:rsid w:val="00522774"/>
    <w:rsid w:val="00523742"/>
    <w:rsid w:val="00524303"/>
    <w:rsid w:val="005253CB"/>
    <w:rsid w:val="005258A2"/>
    <w:rsid w:val="00525927"/>
    <w:rsid w:val="00525964"/>
    <w:rsid w:val="005278B9"/>
    <w:rsid w:val="00530E80"/>
    <w:rsid w:val="00532DA1"/>
    <w:rsid w:val="005361B0"/>
    <w:rsid w:val="00537A03"/>
    <w:rsid w:val="005401AE"/>
    <w:rsid w:val="00540CB1"/>
    <w:rsid w:val="00541D6E"/>
    <w:rsid w:val="00542211"/>
    <w:rsid w:val="00542E07"/>
    <w:rsid w:val="00543119"/>
    <w:rsid w:val="0054356C"/>
    <w:rsid w:val="005447D8"/>
    <w:rsid w:val="005447E7"/>
    <w:rsid w:val="00544D1D"/>
    <w:rsid w:val="00545424"/>
    <w:rsid w:val="005472BD"/>
    <w:rsid w:val="00547DEA"/>
    <w:rsid w:val="00547EB4"/>
    <w:rsid w:val="00550653"/>
    <w:rsid w:val="00552769"/>
    <w:rsid w:val="00552D83"/>
    <w:rsid w:val="0055333B"/>
    <w:rsid w:val="00553BF0"/>
    <w:rsid w:val="00554141"/>
    <w:rsid w:val="005549CB"/>
    <w:rsid w:val="00554A7B"/>
    <w:rsid w:val="0055572C"/>
    <w:rsid w:val="00555770"/>
    <w:rsid w:val="005571E0"/>
    <w:rsid w:val="0055730B"/>
    <w:rsid w:val="0055744E"/>
    <w:rsid w:val="00557762"/>
    <w:rsid w:val="005577CA"/>
    <w:rsid w:val="0055789C"/>
    <w:rsid w:val="00557C02"/>
    <w:rsid w:val="005602F6"/>
    <w:rsid w:val="0056106A"/>
    <w:rsid w:val="0056221A"/>
    <w:rsid w:val="00565019"/>
    <w:rsid w:val="00565EB1"/>
    <w:rsid w:val="005720AE"/>
    <w:rsid w:val="005739A3"/>
    <w:rsid w:val="00573F3B"/>
    <w:rsid w:val="00574557"/>
    <w:rsid w:val="00575B77"/>
    <w:rsid w:val="00575D75"/>
    <w:rsid w:val="005761E9"/>
    <w:rsid w:val="00577466"/>
    <w:rsid w:val="00577788"/>
    <w:rsid w:val="00577A77"/>
    <w:rsid w:val="0058038D"/>
    <w:rsid w:val="0058098C"/>
    <w:rsid w:val="00580AD5"/>
    <w:rsid w:val="0058180F"/>
    <w:rsid w:val="00582E0D"/>
    <w:rsid w:val="00590E79"/>
    <w:rsid w:val="0059177A"/>
    <w:rsid w:val="0059254F"/>
    <w:rsid w:val="005948F3"/>
    <w:rsid w:val="00594D77"/>
    <w:rsid w:val="00594E66"/>
    <w:rsid w:val="005959ED"/>
    <w:rsid w:val="005963E7"/>
    <w:rsid w:val="005969E4"/>
    <w:rsid w:val="005A0114"/>
    <w:rsid w:val="005A06B7"/>
    <w:rsid w:val="005A1759"/>
    <w:rsid w:val="005A2796"/>
    <w:rsid w:val="005A4F87"/>
    <w:rsid w:val="005A53EF"/>
    <w:rsid w:val="005A68A7"/>
    <w:rsid w:val="005B17A5"/>
    <w:rsid w:val="005B1D6A"/>
    <w:rsid w:val="005B1E9C"/>
    <w:rsid w:val="005B1EE5"/>
    <w:rsid w:val="005B28A9"/>
    <w:rsid w:val="005B3270"/>
    <w:rsid w:val="005B3429"/>
    <w:rsid w:val="005B4582"/>
    <w:rsid w:val="005B4768"/>
    <w:rsid w:val="005B489F"/>
    <w:rsid w:val="005B76A6"/>
    <w:rsid w:val="005C0046"/>
    <w:rsid w:val="005C010F"/>
    <w:rsid w:val="005C024B"/>
    <w:rsid w:val="005C032E"/>
    <w:rsid w:val="005C1F0C"/>
    <w:rsid w:val="005C2F4F"/>
    <w:rsid w:val="005C42A6"/>
    <w:rsid w:val="005C4A4B"/>
    <w:rsid w:val="005C6BA4"/>
    <w:rsid w:val="005D104B"/>
    <w:rsid w:val="005D1A5E"/>
    <w:rsid w:val="005D1C20"/>
    <w:rsid w:val="005D36AB"/>
    <w:rsid w:val="005D431D"/>
    <w:rsid w:val="005D6969"/>
    <w:rsid w:val="005D6F6F"/>
    <w:rsid w:val="005E012F"/>
    <w:rsid w:val="005E25AB"/>
    <w:rsid w:val="005E424B"/>
    <w:rsid w:val="005E4C4A"/>
    <w:rsid w:val="005E79BE"/>
    <w:rsid w:val="005F3313"/>
    <w:rsid w:val="005F3D9F"/>
    <w:rsid w:val="005F598F"/>
    <w:rsid w:val="005F6054"/>
    <w:rsid w:val="005F611F"/>
    <w:rsid w:val="005F780D"/>
    <w:rsid w:val="00600E66"/>
    <w:rsid w:val="00603ADD"/>
    <w:rsid w:val="00603DE7"/>
    <w:rsid w:val="00604326"/>
    <w:rsid w:val="006046A4"/>
    <w:rsid w:val="00605648"/>
    <w:rsid w:val="00606AC6"/>
    <w:rsid w:val="006103B5"/>
    <w:rsid w:val="00610E71"/>
    <w:rsid w:val="006121E0"/>
    <w:rsid w:val="00613708"/>
    <w:rsid w:val="00613AF4"/>
    <w:rsid w:val="00615102"/>
    <w:rsid w:val="00616B38"/>
    <w:rsid w:val="00617CC3"/>
    <w:rsid w:val="00620497"/>
    <w:rsid w:val="00621E0E"/>
    <w:rsid w:val="00622394"/>
    <w:rsid w:val="006228C3"/>
    <w:rsid w:val="00623EC9"/>
    <w:rsid w:val="006279AC"/>
    <w:rsid w:val="0063266F"/>
    <w:rsid w:val="00632671"/>
    <w:rsid w:val="00632DBB"/>
    <w:rsid w:val="0063345E"/>
    <w:rsid w:val="00636AC0"/>
    <w:rsid w:val="00636CF7"/>
    <w:rsid w:val="006377A6"/>
    <w:rsid w:val="00637A3D"/>
    <w:rsid w:val="00640F7A"/>
    <w:rsid w:val="006411EF"/>
    <w:rsid w:val="00641B34"/>
    <w:rsid w:val="00642072"/>
    <w:rsid w:val="0064270B"/>
    <w:rsid w:val="00642E4D"/>
    <w:rsid w:val="00644707"/>
    <w:rsid w:val="00645B68"/>
    <w:rsid w:val="00645CBA"/>
    <w:rsid w:val="00645FD8"/>
    <w:rsid w:val="006465BC"/>
    <w:rsid w:val="006478CC"/>
    <w:rsid w:val="00650A0C"/>
    <w:rsid w:val="00650E8E"/>
    <w:rsid w:val="00651947"/>
    <w:rsid w:val="00652DBA"/>
    <w:rsid w:val="0065420A"/>
    <w:rsid w:val="0065585F"/>
    <w:rsid w:val="00656C74"/>
    <w:rsid w:val="006600EC"/>
    <w:rsid w:val="00661763"/>
    <w:rsid w:val="006626C0"/>
    <w:rsid w:val="006635FB"/>
    <w:rsid w:val="00664CBA"/>
    <w:rsid w:val="0066513D"/>
    <w:rsid w:val="00665ACF"/>
    <w:rsid w:val="006664BD"/>
    <w:rsid w:val="006673A2"/>
    <w:rsid w:val="00667BA8"/>
    <w:rsid w:val="006719D4"/>
    <w:rsid w:val="00671B0D"/>
    <w:rsid w:val="00672621"/>
    <w:rsid w:val="0067329E"/>
    <w:rsid w:val="00674494"/>
    <w:rsid w:val="00674695"/>
    <w:rsid w:val="006748B8"/>
    <w:rsid w:val="006750BD"/>
    <w:rsid w:val="00675659"/>
    <w:rsid w:val="00675FFF"/>
    <w:rsid w:val="00676F46"/>
    <w:rsid w:val="006775C3"/>
    <w:rsid w:val="0067798B"/>
    <w:rsid w:val="00680CDA"/>
    <w:rsid w:val="00685696"/>
    <w:rsid w:val="006856C5"/>
    <w:rsid w:val="006878DB"/>
    <w:rsid w:val="00687C73"/>
    <w:rsid w:val="0069290A"/>
    <w:rsid w:val="00692989"/>
    <w:rsid w:val="00693D86"/>
    <w:rsid w:val="00696CDC"/>
    <w:rsid w:val="0069775A"/>
    <w:rsid w:val="00697813"/>
    <w:rsid w:val="006A16E3"/>
    <w:rsid w:val="006A1D00"/>
    <w:rsid w:val="006A2A80"/>
    <w:rsid w:val="006A3EB7"/>
    <w:rsid w:val="006A3EE8"/>
    <w:rsid w:val="006A5CFA"/>
    <w:rsid w:val="006A6142"/>
    <w:rsid w:val="006A6B73"/>
    <w:rsid w:val="006A6CFB"/>
    <w:rsid w:val="006A72BF"/>
    <w:rsid w:val="006B03F2"/>
    <w:rsid w:val="006B18D8"/>
    <w:rsid w:val="006B37DC"/>
    <w:rsid w:val="006B46DC"/>
    <w:rsid w:val="006B4D28"/>
    <w:rsid w:val="006B4F68"/>
    <w:rsid w:val="006B510D"/>
    <w:rsid w:val="006B595D"/>
    <w:rsid w:val="006C006F"/>
    <w:rsid w:val="006C0592"/>
    <w:rsid w:val="006C272E"/>
    <w:rsid w:val="006C35AE"/>
    <w:rsid w:val="006C3913"/>
    <w:rsid w:val="006C47D3"/>
    <w:rsid w:val="006C5479"/>
    <w:rsid w:val="006C5E51"/>
    <w:rsid w:val="006C5F01"/>
    <w:rsid w:val="006D13B5"/>
    <w:rsid w:val="006D1A8B"/>
    <w:rsid w:val="006D247E"/>
    <w:rsid w:val="006D487A"/>
    <w:rsid w:val="006D6CBA"/>
    <w:rsid w:val="006D737A"/>
    <w:rsid w:val="006E0AD8"/>
    <w:rsid w:val="006E0E05"/>
    <w:rsid w:val="006E12FF"/>
    <w:rsid w:val="006E165D"/>
    <w:rsid w:val="006E607E"/>
    <w:rsid w:val="006E7815"/>
    <w:rsid w:val="006E792F"/>
    <w:rsid w:val="006F0944"/>
    <w:rsid w:val="006F0C4A"/>
    <w:rsid w:val="006F0D72"/>
    <w:rsid w:val="006F0DB1"/>
    <w:rsid w:val="006F0F2A"/>
    <w:rsid w:val="006F3E74"/>
    <w:rsid w:val="006F4257"/>
    <w:rsid w:val="006F53E8"/>
    <w:rsid w:val="006F57BA"/>
    <w:rsid w:val="0070282E"/>
    <w:rsid w:val="007032DD"/>
    <w:rsid w:val="007043F2"/>
    <w:rsid w:val="00704407"/>
    <w:rsid w:val="00706C5D"/>
    <w:rsid w:val="00706D6C"/>
    <w:rsid w:val="00711A7F"/>
    <w:rsid w:val="00714F90"/>
    <w:rsid w:val="00715734"/>
    <w:rsid w:val="0071590D"/>
    <w:rsid w:val="00716641"/>
    <w:rsid w:val="00716B8C"/>
    <w:rsid w:val="007202CF"/>
    <w:rsid w:val="00721052"/>
    <w:rsid w:val="00722F2C"/>
    <w:rsid w:val="00723CDC"/>
    <w:rsid w:val="007245A0"/>
    <w:rsid w:val="00726774"/>
    <w:rsid w:val="00727D43"/>
    <w:rsid w:val="00727F84"/>
    <w:rsid w:val="00730798"/>
    <w:rsid w:val="007317F2"/>
    <w:rsid w:val="00732922"/>
    <w:rsid w:val="00733B75"/>
    <w:rsid w:val="007344DC"/>
    <w:rsid w:val="007403D0"/>
    <w:rsid w:val="00742EFA"/>
    <w:rsid w:val="00743402"/>
    <w:rsid w:val="00746135"/>
    <w:rsid w:val="00747507"/>
    <w:rsid w:val="00747CDE"/>
    <w:rsid w:val="007508A2"/>
    <w:rsid w:val="00750E2F"/>
    <w:rsid w:val="00751371"/>
    <w:rsid w:val="0075162E"/>
    <w:rsid w:val="00751D94"/>
    <w:rsid w:val="00754034"/>
    <w:rsid w:val="00754C04"/>
    <w:rsid w:val="00754DE8"/>
    <w:rsid w:val="007553FD"/>
    <w:rsid w:val="00755655"/>
    <w:rsid w:val="00756556"/>
    <w:rsid w:val="00757D84"/>
    <w:rsid w:val="0076056E"/>
    <w:rsid w:val="007618C4"/>
    <w:rsid w:val="00761FC2"/>
    <w:rsid w:val="0076431A"/>
    <w:rsid w:val="00765AD5"/>
    <w:rsid w:val="0076746C"/>
    <w:rsid w:val="007674A2"/>
    <w:rsid w:val="00767980"/>
    <w:rsid w:val="00767ECB"/>
    <w:rsid w:val="00770B19"/>
    <w:rsid w:val="0077321F"/>
    <w:rsid w:val="00773266"/>
    <w:rsid w:val="00773889"/>
    <w:rsid w:val="00774324"/>
    <w:rsid w:val="0077463F"/>
    <w:rsid w:val="007746B0"/>
    <w:rsid w:val="007807E6"/>
    <w:rsid w:val="007809B1"/>
    <w:rsid w:val="007836EA"/>
    <w:rsid w:val="00783897"/>
    <w:rsid w:val="00784C50"/>
    <w:rsid w:val="00784CDA"/>
    <w:rsid w:val="00785F59"/>
    <w:rsid w:val="007861A8"/>
    <w:rsid w:val="007868F1"/>
    <w:rsid w:val="007870C6"/>
    <w:rsid w:val="00787162"/>
    <w:rsid w:val="00787B17"/>
    <w:rsid w:val="00787E7B"/>
    <w:rsid w:val="007906C4"/>
    <w:rsid w:val="00791421"/>
    <w:rsid w:val="00792C72"/>
    <w:rsid w:val="00792DAF"/>
    <w:rsid w:val="00793819"/>
    <w:rsid w:val="007940EA"/>
    <w:rsid w:val="007944CE"/>
    <w:rsid w:val="0079599E"/>
    <w:rsid w:val="007967E8"/>
    <w:rsid w:val="007A211B"/>
    <w:rsid w:val="007A2170"/>
    <w:rsid w:val="007A22BF"/>
    <w:rsid w:val="007A3323"/>
    <w:rsid w:val="007A3E8F"/>
    <w:rsid w:val="007A427E"/>
    <w:rsid w:val="007A4F1D"/>
    <w:rsid w:val="007A5837"/>
    <w:rsid w:val="007A6EBD"/>
    <w:rsid w:val="007B0BD4"/>
    <w:rsid w:val="007B590A"/>
    <w:rsid w:val="007B5D33"/>
    <w:rsid w:val="007B72B8"/>
    <w:rsid w:val="007B7A58"/>
    <w:rsid w:val="007C0B2E"/>
    <w:rsid w:val="007C0D6F"/>
    <w:rsid w:val="007C11C2"/>
    <w:rsid w:val="007C14F0"/>
    <w:rsid w:val="007C21B5"/>
    <w:rsid w:val="007C3BF7"/>
    <w:rsid w:val="007C484F"/>
    <w:rsid w:val="007C57E0"/>
    <w:rsid w:val="007D04A0"/>
    <w:rsid w:val="007D1CDE"/>
    <w:rsid w:val="007D20B4"/>
    <w:rsid w:val="007D27A8"/>
    <w:rsid w:val="007D4C4F"/>
    <w:rsid w:val="007D5FF0"/>
    <w:rsid w:val="007D641A"/>
    <w:rsid w:val="007D690F"/>
    <w:rsid w:val="007E18CD"/>
    <w:rsid w:val="007E26A1"/>
    <w:rsid w:val="007E4BD2"/>
    <w:rsid w:val="007E5E72"/>
    <w:rsid w:val="007E6AF7"/>
    <w:rsid w:val="007E7DF9"/>
    <w:rsid w:val="007F0502"/>
    <w:rsid w:val="007F4BE2"/>
    <w:rsid w:val="007F51CB"/>
    <w:rsid w:val="007F5366"/>
    <w:rsid w:val="007F5E0C"/>
    <w:rsid w:val="007F6831"/>
    <w:rsid w:val="007F6E43"/>
    <w:rsid w:val="007F703C"/>
    <w:rsid w:val="007F7D6D"/>
    <w:rsid w:val="008000F8"/>
    <w:rsid w:val="00801393"/>
    <w:rsid w:val="00801BE8"/>
    <w:rsid w:val="00802F88"/>
    <w:rsid w:val="00803254"/>
    <w:rsid w:val="0080408D"/>
    <w:rsid w:val="00804817"/>
    <w:rsid w:val="008052C6"/>
    <w:rsid w:val="008053DB"/>
    <w:rsid w:val="0080545C"/>
    <w:rsid w:val="00805847"/>
    <w:rsid w:val="00807EF0"/>
    <w:rsid w:val="00812165"/>
    <w:rsid w:val="0081293E"/>
    <w:rsid w:val="00812E25"/>
    <w:rsid w:val="00813000"/>
    <w:rsid w:val="00814660"/>
    <w:rsid w:val="00814693"/>
    <w:rsid w:val="00815465"/>
    <w:rsid w:val="008179E6"/>
    <w:rsid w:val="00817E9A"/>
    <w:rsid w:val="00821518"/>
    <w:rsid w:val="00822549"/>
    <w:rsid w:val="008225DC"/>
    <w:rsid w:val="008226E8"/>
    <w:rsid w:val="008234B0"/>
    <w:rsid w:val="0082364D"/>
    <w:rsid w:val="00825D2D"/>
    <w:rsid w:val="00825DFC"/>
    <w:rsid w:val="008274EF"/>
    <w:rsid w:val="00827846"/>
    <w:rsid w:val="008306BD"/>
    <w:rsid w:val="00831A80"/>
    <w:rsid w:val="00831B0C"/>
    <w:rsid w:val="00831E68"/>
    <w:rsid w:val="008321D0"/>
    <w:rsid w:val="00832773"/>
    <w:rsid w:val="00832E3D"/>
    <w:rsid w:val="0083355C"/>
    <w:rsid w:val="00833743"/>
    <w:rsid w:val="00833B57"/>
    <w:rsid w:val="008340A4"/>
    <w:rsid w:val="00834DC5"/>
    <w:rsid w:val="00834E53"/>
    <w:rsid w:val="00835111"/>
    <w:rsid w:val="00836B17"/>
    <w:rsid w:val="008370D5"/>
    <w:rsid w:val="0084019C"/>
    <w:rsid w:val="00841AE0"/>
    <w:rsid w:val="0084520F"/>
    <w:rsid w:val="0084523F"/>
    <w:rsid w:val="008454A9"/>
    <w:rsid w:val="008476D4"/>
    <w:rsid w:val="00850DD9"/>
    <w:rsid w:val="008517EF"/>
    <w:rsid w:val="0085566F"/>
    <w:rsid w:val="008577A5"/>
    <w:rsid w:val="00857E79"/>
    <w:rsid w:val="00861B6B"/>
    <w:rsid w:val="00862BC0"/>
    <w:rsid w:val="00863580"/>
    <w:rsid w:val="00863603"/>
    <w:rsid w:val="00866BF2"/>
    <w:rsid w:val="00871220"/>
    <w:rsid w:val="0087135F"/>
    <w:rsid w:val="0087277C"/>
    <w:rsid w:val="00872D94"/>
    <w:rsid w:val="0087700F"/>
    <w:rsid w:val="00877283"/>
    <w:rsid w:val="008778C0"/>
    <w:rsid w:val="00877C7A"/>
    <w:rsid w:val="00880106"/>
    <w:rsid w:val="00880364"/>
    <w:rsid w:val="00880A8B"/>
    <w:rsid w:val="00884D49"/>
    <w:rsid w:val="00885B5A"/>
    <w:rsid w:val="00886269"/>
    <w:rsid w:val="00886385"/>
    <w:rsid w:val="00886735"/>
    <w:rsid w:val="00890215"/>
    <w:rsid w:val="00891592"/>
    <w:rsid w:val="00891DB4"/>
    <w:rsid w:val="00891E9E"/>
    <w:rsid w:val="00892DF7"/>
    <w:rsid w:val="0089477F"/>
    <w:rsid w:val="00894CA7"/>
    <w:rsid w:val="00895784"/>
    <w:rsid w:val="008962DE"/>
    <w:rsid w:val="0089698C"/>
    <w:rsid w:val="0089770D"/>
    <w:rsid w:val="00897F9A"/>
    <w:rsid w:val="008A2F68"/>
    <w:rsid w:val="008A40B9"/>
    <w:rsid w:val="008A6F48"/>
    <w:rsid w:val="008A72C2"/>
    <w:rsid w:val="008B16DC"/>
    <w:rsid w:val="008B1DA3"/>
    <w:rsid w:val="008B491B"/>
    <w:rsid w:val="008B4FA6"/>
    <w:rsid w:val="008B5282"/>
    <w:rsid w:val="008B550B"/>
    <w:rsid w:val="008B5BE3"/>
    <w:rsid w:val="008B6C3E"/>
    <w:rsid w:val="008B7C17"/>
    <w:rsid w:val="008B7D21"/>
    <w:rsid w:val="008C03D3"/>
    <w:rsid w:val="008C06BA"/>
    <w:rsid w:val="008C0ED1"/>
    <w:rsid w:val="008C18A1"/>
    <w:rsid w:val="008C291F"/>
    <w:rsid w:val="008C2C95"/>
    <w:rsid w:val="008C2D01"/>
    <w:rsid w:val="008C37BE"/>
    <w:rsid w:val="008C40E6"/>
    <w:rsid w:val="008C65A4"/>
    <w:rsid w:val="008C73CF"/>
    <w:rsid w:val="008D0848"/>
    <w:rsid w:val="008D0F7A"/>
    <w:rsid w:val="008D305C"/>
    <w:rsid w:val="008D4366"/>
    <w:rsid w:val="008D6891"/>
    <w:rsid w:val="008D68E4"/>
    <w:rsid w:val="008E0506"/>
    <w:rsid w:val="008E0CFF"/>
    <w:rsid w:val="008E1E21"/>
    <w:rsid w:val="008E3438"/>
    <w:rsid w:val="008E39D9"/>
    <w:rsid w:val="008E3B7E"/>
    <w:rsid w:val="008E3FB8"/>
    <w:rsid w:val="008E44EB"/>
    <w:rsid w:val="008E4657"/>
    <w:rsid w:val="008E4DA4"/>
    <w:rsid w:val="008E5994"/>
    <w:rsid w:val="008E5D6B"/>
    <w:rsid w:val="008E63C4"/>
    <w:rsid w:val="008E738D"/>
    <w:rsid w:val="008E76F0"/>
    <w:rsid w:val="008E7B21"/>
    <w:rsid w:val="008F15FE"/>
    <w:rsid w:val="008F1680"/>
    <w:rsid w:val="008F1C43"/>
    <w:rsid w:val="008F1F5D"/>
    <w:rsid w:val="008F2D29"/>
    <w:rsid w:val="008F49E5"/>
    <w:rsid w:val="008F5187"/>
    <w:rsid w:val="008F60D8"/>
    <w:rsid w:val="008F6460"/>
    <w:rsid w:val="008F6626"/>
    <w:rsid w:val="008F6F64"/>
    <w:rsid w:val="008F7212"/>
    <w:rsid w:val="009017C2"/>
    <w:rsid w:val="00902727"/>
    <w:rsid w:val="00902E83"/>
    <w:rsid w:val="0090312B"/>
    <w:rsid w:val="00903F85"/>
    <w:rsid w:val="00904411"/>
    <w:rsid w:val="00904FC9"/>
    <w:rsid w:val="00905D53"/>
    <w:rsid w:val="009072D5"/>
    <w:rsid w:val="00910817"/>
    <w:rsid w:val="0091164C"/>
    <w:rsid w:val="00912529"/>
    <w:rsid w:val="00916987"/>
    <w:rsid w:val="0091736D"/>
    <w:rsid w:val="00923572"/>
    <w:rsid w:val="0092428F"/>
    <w:rsid w:val="00924622"/>
    <w:rsid w:val="009246CE"/>
    <w:rsid w:val="00925B0D"/>
    <w:rsid w:val="00925DF6"/>
    <w:rsid w:val="009263DE"/>
    <w:rsid w:val="00926B78"/>
    <w:rsid w:val="00926C0E"/>
    <w:rsid w:val="0092716D"/>
    <w:rsid w:val="0093037A"/>
    <w:rsid w:val="00931B78"/>
    <w:rsid w:val="00933873"/>
    <w:rsid w:val="00933B11"/>
    <w:rsid w:val="009345C3"/>
    <w:rsid w:val="00934DAD"/>
    <w:rsid w:val="00936D35"/>
    <w:rsid w:val="00937FAC"/>
    <w:rsid w:val="009402B3"/>
    <w:rsid w:val="009405BC"/>
    <w:rsid w:val="0094154D"/>
    <w:rsid w:val="00941D26"/>
    <w:rsid w:val="00941F8B"/>
    <w:rsid w:val="0094404B"/>
    <w:rsid w:val="00944A99"/>
    <w:rsid w:val="009455F1"/>
    <w:rsid w:val="0094590C"/>
    <w:rsid w:val="00946076"/>
    <w:rsid w:val="009465C9"/>
    <w:rsid w:val="00946ECA"/>
    <w:rsid w:val="009470A1"/>
    <w:rsid w:val="00947E4E"/>
    <w:rsid w:val="00950046"/>
    <w:rsid w:val="0095087B"/>
    <w:rsid w:val="00950EE0"/>
    <w:rsid w:val="0095155F"/>
    <w:rsid w:val="009528FA"/>
    <w:rsid w:val="00953005"/>
    <w:rsid w:val="00953144"/>
    <w:rsid w:val="00954429"/>
    <w:rsid w:val="0095479A"/>
    <w:rsid w:val="009556C6"/>
    <w:rsid w:val="009563CE"/>
    <w:rsid w:val="00961043"/>
    <w:rsid w:val="00961921"/>
    <w:rsid w:val="00962D71"/>
    <w:rsid w:val="00963459"/>
    <w:rsid w:val="00963EF7"/>
    <w:rsid w:val="0096475D"/>
    <w:rsid w:val="00970B49"/>
    <w:rsid w:val="0097128B"/>
    <w:rsid w:val="00971F7B"/>
    <w:rsid w:val="009725B9"/>
    <w:rsid w:val="00975219"/>
    <w:rsid w:val="00976328"/>
    <w:rsid w:val="0097680D"/>
    <w:rsid w:val="009814EC"/>
    <w:rsid w:val="00982438"/>
    <w:rsid w:val="00982682"/>
    <w:rsid w:val="009827B1"/>
    <w:rsid w:val="00982C2B"/>
    <w:rsid w:val="009833E2"/>
    <w:rsid w:val="009836EE"/>
    <w:rsid w:val="00983A92"/>
    <w:rsid w:val="0098404C"/>
    <w:rsid w:val="00984B4D"/>
    <w:rsid w:val="00985283"/>
    <w:rsid w:val="00985E45"/>
    <w:rsid w:val="0098686E"/>
    <w:rsid w:val="0098723B"/>
    <w:rsid w:val="00992ECB"/>
    <w:rsid w:val="00995459"/>
    <w:rsid w:val="00995992"/>
    <w:rsid w:val="009963D1"/>
    <w:rsid w:val="009A03B3"/>
    <w:rsid w:val="009A03E5"/>
    <w:rsid w:val="009A0F3B"/>
    <w:rsid w:val="009A1BB4"/>
    <w:rsid w:val="009A2036"/>
    <w:rsid w:val="009A247F"/>
    <w:rsid w:val="009A2628"/>
    <w:rsid w:val="009A3200"/>
    <w:rsid w:val="009A376E"/>
    <w:rsid w:val="009A5697"/>
    <w:rsid w:val="009A7B2D"/>
    <w:rsid w:val="009A7E54"/>
    <w:rsid w:val="009B0897"/>
    <w:rsid w:val="009B0B49"/>
    <w:rsid w:val="009B0B8B"/>
    <w:rsid w:val="009B1036"/>
    <w:rsid w:val="009B1125"/>
    <w:rsid w:val="009B13F6"/>
    <w:rsid w:val="009B27AD"/>
    <w:rsid w:val="009B3012"/>
    <w:rsid w:val="009B31B3"/>
    <w:rsid w:val="009B3562"/>
    <w:rsid w:val="009B3F26"/>
    <w:rsid w:val="009B5D42"/>
    <w:rsid w:val="009B7BD9"/>
    <w:rsid w:val="009C2263"/>
    <w:rsid w:val="009C4423"/>
    <w:rsid w:val="009C4E8B"/>
    <w:rsid w:val="009C5397"/>
    <w:rsid w:val="009C5823"/>
    <w:rsid w:val="009C5ADA"/>
    <w:rsid w:val="009C5C0E"/>
    <w:rsid w:val="009C5E6E"/>
    <w:rsid w:val="009C6762"/>
    <w:rsid w:val="009C7DD5"/>
    <w:rsid w:val="009D0080"/>
    <w:rsid w:val="009D0CEA"/>
    <w:rsid w:val="009D2E1C"/>
    <w:rsid w:val="009D3787"/>
    <w:rsid w:val="009D4148"/>
    <w:rsid w:val="009D510B"/>
    <w:rsid w:val="009D5752"/>
    <w:rsid w:val="009D7937"/>
    <w:rsid w:val="009E0360"/>
    <w:rsid w:val="009E04AA"/>
    <w:rsid w:val="009E227D"/>
    <w:rsid w:val="009E35DD"/>
    <w:rsid w:val="009E3DAF"/>
    <w:rsid w:val="009E4DC9"/>
    <w:rsid w:val="009E5019"/>
    <w:rsid w:val="009E59B6"/>
    <w:rsid w:val="009F2A95"/>
    <w:rsid w:val="009F2E9C"/>
    <w:rsid w:val="009F5603"/>
    <w:rsid w:val="009F5E9A"/>
    <w:rsid w:val="009F6678"/>
    <w:rsid w:val="009F6685"/>
    <w:rsid w:val="009F6E69"/>
    <w:rsid w:val="009F6F78"/>
    <w:rsid w:val="009F7002"/>
    <w:rsid w:val="00A00922"/>
    <w:rsid w:val="00A03E3B"/>
    <w:rsid w:val="00A04C27"/>
    <w:rsid w:val="00A04F1B"/>
    <w:rsid w:val="00A0501B"/>
    <w:rsid w:val="00A05B7B"/>
    <w:rsid w:val="00A06FB8"/>
    <w:rsid w:val="00A073C4"/>
    <w:rsid w:val="00A116B7"/>
    <w:rsid w:val="00A11ED5"/>
    <w:rsid w:val="00A1231F"/>
    <w:rsid w:val="00A12661"/>
    <w:rsid w:val="00A13E5C"/>
    <w:rsid w:val="00A13E69"/>
    <w:rsid w:val="00A13F07"/>
    <w:rsid w:val="00A14947"/>
    <w:rsid w:val="00A2051C"/>
    <w:rsid w:val="00A2103B"/>
    <w:rsid w:val="00A21611"/>
    <w:rsid w:val="00A22991"/>
    <w:rsid w:val="00A2587C"/>
    <w:rsid w:val="00A259C4"/>
    <w:rsid w:val="00A25FF8"/>
    <w:rsid w:val="00A2667C"/>
    <w:rsid w:val="00A277DE"/>
    <w:rsid w:val="00A31EB4"/>
    <w:rsid w:val="00A32A83"/>
    <w:rsid w:val="00A35E91"/>
    <w:rsid w:val="00A361F2"/>
    <w:rsid w:val="00A368DB"/>
    <w:rsid w:val="00A37074"/>
    <w:rsid w:val="00A37DDA"/>
    <w:rsid w:val="00A404EB"/>
    <w:rsid w:val="00A409E5"/>
    <w:rsid w:val="00A40C15"/>
    <w:rsid w:val="00A41C29"/>
    <w:rsid w:val="00A41D98"/>
    <w:rsid w:val="00A423AA"/>
    <w:rsid w:val="00A44143"/>
    <w:rsid w:val="00A446E0"/>
    <w:rsid w:val="00A461DC"/>
    <w:rsid w:val="00A50FC1"/>
    <w:rsid w:val="00A52391"/>
    <w:rsid w:val="00A5279B"/>
    <w:rsid w:val="00A52D5C"/>
    <w:rsid w:val="00A53EC6"/>
    <w:rsid w:val="00A55C0F"/>
    <w:rsid w:val="00A56B84"/>
    <w:rsid w:val="00A56E23"/>
    <w:rsid w:val="00A60923"/>
    <w:rsid w:val="00A63FA4"/>
    <w:rsid w:val="00A65419"/>
    <w:rsid w:val="00A655DA"/>
    <w:rsid w:val="00A65EDD"/>
    <w:rsid w:val="00A705D0"/>
    <w:rsid w:val="00A70ABC"/>
    <w:rsid w:val="00A71799"/>
    <w:rsid w:val="00A718C6"/>
    <w:rsid w:val="00A728DC"/>
    <w:rsid w:val="00A72DFD"/>
    <w:rsid w:val="00A733A9"/>
    <w:rsid w:val="00A73515"/>
    <w:rsid w:val="00A749BA"/>
    <w:rsid w:val="00A74D74"/>
    <w:rsid w:val="00A74DC9"/>
    <w:rsid w:val="00A762BE"/>
    <w:rsid w:val="00A7652E"/>
    <w:rsid w:val="00A77A3A"/>
    <w:rsid w:val="00A80446"/>
    <w:rsid w:val="00A80745"/>
    <w:rsid w:val="00A80826"/>
    <w:rsid w:val="00A831E1"/>
    <w:rsid w:val="00A83605"/>
    <w:rsid w:val="00A84807"/>
    <w:rsid w:val="00A85C61"/>
    <w:rsid w:val="00A86318"/>
    <w:rsid w:val="00A86492"/>
    <w:rsid w:val="00A86D47"/>
    <w:rsid w:val="00A8713F"/>
    <w:rsid w:val="00A87CF8"/>
    <w:rsid w:val="00A90BA1"/>
    <w:rsid w:val="00A9159D"/>
    <w:rsid w:val="00A9173A"/>
    <w:rsid w:val="00A921CE"/>
    <w:rsid w:val="00A92709"/>
    <w:rsid w:val="00A92DE6"/>
    <w:rsid w:val="00A958F7"/>
    <w:rsid w:val="00A97A9A"/>
    <w:rsid w:val="00AA0671"/>
    <w:rsid w:val="00AA0C05"/>
    <w:rsid w:val="00AA110D"/>
    <w:rsid w:val="00AA2531"/>
    <w:rsid w:val="00AA2888"/>
    <w:rsid w:val="00AA4142"/>
    <w:rsid w:val="00AA5256"/>
    <w:rsid w:val="00AA6D84"/>
    <w:rsid w:val="00AA7163"/>
    <w:rsid w:val="00AB1E09"/>
    <w:rsid w:val="00AB3B4A"/>
    <w:rsid w:val="00AB5330"/>
    <w:rsid w:val="00AB58ED"/>
    <w:rsid w:val="00AB73AA"/>
    <w:rsid w:val="00AB7747"/>
    <w:rsid w:val="00AB7A1D"/>
    <w:rsid w:val="00AC14CE"/>
    <w:rsid w:val="00AC220F"/>
    <w:rsid w:val="00AC2A56"/>
    <w:rsid w:val="00AC422C"/>
    <w:rsid w:val="00AC4E7A"/>
    <w:rsid w:val="00AC5A01"/>
    <w:rsid w:val="00AC657D"/>
    <w:rsid w:val="00AD055E"/>
    <w:rsid w:val="00AD0920"/>
    <w:rsid w:val="00AD0BCC"/>
    <w:rsid w:val="00AD15B0"/>
    <w:rsid w:val="00AD34FA"/>
    <w:rsid w:val="00AD3FE1"/>
    <w:rsid w:val="00AD47A7"/>
    <w:rsid w:val="00AD47E5"/>
    <w:rsid w:val="00AD5503"/>
    <w:rsid w:val="00AD6938"/>
    <w:rsid w:val="00AD6BB2"/>
    <w:rsid w:val="00AD7F76"/>
    <w:rsid w:val="00AE5C4B"/>
    <w:rsid w:val="00AF0CBF"/>
    <w:rsid w:val="00AF1479"/>
    <w:rsid w:val="00AF1547"/>
    <w:rsid w:val="00AF1844"/>
    <w:rsid w:val="00AF257F"/>
    <w:rsid w:val="00AF2E1E"/>
    <w:rsid w:val="00AF33CF"/>
    <w:rsid w:val="00AF4D17"/>
    <w:rsid w:val="00AF4D50"/>
    <w:rsid w:val="00AF4DB0"/>
    <w:rsid w:val="00AF5A42"/>
    <w:rsid w:val="00AF5AA3"/>
    <w:rsid w:val="00AF5F31"/>
    <w:rsid w:val="00AF6179"/>
    <w:rsid w:val="00AF78F7"/>
    <w:rsid w:val="00B00598"/>
    <w:rsid w:val="00B01091"/>
    <w:rsid w:val="00B0648D"/>
    <w:rsid w:val="00B073A1"/>
    <w:rsid w:val="00B10BF6"/>
    <w:rsid w:val="00B11FF5"/>
    <w:rsid w:val="00B123A7"/>
    <w:rsid w:val="00B1295A"/>
    <w:rsid w:val="00B178A1"/>
    <w:rsid w:val="00B201BF"/>
    <w:rsid w:val="00B20A45"/>
    <w:rsid w:val="00B20F67"/>
    <w:rsid w:val="00B2275B"/>
    <w:rsid w:val="00B22C5C"/>
    <w:rsid w:val="00B22F5D"/>
    <w:rsid w:val="00B24F30"/>
    <w:rsid w:val="00B25CD1"/>
    <w:rsid w:val="00B26058"/>
    <w:rsid w:val="00B266A9"/>
    <w:rsid w:val="00B276BD"/>
    <w:rsid w:val="00B27897"/>
    <w:rsid w:val="00B27D85"/>
    <w:rsid w:val="00B30472"/>
    <w:rsid w:val="00B31ABF"/>
    <w:rsid w:val="00B322BF"/>
    <w:rsid w:val="00B32D88"/>
    <w:rsid w:val="00B33BE3"/>
    <w:rsid w:val="00B34113"/>
    <w:rsid w:val="00B34C17"/>
    <w:rsid w:val="00B352C1"/>
    <w:rsid w:val="00B35597"/>
    <w:rsid w:val="00B3569E"/>
    <w:rsid w:val="00B3645F"/>
    <w:rsid w:val="00B37A46"/>
    <w:rsid w:val="00B4258E"/>
    <w:rsid w:val="00B427E5"/>
    <w:rsid w:val="00B43919"/>
    <w:rsid w:val="00B43A99"/>
    <w:rsid w:val="00B43D36"/>
    <w:rsid w:val="00B4570C"/>
    <w:rsid w:val="00B4613F"/>
    <w:rsid w:val="00B50106"/>
    <w:rsid w:val="00B51EA4"/>
    <w:rsid w:val="00B5205B"/>
    <w:rsid w:val="00B521CA"/>
    <w:rsid w:val="00B53B5D"/>
    <w:rsid w:val="00B54C65"/>
    <w:rsid w:val="00B55180"/>
    <w:rsid w:val="00B57833"/>
    <w:rsid w:val="00B6055E"/>
    <w:rsid w:val="00B6072D"/>
    <w:rsid w:val="00B61E73"/>
    <w:rsid w:val="00B623AB"/>
    <w:rsid w:val="00B62419"/>
    <w:rsid w:val="00B6317D"/>
    <w:rsid w:val="00B63379"/>
    <w:rsid w:val="00B63699"/>
    <w:rsid w:val="00B63A31"/>
    <w:rsid w:val="00B63B59"/>
    <w:rsid w:val="00B65C32"/>
    <w:rsid w:val="00B66C1F"/>
    <w:rsid w:val="00B67956"/>
    <w:rsid w:val="00B70338"/>
    <w:rsid w:val="00B7087B"/>
    <w:rsid w:val="00B726FF"/>
    <w:rsid w:val="00B760C8"/>
    <w:rsid w:val="00B7723F"/>
    <w:rsid w:val="00B8017E"/>
    <w:rsid w:val="00B80534"/>
    <w:rsid w:val="00B82335"/>
    <w:rsid w:val="00B83370"/>
    <w:rsid w:val="00B8433C"/>
    <w:rsid w:val="00B8529C"/>
    <w:rsid w:val="00B85584"/>
    <w:rsid w:val="00B85EC4"/>
    <w:rsid w:val="00B87491"/>
    <w:rsid w:val="00B9009B"/>
    <w:rsid w:val="00B90BAB"/>
    <w:rsid w:val="00B913A4"/>
    <w:rsid w:val="00B9146F"/>
    <w:rsid w:val="00B95B03"/>
    <w:rsid w:val="00B96443"/>
    <w:rsid w:val="00B97C66"/>
    <w:rsid w:val="00BA101A"/>
    <w:rsid w:val="00BA127D"/>
    <w:rsid w:val="00BA25ED"/>
    <w:rsid w:val="00BA29E9"/>
    <w:rsid w:val="00BA40D0"/>
    <w:rsid w:val="00BA7142"/>
    <w:rsid w:val="00BA776A"/>
    <w:rsid w:val="00BB0612"/>
    <w:rsid w:val="00BB1400"/>
    <w:rsid w:val="00BB1667"/>
    <w:rsid w:val="00BB1FC2"/>
    <w:rsid w:val="00BB237C"/>
    <w:rsid w:val="00BB41A3"/>
    <w:rsid w:val="00BB513B"/>
    <w:rsid w:val="00BB51C9"/>
    <w:rsid w:val="00BB57D3"/>
    <w:rsid w:val="00BB586A"/>
    <w:rsid w:val="00BB61CF"/>
    <w:rsid w:val="00BC00DB"/>
    <w:rsid w:val="00BC0E7F"/>
    <w:rsid w:val="00BC1871"/>
    <w:rsid w:val="00BC2288"/>
    <w:rsid w:val="00BC32DC"/>
    <w:rsid w:val="00BC35B6"/>
    <w:rsid w:val="00BC367F"/>
    <w:rsid w:val="00BC4368"/>
    <w:rsid w:val="00BC493A"/>
    <w:rsid w:val="00BC7448"/>
    <w:rsid w:val="00BC76E1"/>
    <w:rsid w:val="00BD0EE0"/>
    <w:rsid w:val="00BD1B51"/>
    <w:rsid w:val="00BD230F"/>
    <w:rsid w:val="00BD3642"/>
    <w:rsid w:val="00BD425A"/>
    <w:rsid w:val="00BD4596"/>
    <w:rsid w:val="00BD4A1F"/>
    <w:rsid w:val="00BD4A80"/>
    <w:rsid w:val="00BD71C1"/>
    <w:rsid w:val="00BD736D"/>
    <w:rsid w:val="00BD76E1"/>
    <w:rsid w:val="00BE0738"/>
    <w:rsid w:val="00BE0859"/>
    <w:rsid w:val="00BE0E01"/>
    <w:rsid w:val="00BE1405"/>
    <w:rsid w:val="00BE215B"/>
    <w:rsid w:val="00BE312D"/>
    <w:rsid w:val="00BE4135"/>
    <w:rsid w:val="00BE6816"/>
    <w:rsid w:val="00BE6ABA"/>
    <w:rsid w:val="00BF02C0"/>
    <w:rsid w:val="00BF1C20"/>
    <w:rsid w:val="00BF27E2"/>
    <w:rsid w:val="00BF3528"/>
    <w:rsid w:val="00BF3E83"/>
    <w:rsid w:val="00BF5FBF"/>
    <w:rsid w:val="00BF6395"/>
    <w:rsid w:val="00C018DE"/>
    <w:rsid w:val="00C02DC9"/>
    <w:rsid w:val="00C03C4D"/>
    <w:rsid w:val="00C03DD3"/>
    <w:rsid w:val="00C05BA9"/>
    <w:rsid w:val="00C06F86"/>
    <w:rsid w:val="00C10203"/>
    <w:rsid w:val="00C10578"/>
    <w:rsid w:val="00C11922"/>
    <w:rsid w:val="00C135BC"/>
    <w:rsid w:val="00C1372F"/>
    <w:rsid w:val="00C14851"/>
    <w:rsid w:val="00C153B3"/>
    <w:rsid w:val="00C1571B"/>
    <w:rsid w:val="00C15948"/>
    <w:rsid w:val="00C15C95"/>
    <w:rsid w:val="00C1644F"/>
    <w:rsid w:val="00C21555"/>
    <w:rsid w:val="00C21928"/>
    <w:rsid w:val="00C22DC9"/>
    <w:rsid w:val="00C2351E"/>
    <w:rsid w:val="00C2352F"/>
    <w:rsid w:val="00C23990"/>
    <w:rsid w:val="00C24E3A"/>
    <w:rsid w:val="00C2596A"/>
    <w:rsid w:val="00C259C4"/>
    <w:rsid w:val="00C26971"/>
    <w:rsid w:val="00C27537"/>
    <w:rsid w:val="00C31678"/>
    <w:rsid w:val="00C328FE"/>
    <w:rsid w:val="00C33507"/>
    <w:rsid w:val="00C40789"/>
    <w:rsid w:val="00C40E9D"/>
    <w:rsid w:val="00C42040"/>
    <w:rsid w:val="00C429C8"/>
    <w:rsid w:val="00C43398"/>
    <w:rsid w:val="00C43D9A"/>
    <w:rsid w:val="00C4409D"/>
    <w:rsid w:val="00C44E72"/>
    <w:rsid w:val="00C45A06"/>
    <w:rsid w:val="00C4797A"/>
    <w:rsid w:val="00C47E5B"/>
    <w:rsid w:val="00C5077F"/>
    <w:rsid w:val="00C52D08"/>
    <w:rsid w:val="00C52E3B"/>
    <w:rsid w:val="00C53D94"/>
    <w:rsid w:val="00C5798D"/>
    <w:rsid w:val="00C60555"/>
    <w:rsid w:val="00C60A03"/>
    <w:rsid w:val="00C60B95"/>
    <w:rsid w:val="00C61E4B"/>
    <w:rsid w:val="00C62408"/>
    <w:rsid w:val="00C624D2"/>
    <w:rsid w:val="00C64449"/>
    <w:rsid w:val="00C64BFF"/>
    <w:rsid w:val="00C64EEE"/>
    <w:rsid w:val="00C66595"/>
    <w:rsid w:val="00C704E9"/>
    <w:rsid w:val="00C7114D"/>
    <w:rsid w:val="00C72C79"/>
    <w:rsid w:val="00C7435F"/>
    <w:rsid w:val="00C748E5"/>
    <w:rsid w:val="00C763C9"/>
    <w:rsid w:val="00C770F4"/>
    <w:rsid w:val="00C773FF"/>
    <w:rsid w:val="00C77F30"/>
    <w:rsid w:val="00C80057"/>
    <w:rsid w:val="00C816D3"/>
    <w:rsid w:val="00C82232"/>
    <w:rsid w:val="00C82913"/>
    <w:rsid w:val="00C833F0"/>
    <w:rsid w:val="00C83D3E"/>
    <w:rsid w:val="00C84E0B"/>
    <w:rsid w:val="00C8571D"/>
    <w:rsid w:val="00C85EA1"/>
    <w:rsid w:val="00C872E2"/>
    <w:rsid w:val="00C87CC3"/>
    <w:rsid w:val="00C93C5D"/>
    <w:rsid w:val="00C93EA5"/>
    <w:rsid w:val="00C950DF"/>
    <w:rsid w:val="00C966BB"/>
    <w:rsid w:val="00C96BD2"/>
    <w:rsid w:val="00C972B1"/>
    <w:rsid w:val="00CA0C52"/>
    <w:rsid w:val="00CA2CCE"/>
    <w:rsid w:val="00CA36AD"/>
    <w:rsid w:val="00CA3FC0"/>
    <w:rsid w:val="00CA43FD"/>
    <w:rsid w:val="00CA5166"/>
    <w:rsid w:val="00CA5D5A"/>
    <w:rsid w:val="00CA7EF8"/>
    <w:rsid w:val="00CB0A38"/>
    <w:rsid w:val="00CB190D"/>
    <w:rsid w:val="00CB637C"/>
    <w:rsid w:val="00CB78AA"/>
    <w:rsid w:val="00CC0F1F"/>
    <w:rsid w:val="00CC384C"/>
    <w:rsid w:val="00CC4270"/>
    <w:rsid w:val="00CC489B"/>
    <w:rsid w:val="00CC58E0"/>
    <w:rsid w:val="00CC5BE7"/>
    <w:rsid w:val="00CC7464"/>
    <w:rsid w:val="00CD14A9"/>
    <w:rsid w:val="00CD1AD8"/>
    <w:rsid w:val="00CD2BCD"/>
    <w:rsid w:val="00CD3A4C"/>
    <w:rsid w:val="00CD4297"/>
    <w:rsid w:val="00CD49EA"/>
    <w:rsid w:val="00CD4DF0"/>
    <w:rsid w:val="00CD53F9"/>
    <w:rsid w:val="00CD55FE"/>
    <w:rsid w:val="00CD579D"/>
    <w:rsid w:val="00CD76D3"/>
    <w:rsid w:val="00CE10E9"/>
    <w:rsid w:val="00CE194C"/>
    <w:rsid w:val="00CE2910"/>
    <w:rsid w:val="00CE2BC5"/>
    <w:rsid w:val="00CE3E6C"/>
    <w:rsid w:val="00CE4FD5"/>
    <w:rsid w:val="00CE5393"/>
    <w:rsid w:val="00CE5886"/>
    <w:rsid w:val="00CE68C7"/>
    <w:rsid w:val="00CE774D"/>
    <w:rsid w:val="00CE7D8E"/>
    <w:rsid w:val="00CE7F3E"/>
    <w:rsid w:val="00CF2994"/>
    <w:rsid w:val="00CF2B4A"/>
    <w:rsid w:val="00CF36BE"/>
    <w:rsid w:val="00CF371A"/>
    <w:rsid w:val="00CF3B17"/>
    <w:rsid w:val="00CF4FCB"/>
    <w:rsid w:val="00CF6000"/>
    <w:rsid w:val="00CF721A"/>
    <w:rsid w:val="00CF78DE"/>
    <w:rsid w:val="00D003F3"/>
    <w:rsid w:val="00D02506"/>
    <w:rsid w:val="00D02C2D"/>
    <w:rsid w:val="00D0364F"/>
    <w:rsid w:val="00D06834"/>
    <w:rsid w:val="00D07244"/>
    <w:rsid w:val="00D10A22"/>
    <w:rsid w:val="00D13239"/>
    <w:rsid w:val="00D149AD"/>
    <w:rsid w:val="00D15E1A"/>
    <w:rsid w:val="00D178FC"/>
    <w:rsid w:val="00D20251"/>
    <w:rsid w:val="00D213E7"/>
    <w:rsid w:val="00D24F11"/>
    <w:rsid w:val="00D25665"/>
    <w:rsid w:val="00D27976"/>
    <w:rsid w:val="00D302F4"/>
    <w:rsid w:val="00D30854"/>
    <w:rsid w:val="00D308ED"/>
    <w:rsid w:val="00D31989"/>
    <w:rsid w:val="00D31D86"/>
    <w:rsid w:val="00D32634"/>
    <w:rsid w:val="00D32CD7"/>
    <w:rsid w:val="00D32E71"/>
    <w:rsid w:val="00D33BFF"/>
    <w:rsid w:val="00D33FCC"/>
    <w:rsid w:val="00D342F3"/>
    <w:rsid w:val="00D3539E"/>
    <w:rsid w:val="00D36D86"/>
    <w:rsid w:val="00D37738"/>
    <w:rsid w:val="00D41CA5"/>
    <w:rsid w:val="00D428AA"/>
    <w:rsid w:val="00D429E9"/>
    <w:rsid w:val="00D439C9"/>
    <w:rsid w:val="00D43F96"/>
    <w:rsid w:val="00D50A2B"/>
    <w:rsid w:val="00D50A34"/>
    <w:rsid w:val="00D53EFA"/>
    <w:rsid w:val="00D55129"/>
    <w:rsid w:val="00D55F09"/>
    <w:rsid w:val="00D57279"/>
    <w:rsid w:val="00D606F7"/>
    <w:rsid w:val="00D61571"/>
    <w:rsid w:val="00D61D5C"/>
    <w:rsid w:val="00D629C7"/>
    <w:rsid w:val="00D63A53"/>
    <w:rsid w:val="00D63D88"/>
    <w:rsid w:val="00D65F43"/>
    <w:rsid w:val="00D6688D"/>
    <w:rsid w:val="00D66920"/>
    <w:rsid w:val="00D677F2"/>
    <w:rsid w:val="00D70B93"/>
    <w:rsid w:val="00D717A0"/>
    <w:rsid w:val="00D722D5"/>
    <w:rsid w:val="00D72399"/>
    <w:rsid w:val="00D72E5A"/>
    <w:rsid w:val="00D76756"/>
    <w:rsid w:val="00D76B69"/>
    <w:rsid w:val="00D772AA"/>
    <w:rsid w:val="00D7790E"/>
    <w:rsid w:val="00D84770"/>
    <w:rsid w:val="00D865D2"/>
    <w:rsid w:val="00D90BB1"/>
    <w:rsid w:val="00D93657"/>
    <w:rsid w:val="00D93802"/>
    <w:rsid w:val="00D94A7C"/>
    <w:rsid w:val="00D94EE9"/>
    <w:rsid w:val="00D95896"/>
    <w:rsid w:val="00D96BA6"/>
    <w:rsid w:val="00D97057"/>
    <w:rsid w:val="00D97B6D"/>
    <w:rsid w:val="00DA0D8A"/>
    <w:rsid w:val="00DA1E14"/>
    <w:rsid w:val="00DA56A1"/>
    <w:rsid w:val="00DA60D4"/>
    <w:rsid w:val="00DA681A"/>
    <w:rsid w:val="00DA6D2D"/>
    <w:rsid w:val="00DB0460"/>
    <w:rsid w:val="00DB078F"/>
    <w:rsid w:val="00DB2983"/>
    <w:rsid w:val="00DB2A8A"/>
    <w:rsid w:val="00DB3982"/>
    <w:rsid w:val="00DB4CC3"/>
    <w:rsid w:val="00DB56A6"/>
    <w:rsid w:val="00DB5BF9"/>
    <w:rsid w:val="00DB5C63"/>
    <w:rsid w:val="00DB71DD"/>
    <w:rsid w:val="00DB77BE"/>
    <w:rsid w:val="00DB77CE"/>
    <w:rsid w:val="00DB7D7D"/>
    <w:rsid w:val="00DB7EB5"/>
    <w:rsid w:val="00DC1159"/>
    <w:rsid w:val="00DC1257"/>
    <w:rsid w:val="00DC177F"/>
    <w:rsid w:val="00DC1E50"/>
    <w:rsid w:val="00DC1FE9"/>
    <w:rsid w:val="00DC37DE"/>
    <w:rsid w:val="00DC3DC0"/>
    <w:rsid w:val="00DC5B2B"/>
    <w:rsid w:val="00DC5DB0"/>
    <w:rsid w:val="00DC79FA"/>
    <w:rsid w:val="00DD2816"/>
    <w:rsid w:val="00DD2D56"/>
    <w:rsid w:val="00DD2F84"/>
    <w:rsid w:val="00DD318D"/>
    <w:rsid w:val="00DD3688"/>
    <w:rsid w:val="00DD6131"/>
    <w:rsid w:val="00DD66DE"/>
    <w:rsid w:val="00DE05A0"/>
    <w:rsid w:val="00DE19B5"/>
    <w:rsid w:val="00DE2E99"/>
    <w:rsid w:val="00DE3E20"/>
    <w:rsid w:val="00DE532D"/>
    <w:rsid w:val="00DE7FF2"/>
    <w:rsid w:val="00DF0BE7"/>
    <w:rsid w:val="00DF2E12"/>
    <w:rsid w:val="00DF514A"/>
    <w:rsid w:val="00DF5CF9"/>
    <w:rsid w:val="00DF6690"/>
    <w:rsid w:val="00DF6804"/>
    <w:rsid w:val="00E00124"/>
    <w:rsid w:val="00E00A57"/>
    <w:rsid w:val="00E00CF4"/>
    <w:rsid w:val="00E02336"/>
    <w:rsid w:val="00E02751"/>
    <w:rsid w:val="00E032F8"/>
    <w:rsid w:val="00E0358D"/>
    <w:rsid w:val="00E04323"/>
    <w:rsid w:val="00E043A6"/>
    <w:rsid w:val="00E052BA"/>
    <w:rsid w:val="00E05CA2"/>
    <w:rsid w:val="00E070A2"/>
    <w:rsid w:val="00E078BC"/>
    <w:rsid w:val="00E07CCB"/>
    <w:rsid w:val="00E109E2"/>
    <w:rsid w:val="00E12538"/>
    <w:rsid w:val="00E12661"/>
    <w:rsid w:val="00E1431A"/>
    <w:rsid w:val="00E143CD"/>
    <w:rsid w:val="00E14AE3"/>
    <w:rsid w:val="00E14C1C"/>
    <w:rsid w:val="00E151B7"/>
    <w:rsid w:val="00E1572B"/>
    <w:rsid w:val="00E1668E"/>
    <w:rsid w:val="00E17358"/>
    <w:rsid w:val="00E17AB6"/>
    <w:rsid w:val="00E20B41"/>
    <w:rsid w:val="00E213EC"/>
    <w:rsid w:val="00E23AFB"/>
    <w:rsid w:val="00E26444"/>
    <w:rsid w:val="00E2656A"/>
    <w:rsid w:val="00E26E36"/>
    <w:rsid w:val="00E31C3E"/>
    <w:rsid w:val="00E32F5C"/>
    <w:rsid w:val="00E3315E"/>
    <w:rsid w:val="00E35814"/>
    <w:rsid w:val="00E366C3"/>
    <w:rsid w:val="00E373F2"/>
    <w:rsid w:val="00E40A39"/>
    <w:rsid w:val="00E412D0"/>
    <w:rsid w:val="00E4395F"/>
    <w:rsid w:val="00E47374"/>
    <w:rsid w:val="00E477A5"/>
    <w:rsid w:val="00E526CF"/>
    <w:rsid w:val="00E5447C"/>
    <w:rsid w:val="00E56322"/>
    <w:rsid w:val="00E57451"/>
    <w:rsid w:val="00E60982"/>
    <w:rsid w:val="00E6143B"/>
    <w:rsid w:val="00E614AD"/>
    <w:rsid w:val="00E62C62"/>
    <w:rsid w:val="00E64A17"/>
    <w:rsid w:val="00E652A6"/>
    <w:rsid w:val="00E654C1"/>
    <w:rsid w:val="00E65D97"/>
    <w:rsid w:val="00E719CB"/>
    <w:rsid w:val="00E72A5A"/>
    <w:rsid w:val="00E72C33"/>
    <w:rsid w:val="00E73354"/>
    <w:rsid w:val="00E7372A"/>
    <w:rsid w:val="00E757F4"/>
    <w:rsid w:val="00E77A05"/>
    <w:rsid w:val="00E800DF"/>
    <w:rsid w:val="00E80D93"/>
    <w:rsid w:val="00E80DC4"/>
    <w:rsid w:val="00E82459"/>
    <w:rsid w:val="00E826BF"/>
    <w:rsid w:val="00E82A1C"/>
    <w:rsid w:val="00E83A21"/>
    <w:rsid w:val="00E86F83"/>
    <w:rsid w:val="00E87562"/>
    <w:rsid w:val="00E87AB5"/>
    <w:rsid w:val="00E87F6D"/>
    <w:rsid w:val="00E9047D"/>
    <w:rsid w:val="00E9242D"/>
    <w:rsid w:val="00E930E1"/>
    <w:rsid w:val="00E952F6"/>
    <w:rsid w:val="00E955E3"/>
    <w:rsid w:val="00E95D1B"/>
    <w:rsid w:val="00E95DE6"/>
    <w:rsid w:val="00EA0683"/>
    <w:rsid w:val="00EA1B57"/>
    <w:rsid w:val="00EA2C83"/>
    <w:rsid w:val="00EA3AC4"/>
    <w:rsid w:val="00EA3C98"/>
    <w:rsid w:val="00EA62A0"/>
    <w:rsid w:val="00EA6575"/>
    <w:rsid w:val="00EA7749"/>
    <w:rsid w:val="00EB1AE6"/>
    <w:rsid w:val="00EB1F36"/>
    <w:rsid w:val="00EB270A"/>
    <w:rsid w:val="00EB3A12"/>
    <w:rsid w:val="00EB5255"/>
    <w:rsid w:val="00EB593D"/>
    <w:rsid w:val="00EB5C47"/>
    <w:rsid w:val="00EB64C1"/>
    <w:rsid w:val="00EB6A4D"/>
    <w:rsid w:val="00EB6F73"/>
    <w:rsid w:val="00EB7C2B"/>
    <w:rsid w:val="00EC096B"/>
    <w:rsid w:val="00EC17F9"/>
    <w:rsid w:val="00EC4D32"/>
    <w:rsid w:val="00EC5139"/>
    <w:rsid w:val="00EC6926"/>
    <w:rsid w:val="00EC752D"/>
    <w:rsid w:val="00EC761E"/>
    <w:rsid w:val="00ED0639"/>
    <w:rsid w:val="00ED0E09"/>
    <w:rsid w:val="00ED1796"/>
    <w:rsid w:val="00ED2829"/>
    <w:rsid w:val="00ED3908"/>
    <w:rsid w:val="00ED3C41"/>
    <w:rsid w:val="00EE2A37"/>
    <w:rsid w:val="00EE6319"/>
    <w:rsid w:val="00EE7576"/>
    <w:rsid w:val="00EF1A9F"/>
    <w:rsid w:val="00EF4755"/>
    <w:rsid w:val="00EF48B2"/>
    <w:rsid w:val="00EF4F7D"/>
    <w:rsid w:val="00EF7135"/>
    <w:rsid w:val="00F01763"/>
    <w:rsid w:val="00F024F9"/>
    <w:rsid w:val="00F027DB"/>
    <w:rsid w:val="00F03329"/>
    <w:rsid w:val="00F03D73"/>
    <w:rsid w:val="00F05719"/>
    <w:rsid w:val="00F06AAC"/>
    <w:rsid w:val="00F06ADE"/>
    <w:rsid w:val="00F07BA8"/>
    <w:rsid w:val="00F102E2"/>
    <w:rsid w:val="00F12E17"/>
    <w:rsid w:val="00F1316A"/>
    <w:rsid w:val="00F14A7A"/>
    <w:rsid w:val="00F157C3"/>
    <w:rsid w:val="00F17352"/>
    <w:rsid w:val="00F17A3F"/>
    <w:rsid w:val="00F22985"/>
    <w:rsid w:val="00F27D59"/>
    <w:rsid w:val="00F304D5"/>
    <w:rsid w:val="00F31425"/>
    <w:rsid w:val="00F328F2"/>
    <w:rsid w:val="00F3383E"/>
    <w:rsid w:val="00F3703C"/>
    <w:rsid w:val="00F3719D"/>
    <w:rsid w:val="00F37C8B"/>
    <w:rsid w:val="00F37F73"/>
    <w:rsid w:val="00F40206"/>
    <w:rsid w:val="00F40EC2"/>
    <w:rsid w:val="00F43188"/>
    <w:rsid w:val="00F4456B"/>
    <w:rsid w:val="00F453AF"/>
    <w:rsid w:val="00F465A7"/>
    <w:rsid w:val="00F472BF"/>
    <w:rsid w:val="00F47610"/>
    <w:rsid w:val="00F476BD"/>
    <w:rsid w:val="00F50B7C"/>
    <w:rsid w:val="00F52B47"/>
    <w:rsid w:val="00F53219"/>
    <w:rsid w:val="00F550E6"/>
    <w:rsid w:val="00F56291"/>
    <w:rsid w:val="00F57034"/>
    <w:rsid w:val="00F5713F"/>
    <w:rsid w:val="00F60F29"/>
    <w:rsid w:val="00F61032"/>
    <w:rsid w:val="00F64077"/>
    <w:rsid w:val="00F6505B"/>
    <w:rsid w:val="00F650D2"/>
    <w:rsid w:val="00F71002"/>
    <w:rsid w:val="00F71108"/>
    <w:rsid w:val="00F7149D"/>
    <w:rsid w:val="00F72674"/>
    <w:rsid w:val="00F72E10"/>
    <w:rsid w:val="00F72E29"/>
    <w:rsid w:val="00F7326F"/>
    <w:rsid w:val="00F734B7"/>
    <w:rsid w:val="00F7354C"/>
    <w:rsid w:val="00F73D5A"/>
    <w:rsid w:val="00F74345"/>
    <w:rsid w:val="00F74527"/>
    <w:rsid w:val="00F748CF"/>
    <w:rsid w:val="00F752C1"/>
    <w:rsid w:val="00F76226"/>
    <w:rsid w:val="00F767D6"/>
    <w:rsid w:val="00F80A0A"/>
    <w:rsid w:val="00F81351"/>
    <w:rsid w:val="00F813D8"/>
    <w:rsid w:val="00F81408"/>
    <w:rsid w:val="00F82B19"/>
    <w:rsid w:val="00F834A6"/>
    <w:rsid w:val="00F84A27"/>
    <w:rsid w:val="00F84CCA"/>
    <w:rsid w:val="00F859CA"/>
    <w:rsid w:val="00F85F23"/>
    <w:rsid w:val="00F86FDD"/>
    <w:rsid w:val="00F874A9"/>
    <w:rsid w:val="00F87D66"/>
    <w:rsid w:val="00F908AE"/>
    <w:rsid w:val="00F9212D"/>
    <w:rsid w:val="00F9266B"/>
    <w:rsid w:val="00F92890"/>
    <w:rsid w:val="00F92F64"/>
    <w:rsid w:val="00F93EDC"/>
    <w:rsid w:val="00F9503C"/>
    <w:rsid w:val="00F965DA"/>
    <w:rsid w:val="00F9793D"/>
    <w:rsid w:val="00FA0B32"/>
    <w:rsid w:val="00FA406A"/>
    <w:rsid w:val="00FA4ADF"/>
    <w:rsid w:val="00FA68E8"/>
    <w:rsid w:val="00FB01F8"/>
    <w:rsid w:val="00FB16C2"/>
    <w:rsid w:val="00FB1AFA"/>
    <w:rsid w:val="00FB1D0E"/>
    <w:rsid w:val="00FB2331"/>
    <w:rsid w:val="00FB41C9"/>
    <w:rsid w:val="00FB503A"/>
    <w:rsid w:val="00FB516C"/>
    <w:rsid w:val="00FB5188"/>
    <w:rsid w:val="00FB66D8"/>
    <w:rsid w:val="00FB6F8B"/>
    <w:rsid w:val="00FC2DAD"/>
    <w:rsid w:val="00FC2F81"/>
    <w:rsid w:val="00FC35EF"/>
    <w:rsid w:val="00FC3CB2"/>
    <w:rsid w:val="00FC5F7F"/>
    <w:rsid w:val="00FC6917"/>
    <w:rsid w:val="00FC70E2"/>
    <w:rsid w:val="00FC7300"/>
    <w:rsid w:val="00FC7ED0"/>
    <w:rsid w:val="00FD0236"/>
    <w:rsid w:val="00FD0A0E"/>
    <w:rsid w:val="00FD18F4"/>
    <w:rsid w:val="00FD3C87"/>
    <w:rsid w:val="00FD54DB"/>
    <w:rsid w:val="00FD619F"/>
    <w:rsid w:val="00FD6BB7"/>
    <w:rsid w:val="00FD758D"/>
    <w:rsid w:val="00FD7E16"/>
    <w:rsid w:val="00FE1C93"/>
    <w:rsid w:val="00FE375C"/>
    <w:rsid w:val="00FE4F35"/>
    <w:rsid w:val="00FE5A1A"/>
    <w:rsid w:val="00FE79CD"/>
    <w:rsid w:val="00FF07E1"/>
    <w:rsid w:val="00FF0B53"/>
    <w:rsid w:val="00FF3AE7"/>
    <w:rsid w:val="00FF5DC8"/>
    <w:rsid w:val="00FF6085"/>
    <w:rsid w:val="01290F7E"/>
    <w:rsid w:val="01513704"/>
    <w:rsid w:val="015D1E09"/>
    <w:rsid w:val="017651C8"/>
    <w:rsid w:val="0186082B"/>
    <w:rsid w:val="026844F7"/>
    <w:rsid w:val="02697903"/>
    <w:rsid w:val="02F96569"/>
    <w:rsid w:val="03583BD6"/>
    <w:rsid w:val="037C104C"/>
    <w:rsid w:val="03830287"/>
    <w:rsid w:val="03DA33C0"/>
    <w:rsid w:val="03EA7B21"/>
    <w:rsid w:val="04AD7BDE"/>
    <w:rsid w:val="04ED3247"/>
    <w:rsid w:val="05F83EAE"/>
    <w:rsid w:val="063E7D85"/>
    <w:rsid w:val="06551CF6"/>
    <w:rsid w:val="06A40AEE"/>
    <w:rsid w:val="07293586"/>
    <w:rsid w:val="07295285"/>
    <w:rsid w:val="07636392"/>
    <w:rsid w:val="07770C56"/>
    <w:rsid w:val="092217DD"/>
    <w:rsid w:val="093A7294"/>
    <w:rsid w:val="099131D6"/>
    <w:rsid w:val="0A104A79"/>
    <w:rsid w:val="0A263993"/>
    <w:rsid w:val="0A2D3AC2"/>
    <w:rsid w:val="0A9F0BB5"/>
    <w:rsid w:val="0AA755DF"/>
    <w:rsid w:val="0AB8716C"/>
    <w:rsid w:val="0B120D44"/>
    <w:rsid w:val="0B4268B4"/>
    <w:rsid w:val="0B541E4C"/>
    <w:rsid w:val="0B7A6D35"/>
    <w:rsid w:val="0BD27BF6"/>
    <w:rsid w:val="0C3B3C7D"/>
    <w:rsid w:val="0CAB2EAE"/>
    <w:rsid w:val="0D621C7D"/>
    <w:rsid w:val="0D996110"/>
    <w:rsid w:val="0E73034D"/>
    <w:rsid w:val="0F045960"/>
    <w:rsid w:val="0F13775A"/>
    <w:rsid w:val="0F5F45FE"/>
    <w:rsid w:val="0F9A112B"/>
    <w:rsid w:val="106D2F64"/>
    <w:rsid w:val="10B63710"/>
    <w:rsid w:val="10F10820"/>
    <w:rsid w:val="111C2F7A"/>
    <w:rsid w:val="11665CA1"/>
    <w:rsid w:val="11D165EF"/>
    <w:rsid w:val="11D5749C"/>
    <w:rsid w:val="125702D4"/>
    <w:rsid w:val="12645B28"/>
    <w:rsid w:val="13951726"/>
    <w:rsid w:val="140B3847"/>
    <w:rsid w:val="14175BA3"/>
    <w:rsid w:val="14396509"/>
    <w:rsid w:val="144716EE"/>
    <w:rsid w:val="14C873F0"/>
    <w:rsid w:val="14DD2C3C"/>
    <w:rsid w:val="15BF6246"/>
    <w:rsid w:val="16087E1D"/>
    <w:rsid w:val="17121278"/>
    <w:rsid w:val="17701D14"/>
    <w:rsid w:val="17735226"/>
    <w:rsid w:val="189F624C"/>
    <w:rsid w:val="18E75786"/>
    <w:rsid w:val="19D454DE"/>
    <w:rsid w:val="1A1C66C0"/>
    <w:rsid w:val="1A42393B"/>
    <w:rsid w:val="1AAD45DE"/>
    <w:rsid w:val="1ACD2EDE"/>
    <w:rsid w:val="1B046F80"/>
    <w:rsid w:val="1B3267B5"/>
    <w:rsid w:val="1B40161D"/>
    <w:rsid w:val="1B441859"/>
    <w:rsid w:val="1B6606B1"/>
    <w:rsid w:val="1BCB3DEB"/>
    <w:rsid w:val="1BE7774A"/>
    <w:rsid w:val="1C5E7925"/>
    <w:rsid w:val="1C7561C0"/>
    <w:rsid w:val="1CFD070F"/>
    <w:rsid w:val="1D07732D"/>
    <w:rsid w:val="1D5F6196"/>
    <w:rsid w:val="1D6132A5"/>
    <w:rsid w:val="1D660464"/>
    <w:rsid w:val="1D6E1196"/>
    <w:rsid w:val="1D8E56D5"/>
    <w:rsid w:val="1E182A15"/>
    <w:rsid w:val="1E3D4887"/>
    <w:rsid w:val="1E7A43DA"/>
    <w:rsid w:val="1F5C4688"/>
    <w:rsid w:val="1FE7539E"/>
    <w:rsid w:val="20635625"/>
    <w:rsid w:val="20671BE0"/>
    <w:rsid w:val="20963CB8"/>
    <w:rsid w:val="20A81A1B"/>
    <w:rsid w:val="20B07FB6"/>
    <w:rsid w:val="20B646FB"/>
    <w:rsid w:val="213B74B1"/>
    <w:rsid w:val="215A2310"/>
    <w:rsid w:val="216D4200"/>
    <w:rsid w:val="21DE318A"/>
    <w:rsid w:val="21E609C6"/>
    <w:rsid w:val="21EF5B80"/>
    <w:rsid w:val="22576990"/>
    <w:rsid w:val="22F47480"/>
    <w:rsid w:val="23DE1C48"/>
    <w:rsid w:val="240210CD"/>
    <w:rsid w:val="24BF09F7"/>
    <w:rsid w:val="24CF1A9D"/>
    <w:rsid w:val="24EB1A19"/>
    <w:rsid w:val="25144252"/>
    <w:rsid w:val="252D53FE"/>
    <w:rsid w:val="25EC2D81"/>
    <w:rsid w:val="26761830"/>
    <w:rsid w:val="277057A2"/>
    <w:rsid w:val="290E4801"/>
    <w:rsid w:val="29206EB8"/>
    <w:rsid w:val="29595666"/>
    <w:rsid w:val="29874881"/>
    <w:rsid w:val="29E325E0"/>
    <w:rsid w:val="29F33681"/>
    <w:rsid w:val="2A3A0527"/>
    <w:rsid w:val="2A452503"/>
    <w:rsid w:val="2A74238E"/>
    <w:rsid w:val="2B6E7AF3"/>
    <w:rsid w:val="2BA815E4"/>
    <w:rsid w:val="2BA936A8"/>
    <w:rsid w:val="2C315A5A"/>
    <w:rsid w:val="2C4B1C25"/>
    <w:rsid w:val="2C7904FC"/>
    <w:rsid w:val="2CE77AE2"/>
    <w:rsid w:val="2D2D174C"/>
    <w:rsid w:val="2D9E56F5"/>
    <w:rsid w:val="2DB41456"/>
    <w:rsid w:val="2DB77D18"/>
    <w:rsid w:val="2E243C6E"/>
    <w:rsid w:val="2E5F6982"/>
    <w:rsid w:val="2E667F96"/>
    <w:rsid w:val="2E8226AB"/>
    <w:rsid w:val="2E9172C0"/>
    <w:rsid w:val="2FD065E6"/>
    <w:rsid w:val="2FD96870"/>
    <w:rsid w:val="30197D62"/>
    <w:rsid w:val="302346DF"/>
    <w:rsid w:val="30580BC9"/>
    <w:rsid w:val="30702EA9"/>
    <w:rsid w:val="30F0001D"/>
    <w:rsid w:val="311E2ED7"/>
    <w:rsid w:val="315619EE"/>
    <w:rsid w:val="315C449C"/>
    <w:rsid w:val="31B82709"/>
    <w:rsid w:val="31D05482"/>
    <w:rsid w:val="32400B34"/>
    <w:rsid w:val="32402C9D"/>
    <w:rsid w:val="329E6876"/>
    <w:rsid w:val="32B75EAA"/>
    <w:rsid w:val="333015F2"/>
    <w:rsid w:val="334B6320"/>
    <w:rsid w:val="33D934D4"/>
    <w:rsid w:val="33FE2F6A"/>
    <w:rsid w:val="340E07E5"/>
    <w:rsid w:val="34235BF7"/>
    <w:rsid w:val="343433D9"/>
    <w:rsid w:val="351411AC"/>
    <w:rsid w:val="358C5FA8"/>
    <w:rsid w:val="35C15DF1"/>
    <w:rsid w:val="36074A7F"/>
    <w:rsid w:val="361A3C37"/>
    <w:rsid w:val="36923549"/>
    <w:rsid w:val="36B21AA1"/>
    <w:rsid w:val="36B75FBF"/>
    <w:rsid w:val="36BD0C45"/>
    <w:rsid w:val="374C71FB"/>
    <w:rsid w:val="37E00298"/>
    <w:rsid w:val="3882366C"/>
    <w:rsid w:val="38B302F9"/>
    <w:rsid w:val="38F12CD3"/>
    <w:rsid w:val="38F94775"/>
    <w:rsid w:val="392971ED"/>
    <w:rsid w:val="39325651"/>
    <w:rsid w:val="3A872856"/>
    <w:rsid w:val="3B3763D1"/>
    <w:rsid w:val="3B443783"/>
    <w:rsid w:val="3C2F6E1E"/>
    <w:rsid w:val="3C4144F5"/>
    <w:rsid w:val="3C4F64BA"/>
    <w:rsid w:val="3C773D6B"/>
    <w:rsid w:val="3CC77905"/>
    <w:rsid w:val="3CDA245A"/>
    <w:rsid w:val="3D1E06B7"/>
    <w:rsid w:val="3EDA0523"/>
    <w:rsid w:val="3EE525A5"/>
    <w:rsid w:val="401F0FA4"/>
    <w:rsid w:val="407A6407"/>
    <w:rsid w:val="415D6DEF"/>
    <w:rsid w:val="4200449D"/>
    <w:rsid w:val="4210185B"/>
    <w:rsid w:val="423A3BCC"/>
    <w:rsid w:val="424E57D2"/>
    <w:rsid w:val="426A6201"/>
    <w:rsid w:val="42B26C49"/>
    <w:rsid w:val="430477BC"/>
    <w:rsid w:val="433A6FE6"/>
    <w:rsid w:val="43480868"/>
    <w:rsid w:val="4350713C"/>
    <w:rsid w:val="435E3EE6"/>
    <w:rsid w:val="436653E0"/>
    <w:rsid w:val="43C4431A"/>
    <w:rsid w:val="43D615E5"/>
    <w:rsid w:val="442778CB"/>
    <w:rsid w:val="44B951CC"/>
    <w:rsid w:val="44CD14E0"/>
    <w:rsid w:val="44F20B0B"/>
    <w:rsid w:val="452E5F4C"/>
    <w:rsid w:val="45612018"/>
    <w:rsid w:val="458946E9"/>
    <w:rsid w:val="45A47C0E"/>
    <w:rsid w:val="46577FD6"/>
    <w:rsid w:val="46D955A7"/>
    <w:rsid w:val="47133957"/>
    <w:rsid w:val="47456C23"/>
    <w:rsid w:val="47A07E0C"/>
    <w:rsid w:val="4870272E"/>
    <w:rsid w:val="49741162"/>
    <w:rsid w:val="49BE6998"/>
    <w:rsid w:val="49BE6D27"/>
    <w:rsid w:val="49DC7715"/>
    <w:rsid w:val="4A023139"/>
    <w:rsid w:val="4A7B576F"/>
    <w:rsid w:val="4A91404D"/>
    <w:rsid w:val="4AC54570"/>
    <w:rsid w:val="4AF561A9"/>
    <w:rsid w:val="4B2E1C48"/>
    <w:rsid w:val="4BB33A4D"/>
    <w:rsid w:val="4BED3D8A"/>
    <w:rsid w:val="4C4A0649"/>
    <w:rsid w:val="4C7E5ECA"/>
    <w:rsid w:val="4C876AA5"/>
    <w:rsid w:val="4D0E00FB"/>
    <w:rsid w:val="4D176606"/>
    <w:rsid w:val="4D612459"/>
    <w:rsid w:val="4D6D3BE9"/>
    <w:rsid w:val="4D6D5E7B"/>
    <w:rsid w:val="4DEC4FB0"/>
    <w:rsid w:val="4E075D8A"/>
    <w:rsid w:val="4E2A09DC"/>
    <w:rsid w:val="4E8872E2"/>
    <w:rsid w:val="4EC00FAD"/>
    <w:rsid w:val="4F9843DC"/>
    <w:rsid w:val="4FC62A8C"/>
    <w:rsid w:val="4FE20F0D"/>
    <w:rsid w:val="4FE51552"/>
    <w:rsid w:val="503E0E60"/>
    <w:rsid w:val="50504C4B"/>
    <w:rsid w:val="509C6E7C"/>
    <w:rsid w:val="5162104E"/>
    <w:rsid w:val="525742DF"/>
    <w:rsid w:val="52ED6BDB"/>
    <w:rsid w:val="53A039CC"/>
    <w:rsid w:val="53A1505A"/>
    <w:rsid w:val="54063E08"/>
    <w:rsid w:val="543437E8"/>
    <w:rsid w:val="54B00ECE"/>
    <w:rsid w:val="54F73313"/>
    <w:rsid w:val="54F80955"/>
    <w:rsid w:val="555170A7"/>
    <w:rsid w:val="55563F38"/>
    <w:rsid w:val="555C494A"/>
    <w:rsid w:val="5587536D"/>
    <w:rsid w:val="559B174B"/>
    <w:rsid w:val="55B43AA0"/>
    <w:rsid w:val="55CE0CF4"/>
    <w:rsid w:val="56140419"/>
    <w:rsid w:val="5662653B"/>
    <w:rsid w:val="56B22A9C"/>
    <w:rsid w:val="57B72A76"/>
    <w:rsid w:val="57C3426C"/>
    <w:rsid w:val="57CE1F93"/>
    <w:rsid w:val="588743D1"/>
    <w:rsid w:val="5887701A"/>
    <w:rsid w:val="59BB4454"/>
    <w:rsid w:val="59C0439F"/>
    <w:rsid w:val="59C977EA"/>
    <w:rsid w:val="5A392C67"/>
    <w:rsid w:val="5ABE2233"/>
    <w:rsid w:val="5AC157D2"/>
    <w:rsid w:val="5AEB1C87"/>
    <w:rsid w:val="5B65792D"/>
    <w:rsid w:val="5BAF5380"/>
    <w:rsid w:val="5BDF5D95"/>
    <w:rsid w:val="5BE364B1"/>
    <w:rsid w:val="5BFE7528"/>
    <w:rsid w:val="5CD954B2"/>
    <w:rsid w:val="5D223585"/>
    <w:rsid w:val="5DAB0952"/>
    <w:rsid w:val="5E2467F1"/>
    <w:rsid w:val="5E5744C2"/>
    <w:rsid w:val="5E836033"/>
    <w:rsid w:val="5F00622C"/>
    <w:rsid w:val="5F1A2B43"/>
    <w:rsid w:val="5FB837BB"/>
    <w:rsid w:val="60253574"/>
    <w:rsid w:val="60874625"/>
    <w:rsid w:val="60C967E0"/>
    <w:rsid w:val="60CC405A"/>
    <w:rsid w:val="614752BB"/>
    <w:rsid w:val="61683EE9"/>
    <w:rsid w:val="61D122DD"/>
    <w:rsid w:val="61E215D8"/>
    <w:rsid w:val="621B3775"/>
    <w:rsid w:val="62364782"/>
    <w:rsid w:val="62AD7C81"/>
    <w:rsid w:val="62DD5B5C"/>
    <w:rsid w:val="6394356A"/>
    <w:rsid w:val="63C61B2C"/>
    <w:rsid w:val="63D40BE9"/>
    <w:rsid w:val="64102431"/>
    <w:rsid w:val="64584571"/>
    <w:rsid w:val="64A5243A"/>
    <w:rsid w:val="64F531DE"/>
    <w:rsid w:val="65373578"/>
    <w:rsid w:val="65E0653C"/>
    <w:rsid w:val="65E85444"/>
    <w:rsid w:val="671F124A"/>
    <w:rsid w:val="677A33C6"/>
    <w:rsid w:val="67BF3499"/>
    <w:rsid w:val="681F6961"/>
    <w:rsid w:val="683E6B8B"/>
    <w:rsid w:val="68610A2F"/>
    <w:rsid w:val="68805514"/>
    <w:rsid w:val="69316E2F"/>
    <w:rsid w:val="694E2071"/>
    <w:rsid w:val="696A465B"/>
    <w:rsid w:val="69766163"/>
    <w:rsid w:val="697A3B33"/>
    <w:rsid w:val="697E4D12"/>
    <w:rsid w:val="69D44760"/>
    <w:rsid w:val="6A520EC7"/>
    <w:rsid w:val="6AEA0A1F"/>
    <w:rsid w:val="6AF87E20"/>
    <w:rsid w:val="6B322639"/>
    <w:rsid w:val="6C636C38"/>
    <w:rsid w:val="6D35281D"/>
    <w:rsid w:val="6DB34098"/>
    <w:rsid w:val="6DB545B6"/>
    <w:rsid w:val="6DCA568D"/>
    <w:rsid w:val="6DE02FB4"/>
    <w:rsid w:val="6DE56E11"/>
    <w:rsid w:val="6E514CED"/>
    <w:rsid w:val="6EB563D5"/>
    <w:rsid w:val="6ED92677"/>
    <w:rsid w:val="6F225983"/>
    <w:rsid w:val="6FBE33E4"/>
    <w:rsid w:val="6FFC5590"/>
    <w:rsid w:val="706D1DD0"/>
    <w:rsid w:val="70856B87"/>
    <w:rsid w:val="70D527EE"/>
    <w:rsid w:val="71063A67"/>
    <w:rsid w:val="715B5300"/>
    <w:rsid w:val="7184103A"/>
    <w:rsid w:val="718E2F1E"/>
    <w:rsid w:val="71D27F8A"/>
    <w:rsid w:val="71F17B50"/>
    <w:rsid w:val="72553024"/>
    <w:rsid w:val="73122968"/>
    <w:rsid w:val="731F5D5E"/>
    <w:rsid w:val="73461374"/>
    <w:rsid w:val="73C51AD5"/>
    <w:rsid w:val="741E793C"/>
    <w:rsid w:val="745E3944"/>
    <w:rsid w:val="74BE7A52"/>
    <w:rsid w:val="751976B7"/>
    <w:rsid w:val="7635099D"/>
    <w:rsid w:val="767933E8"/>
    <w:rsid w:val="76D50211"/>
    <w:rsid w:val="77416D47"/>
    <w:rsid w:val="77762421"/>
    <w:rsid w:val="77B56B1F"/>
    <w:rsid w:val="77D0285D"/>
    <w:rsid w:val="780B70FA"/>
    <w:rsid w:val="780F09F4"/>
    <w:rsid w:val="784E5038"/>
    <w:rsid w:val="78A90480"/>
    <w:rsid w:val="7A364017"/>
    <w:rsid w:val="7A8265E1"/>
    <w:rsid w:val="7B686D42"/>
    <w:rsid w:val="7B841746"/>
    <w:rsid w:val="7C6C5AC7"/>
    <w:rsid w:val="7C7309CE"/>
    <w:rsid w:val="7CC6544B"/>
    <w:rsid w:val="7D0239FF"/>
    <w:rsid w:val="7D5E40CD"/>
    <w:rsid w:val="7DCB1E38"/>
    <w:rsid w:val="7DCD56F2"/>
    <w:rsid w:val="7E472D49"/>
    <w:rsid w:val="7F001CE7"/>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ocked="1"/>
    <w:lsdException w:uiPriority="0" w:name="footnote text" w:locked="1"/>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ocked="1"/>
    <w:lsdException w:qFormat="1" w:uiPriority="0" w:name="caption" w:locked="1"/>
    <w:lsdException w:uiPriority="0" w:name="table of figures" w:locked="1"/>
    <w:lsdException w:uiPriority="0" w:name="envelope address" w:locked="1"/>
    <w:lsdException w:uiPriority="0" w:name="envelope return" w:locked="1"/>
    <w:lsdException w:uiPriority="0" w:name="footnote reference" w:locked="1"/>
    <w:lsdException w:qFormat="1" w:unhideWhenUsed="0" w:uiPriority="0" w:semiHidden="0" w:name="annotation reference"/>
    <w:lsdException w:uiPriority="0" w:name="line number" w:locked="1"/>
    <w:lsdException w:qFormat="1" w:unhideWhenUsed="0" w:uiPriority="0" w:semiHidden="0" w:name="page number" w:locked="1"/>
    <w:lsdException w:uiPriority="0" w:name="endnote reference" w:locked="1"/>
    <w:lsdException w:uiPriority="0" w:name="endnote text" w:locked="1"/>
    <w:lsdException w:unhideWhenUsed="0" w:uiPriority="0" w:semiHidden="0" w:name="table of authorities" w:locked="1"/>
    <w:lsdException w:uiPriority="0" w:name="macro" w:locked="1"/>
    <w:lsdException w:uiPriority="0" w:name="toa heading" w:locked="1"/>
    <w:lsdException w:unhideWhenUsed="0" w:uiPriority="0" w:semiHidden="0" w:name="List" w:locked="1"/>
    <w:lsdException w:unhideWhenUsed="0" w:uiPriority="0" w:semiHidden="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iPriority="0" w:name="Message Header" w:locked="1"/>
    <w:lsdException w:qFormat="1" w:unhideWhenUsed="0" w:uiPriority="0" w:semiHidden="0" w:name="Subtitle" w:locked="1"/>
    <w:lsdException w:uiPriority="0" w:name="Salutation" w:locked="1"/>
    <w:lsdException w:qFormat="1" w:unhideWhenUsed="0" w:uiPriority="0" w:semiHidden="0" w:name="Date"/>
    <w:lsdException w:uiPriority="0" w:name="Body Text First Indent" w:locked="1"/>
    <w:lsdException w:qFormat="1" w:unhideWhenUsed="0" w:uiPriority="0" w:semiHidden="0" w:name="Body Text First Indent 2" w:locked="1"/>
    <w:lsdException w:uiPriority="0" w:name="Note Heading" w:locked="1"/>
    <w:lsdException w:qFormat="1" w:unhideWhenUsed="0" w:uiPriority="0" w:semiHidden="0" w:name="Body Text 2" w:locked="1"/>
    <w:lsdException w:uiPriority="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99" w:semiHidden="0" w:name="Block Text" w:locked="1"/>
    <w:lsdException w:qFormat="1" w:uiPriority="99" w:name="Hyperlink" w:locked="1"/>
    <w:lsdException w:uiPriority="0" w:name="FollowedHyperlink" w:locked="1"/>
    <w:lsdException w:qFormat="1" w:unhideWhenUsed="0" w:uiPriority="0" w:semiHidden="0" w:name="Strong" w:locked="1"/>
    <w:lsdException w:qFormat="1" w:unhideWhenUsed="0" w:uiPriority="0" w:semiHidden="0" w:name="Emphasis" w:locked="1"/>
    <w:lsdException w:uiPriority="0" w:name="Document Map" w:locked="1"/>
    <w:lsdException w:qFormat="1" w:unhideWhenUsed="0" w:uiPriority="0" w:semiHidden="0" w:name="Plain Text" w:locked="1"/>
    <w:lsdException w:uiPriority="0" w:name="E-mail Signature" w:locked="1"/>
    <w:lsdException w:qFormat="1" w:unhideWhenUsed="0" w:uiPriority="99"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nhideWhenUsed="0" w:uiPriority="0" w:semiHidden="0" w:name="Table Web 2" w:locked="1"/>
    <w:lsdException w:unhideWhenUsed="0" w:uiPriority="0" w:semiHidden="0" w:name="Table Web 3" w:locked="1"/>
    <w:lsdException w:qFormat="1" w:unhideWhenUsed="0" w:uiPriority="0" w:semiHidden="0" w:name="Balloon Text"/>
    <w:lsdException w:qFormat="1" w:unhideWhenUsed="0" w:uiPriority="99" w:semiHidden="0" w:name="Table Grid"/>
    <w:lsdException w:unhideWhenUsed="0" w:uiPriority="0" w:semiHidden="0" w:name="Table Theme" w:locked="1"/>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link w:val="55"/>
    <w:unhideWhenUsed/>
    <w:qFormat/>
    <w:locked/>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5"/>
    <w:qFormat/>
    <w:uiPriority w:val="0"/>
    <w:pPr>
      <w:widowControl/>
      <w:snapToGrid w:val="0"/>
      <w:spacing w:before="60" w:after="160" w:line="259" w:lineRule="auto"/>
      <w:ind w:right="113"/>
    </w:pPr>
    <w:rPr>
      <w:kern w:val="0"/>
      <w:sz w:val="18"/>
      <w:szCs w:val="20"/>
    </w:rPr>
  </w:style>
  <w:style w:type="paragraph" w:styleId="5">
    <w:name w:val="Normal Indent"/>
    <w:basedOn w:val="1"/>
    <w:link w:val="53"/>
    <w:qFormat/>
    <w:locked/>
    <w:uiPriority w:val="99"/>
    <w:pPr>
      <w:ind w:firstLine="420"/>
    </w:pPr>
    <w:rPr>
      <w:rFonts w:ascii="Calibri" w:hAnsi="Calibri"/>
      <w:szCs w:val="20"/>
    </w:rPr>
  </w:style>
  <w:style w:type="paragraph" w:styleId="6">
    <w:name w:val="annotation text"/>
    <w:basedOn w:val="1"/>
    <w:link w:val="36"/>
    <w:qFormat/>
    <w:uiPriority w:val="0"/>
    <w:pPr>
      <w:jc w:val="left"/>
    </w:pPr>
    <w:rPr>
      <w:kern w:val="0"/>
      <w:sz w:val="24"/>
      <w:szCs w:val="20"/>
    </w:rPr>
  </w:style>
  <w:style w:type="paragraph" w:styleId="7">
    <w:name w:val="Body Text Indent"/>
    <w:basedOn w:val="1"/>
    <w:link w:val="44"/>
    <w:qFormat/>
    <w:uiPriority w:val="0"/>
    <w:pPr>
      <w:spacing w:after="120"/>
      <w:ind w:left="420" w:leftChars="200"/>
    </w:pPr>
    <w:rPr>
      <w:kern w:val="0"/>
      <w:sz w:val="24"/>
      <w:szCs w:val="20"/>
    </w:rPr>
  </w:style>
  <w:style w:type="paragraph" w:styleId="8">
    <w:name w:val="Block Text"/>
    <w:basedOn w:val="1"/>
    <w:qFormat/>
    <w:locked/>
    <w:uiPriority w:val="99"/>
    <w:pPr>
      <w:spacing w:after="120"/>
      <w:ind w:left="1440" w:leftChars="700" w:right="1440" w:rightChars="700"/>
    </w:pPr>
    <w:rPr>
      <w:rFonts w:ascii="Calibri" w:hAnsi="Calibri"/>
      <w:szCs w:val="20"/>
    </w:rPr>
  </w:style>
  <w:style w:type="paragraph" w:styleId="9">
    <w:name w:val="Plain Text"/>
    <w:basedOn w:val="1"/>
    <w:next w:val="10"/>
    <w:link w:val="56"/>
    <w:qFormat/>
    <w:locked/>
    <w:uiPriority w:val="0"/>
    <w:rPr>
      <w:rFonts w:ascii="宋体" w:hAnsi="Courier New"/>
      <w:szCs w:val="20"/>
    </w:rPr>
  </w:style>
  <w:style w:type="paragraph" w:styleId="10">
    <w:name w:val="toc 1"/>
    <w:basedOn w:val="1"/>
    <w:next w:val="1"/>
    <w:qFormat/>
    <w:locked/>
    <w:uiPriority w:val="39"/>
    <w:pPr>
      <w:spacing w:before="120" w:after="120"/>
      <w:jc w:val="left"/>
    </w:pPr>
    <w:rPr>
      <w:rFonts w:ascii="Calibri" w:hAnsi="Calibri"/>
      <w:b/>
      <w:bCs/>
      <w:caps/>
      <w:sz w:val="20"/>
      <w:szCs w:val="20"/>
    </w:rPr>
  </w:style>
  <w:style w:type="paragraph" w:styleId="11">
    <w:name w:val="Date"/>
    <w:basedOn w:val="1"/>
    <w:next w:val="1"/>
    <w:link w:val="31"/>
    <w:qFormat/>
    <w:uiPriority w:val="0"/>
    <w:pPr>
      <w:ind w:left="100" w:leftChars="2500"/>
    </w:pPr>
    <w:rPr>
      <w:kern w:val="0"/>
      <w:sz w:val="24"/>
      <w:szCs w:val="20"/>
    </w:rPr>
  </w:style>
  <w:style w:type="paragraph" w:styleId="12">
    <w:name w:val="Body Text Indent 2"/>
    <w:basedOn w:val="1"/>
    <w:link w:val="57"/>
    <w:qFormat/>
    <w:locked/>
    <w:uiPriority w:val="0"/>
    <w:pPr>
      <w:spacing w:line="500" w:lineRule="exact"/>
      <w:ind w:firstLine="480" w:firstLineChars="200"/>
    </w:pPr>
    <w:rPr>
      <w:rFonts w:ascii="宋体" w:hAnsi="Calibri"/>
      <w:bCs/>
      <w:sz w:val="24"/>
      <w:szCs w:val="20"/>
    </w:rPr>
  </w:style>
  <w:style w:type="paragraph" w:styleId="13">
    <w:name w:val="Balloon Text"/>
    <w:basedOn w:val="1"/>
    <w:link w:val="40"/>
    <w:qFormat/>
    <w:uiPriority w:val="0"/>
    <w:rPr>
      <w:kern w:val="0"/>
      <w:sz w:val="18"/>
      <w:szCs w:val="20"/>
    </w:rPr>
  </w:style>
  <w:style w:type="paragraph" w:styleId="14">
    <w:name w:val="footer"/>
    <w:basedOn w:val="1"/>
    <w:link w:val="30"/>
    <w:qFormat/>
    <w:uiPriority w:val="99"/>
    <w:pPr>
      <w:tabs>
        <w:tab w:val="center" w:pos="4153"/>
        <w:tab w:val="right" w:pos="8306"/>
      </w:tabs>
      <w:snapToGrid w:val="0"/>
      <w:jc w:val="left"/>
    </w:pPr>
    <w:rPr>
      <w:kern w:val="0"/>
      <w:sz w:val="18"/>
      <w:szCs w:val="20"/>
    </w:rPr>
  </w:style>
  <w:style w:type="paragraph" w:styleId="15">
    <w:name w:val="header"/>
    <w:basedOn w:val="1"/>
    <w:link w:val="42"/>
    <w:qFormat/>
    <w:uiPriority w:val="0"/>
    <w:pPr>
      <w:pBdr>
        <w:bottom w:val="single" w:color="auto" w:sz="6" w:space="1"/>
      </w:pBdr>
      <w:tabs>
        <w:tab w:val="center" w:pos="4153"/>
        <w:tab w:val="right" w:pos="8306"/>
      </w:tabs>
      <w:snapToGrid w:val="0"/>
      <w:jc w:val="center"/>
    </w:pPr>
    <w:rPr>
      <w:kern w:val="0"/>
      <w:sz w:val="18"/>
      <w:szCs w:val="20"/>
    </w:rPr>
  </w:style>
  <w:style w:type="paragraph" w:styleId="16">
    <w:name w:val="Body Text Indent 3"/>
    <w:basedOn w:val="1"/>
    <w:link w:val="58"/>
    <w:qFormat/>
    <w:locked/>
    <w:uiPriority w:val="0"/>
    <w:pPr>
      <w:spacing w:line="360" w:lineRule="auto"/>
      <w:ind w:firstLine="471" w:firstLineChars="200"/>
    </w:pPr>
    <w:rPr>
      <w:rFonts w:ascii="宋体" w:hAnsi="宋体"/>
      <w:sz w:val="24"/>
      <w:szCs w:val="20"/>
    </w:rPr>
  </w:style>
  <w:style w:type="paragraph" w:styleId="17">
    <w:name w:val="Body Text 2"/>
    <w:basedOn w:val="1"/>
    <w:link w:val="48"/>
    <w:qFormat/>
    <w:locked/>
    <w:uiPriority w:val="0"/>
    <w:pPr>
      <w:spacing w:after="120" w:line="480" w:lineRule="auto"/>
    </w:pPr>
  </w:style>
  <w:style w:type="paragraph" w:styleId="18">
    <w:name w:val="Normal (Web)"/>
    <w:basedOn w:val="1"/>
    <w:link w:val="33"/>
    <w:qFormat/>
    <w:uiPriority w:val="99"/>
    <w:pPr>
      <w:widowControl/>
      <w:spacing w:before="100" w:beforeAutospacing="1" w:after="100" w:afterAutospacing="1"/>
      <w:jc w:val="left"/>
    </w:pPr>
    <w:rPr>
      <w:rFonts w:ascii="宋体" w:hAnsi="宋体"/>
      <w:kern w:val="0"/>
      <w:sz w:val="24"/>
      <w:szCs w:val="20"/>
    </w:rPr>
  </w:style>
  <w:style w:type="paragraph" w:styleId="19">
    <w:name w:val="annotation subject"/>
    <w:basedOn w:val="6"/>
    <w:next w:val="6"/>
    <w:link w:val="41"/>
    <w:qFormat/>
    <w:uiPriority w:val="0"/>
    <w:rPr>
      <w:b/>
    </w:rPr>
  </w:style>
  <w:style w:type="paragraph" w:styleId="20">
    <w:name w:val="Body Text First Indent 2"/>
    <w:basedOn w:val="7"/>
    <w:link w:val="59"/>
    <w:qFormat/>
    <w:locked/>
    <w:uiPriority w:val="0"/>
    <w:pPr>
      <w:ind w:firstLine="420" w:firstLineChars="200"/>
    </w:pPr>
    <w:rPr>
      <w:rFonts w:ascii="Calibri" w:hAnsi="Calibri" w:eastAsia="楷体_GB2312"/>
      <w:color w:val="000000"/>
      <w:kern w:val="2"/>
      <w:sz w:val="21"/>
    </w:rPr>
  </w:style>
  <w:style w:type="table" w:styleId="22">
    <w:name w:val="Table Grid"/>
    <w:basedOn w:val="2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locked/>
    <w:uiPriority w:val="0"/>
    <w:rPr>
      <w:b/>
    </w:rPr>
  </w:style>
  <w:style w:type="character" w:styleId="25">
    <w:name w:val="page number"/>
    <w:basedOn w:val="23"/>
    <w:qFormat/>
    <w:locked/>
    <w:uiPriority w:val="0"/>
  </w:style>
  <w:style w:type="character" w:styleId="26">
    <w:name w:val="Emphasis"/>
    <w:basedOn w:val="23"/>
    <w:qFormat/>
    <w:locked/>
    <w:uiPriority w:val="0"/>
  </w:style>
  <w:style w:type="character" w:styleId="27">
    <w:name w:val="Hyperlink"/>
    <w:basedOn w:val="23"/>
    <w:semiHidden/>
    <w:unhideWhenUsed/>
    <w:qFormat/>
    <w:locked/>
    <w:uiPriority w:val="99"/>
    <w:rPr>
      <w:color w:val="0000FF"/>
      <w:u w:val="single"/>
    </w:rPr>
  </w:style>
  <w:style w:type="character" w:styleId="28">
    <w:name w:val="annotation reference"/>
    <w:qFormat/>
    <w:uiPriority w:val="0"/>
    <w:rPr>
      <w:sz w:val="21"/>
    </w:rPr>
  </w:style>
  <w:style w:type="paragraph" w:customStyle="1" w:styleId="29">
    <w:name w:val="BlockQuote"/>
    <w:basedOn w:val="1"/>
    <w:qFormat/>
    <w:uiPriority w:val="0"/>
    <w:pPr>
      <w:widowControl/>
      <w:spacing w:line="300" w:lineRule="exact"/>
      <w:ind w:left="-96" w:leftChars="-40" w:right="-16" w:firstLine="482" w:firstLineChars="200"/>
      <w:textAlignment w:val="baseline"/>
    </w:pPr>
    <w:rPr>
      <w:rFonts w:ascii="宋体" w:hAnsi="宋体" w:eastAsia="仿宋_GB2312"/>
      <w:sz w:val="28"/>
    </w:rPr>
  </w:style>
  <w:style w:type="character" w:customStyle="1" w:styleId="30">
    <w:name w:val="页脚 Char"/>
    <w:link w:val="14"/>
    <w:qFormat/>
    <w:locked/>
    <w:uiPriority w:val="99"/>
    <w:rPr>
      <w:sz w:val="18"/>
    </w:rPr>
  </w:style>
  <w:style w:type="character" w:customStyle="1" w:styleId="31">
    <w:name w:val="日期 Char"/>
    <w:link w:val="11"/>
    <w:qFormat/>
    <w:locked/>
    <w:uiPriority w:val="0"/>
    <w:rPr>
      <w:rFonts w:ascii="Times New Roman" w:hAnsi="Times New Roman" w:eastAsia="宋体"/>
      <w:sz w:val="24"/>
    </w:rPr>
  </w:style>
  <w:style w:type="character" w:customStyle="1" w:styleId="32">
    <w:name w:val="页脚 字符"/>
    <w:basedOn w:val="23"/>
    <w:qFormat/>
    <w:uiPriority w:val="99"/>
  </w:style>
  <w:style w:type="character" w:customStyle="1" w:styleId="33">
    <w:name w:val="普通(网站) Char"/>
    <w:link w:val="18"/>
    <w:qFormat/>
    <w:locked/>
    <w:uiPriority w:val="0"/>
    <w:rPr>
      <w:rFonts w:ascii="宋体" w:hAnsi="宋体" w:eastAsia="宋体"/>
      <w:sz w:val="24"/>
    </w:rPr>
  </w:style>
  <w:style w:type="character" w:customStyle="1" w:styleId="34">
    <w:name w:val="正文文本 字符1"/>
    <w:semiHidden/>
    <w:qFormat/>
    <w:uiPriority w:val="0"/>
    <w:rPr>
      <w:rFonts w:ascii="Times New Roman" w:hAnsi="Times New Roman" w:eastAsia="宋体"/>
      <w:sz w:val="24"/>
    </w:rPr>
  </w:style>
  <w:style w:type="character" w:customStyle="1" w:styleId="35">
    <w:name w:val="正文文本 Char"/>
    <w:link w:val="2"/>
    <w:qFormat/>
    <w:locked/>
    <w:uiPriority w:val="0"/>
    <w:rPr>
      <w:sz w:val="18"/>
    </w:rPr>
  </w:style>
  <w:style w:type="character" w:customStyle="1" w:styleId="36">
    <w:name w:val="批注文字 Char1"/>
    <w:link w:val="6"/>
    <w:qFormat/>
    <w:locked/>
    <w:uiPriority w:val="0"/>
    <w:rPr>
      <w:rFonts w:ascii="Times New Roman" w:hAnsi="Times New Roman" w:eastAsia="宋体"/>
      <w:sz w:val="24"/>
    </w:rPr>
  </w:style>
  <w:style w:type="character" w:customStyle="1" w:styleId="37">
    <w:name w:val="表格 Char"/>
    <w:link w:val="38"/>
    <w:qFormat/>
    <w:locked/>
    <w:uiPriority w:val="0"/>
    <w:rPr>
      <w:rFonts w:ascii="宋体"/>
      <w:sz w:val="21"/>
    </w:rPr>
  </w:style>
  <w:style w:type="paragraph" w:customStyle="1" w:styleId="38">
    <w:name w:val="表格"/>
    <w:basedOn w:val="1"/>
    <w:next w:val="1"/>
    <w:link w:val="37"/>
    <w:qFormat/>
    <w:uiPriority w:val="0"/>
    <w:pPr>
      <w:adjustRightInd w:val="0"/>
      <w:snapToGrid w:val="0"/>
      <w:spacing w:beforeLines="10" w:afterLines="10" w:line="259" w:lineRule="auto"/>
      <w:jc w:val="center"/>
    </w:pPr>
    <w:rPr>
      <w:rFonts w:ascii="宋体"/>
      <w:kern w:val="0"/>
      <w:szCs w:val="20"/>
    </w:rPr>
  </w:style>
  <w:style w:type="character" w:customStyle="1" w:styleId="39">
    <w:name w:val="日期 字符"/>
    <w:semiHidden/>
    <w:qFormat/>
    <w:uiPriority w:val="0"/>
    <w:rPr>
      <w:rFonts w:ascii="Times New Roman" w:hAnsi="Times New Roman" w:eastAsia="宋体"/>
      <w:sz w:val="24"/>
    </w:rPr>
  </w:style>
  <w:style w:type="character" w:customStyle="1" w:styleId="40">
    <w:name w:val="批注框文本 Char1"/>
    <w:link w:val="13"/>
    <w:semiHidden/>
    <w:qFormat/>
    <w:locked/>
    <w:uiPriority w:val="0"/>
    <w:rPr>
      <w:rFonts w:ascii="Times New Roman" w:hAnsi="Times New Roman" w:eastAsia="宋体"/>
      <w:sz w:val="18"/>
    </w:rPr>
  </w:style>
  <w:style w:type="character" w:customStyle="1" w:styleId="41">
    <w:name w:val="批注主题 Char1"/>
    <w:link w:val="19"/>
    <w:semiHidden/>
    <w:qFormat/>
    <w:locked/>
    <w:uiPriority w:val="0"/>
    <w:rPr>
      <w:rFonts w:ascii="Times New Roman" w:hAnsi="Times New Roman" w:eastAsia="宋体"/>
      <w:b/>
      <w:kern w:val="2"/>
      <w:sz w:val="24"/>
    </w:rPr>
  </w:style>
  <w:style w:type="character" w:customStyle="1" w:styleId="42">
    <w:name w:val="页眉 Char1"/>
    <w:link w:val="15"/>
    <w:qFormat/>
    <w:locked/>
    <w:uiPriority w:val="0"/>
    <w:rPr>
      <w:sz w:val="18"/>
    </w:rPr>
  </w:style>
  <w:style w:type="character" w:customStyle="1" w:styleId="43">
    <w:name w:val="批注文字 字符1"/>
    <w:semiHidden/>
    <w:qFormat/>
    <w:uiPriority w:val="0"/>
    <w:rPr>
      <w:rFonts w:ascii="Times New Roman" w:hAnsi="Times New Roman" w:eastAsia="宋体"/>
      <w:sz w:val="24"/>
    </w:rPr>
  </w:style>
  <w:style w:type="character" w:customStyle="1" w:styleId="44">
    <w:name w:val="正文文本缩进 Char"/>
    <w:link w:val="7"/>
    <w:semiHidden/>
    <w:qFormat/>
    <w:locked/>
    <w:uiPriority w:val="0"/>
    <w:rPr>
      <w:rFonts w:ascii="Times New Roman" w:hAnsi="Times New Roman" w:eastAsia="宋体"/>
      <w:sz w:val="24"/>
    </w:rPr>
  </w:style>
  <w:style w:type="paragraph" w:customStyle="1" w:styleId="45">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47">
    <w:name w:val="表格内文字"/>
    <w:basedOn w:val="1"/>
    <w:qFormat/>
    <w:uiPriority w:val="0"/>
    <w:pPr>
      <w:widowControl/>
      <w:tabs>
        <w:tab w:val="left" w:pos="0"/>
      </w:tabs>
      <w:snapToGrid w:val="0"/>
      <w:jc w:val="center"/>
    </w:pPr>
    <w:rPr>
      <w:rFonts w:ascii="仿宋_GB2312" w:hAnsi="宋体" w:eastAsia="仿宋_GB2312" w:cs="宋体"/>
      <w:w w:val="90"/>
      <w:kern w:val="18"/>
      <w:sz w:val="24"/>
    </w:rPr>
  </w:style>
  <w:style w:type="character" w:customStyle="1" w:styleId="48">
    <w:name w:val="正文文本 2 Char"/>
    <w:basedOn w:val="23"/>
    <w:link w:val="17"/>
    <w:qFormat/>
    <w:uiPriority w:val="0"/>
    <w:rPr>
      <w:kern w:val="2"/>
      <w:sz w:val="21"/>
      <w:szCs w:val="24"/>
    </w:rPr>
  </w:style>
  <w:style w:type="character" w:customStyle="1" w:styleId="49">
    <w:name w:val="批注文字 Char"/>
    <w:basedOn w:val="23"/>
    <w:qFormat/>
    <w:uiPriority w:val="0"/>
    <w:rPr>
      <w:rFonts w:ascii="Calibri" w:hAnsi="Calibri"/>
      <w:kern w:val="2"/>
      <w:sz w:val="21"/>
    </w:rPr>
  </w:style>
  <w:style w:type="paragraph" w:customStyle="1" w:styleId="50">
    <w:name w:val="Table Paragraph"/>
    <w:basedOn w:val="1"/>
    <w:qFormat/>
    <w:uiPriority w:val="0"/>
    <w:pPr>
      <w:autoSpaceDE w:val="0"/>
      <w:autoSpaceDN w:val="0"/>
      <w:adjustRightInd w:val="0"/>
      <w:jc w:val="left"/>
    </w:pPr>
    <w:rPr>
      <w:rFonts w:ascii="Calibri" w:hAnsi="Calibri"/>
      <w:kern w:val="0"/>
      <w:sz w:val="24"/>
    </w:rPr>
  </w:style>
  <w:style w:type="paragraph" w:customStyle="1" w:styleId="51">
    <w:name w:val="图表文字"/>
    <w:basedOn w:val="1"/>
    <w:link w:val="54"/>
    <w:qFormat/>
    <w:uiPriority w:val="0"/>
    <w:pPr>
      <w:spacing w:line="300" w:lineRule="exact"/>
      <w:jc w:val="center"/>
    </w:pPr>
    <w:rPr>
      <w:rFonts w:ascii="Calibri" w:hAnsi="Calibri"/>
      <w:bCs/>
      <w:szCs w:val="20"/>
    </w:rPr>
  </w:style>
  <w:style w:type="paragraph" w:customStyle="1" w:styleId="52">
    <w:name w:val="我的样式（正文）"/>
    <w:basedOn w:val="1"/>
    <w:qFormat/>
    <w:uiPriority w:val="0"/>
    <w:pPr>
      <w:spacing w:line="440" w:lineRule="exact"/>
    </w:pPr>
    <w:rPr>
      <w:rFonts w:ascii="宋体" w:hAnsi="Calibri"/>
      <w:sz w:val="28"/>
    </w:rPr>
  </w:style>
  <w:style w:type="character" w:customStyle="1" w:styleId="53">
    <w:name w:val="正文缩进 Char"/>
    <w:basedOn w:val="23"/>
    <w:link w:val="5"/>
    <w:qFormat/>
    <w:uiPriority w:val="0"/>
    <w:rPr>
      <w:rFonts w:ascii="Calibri" w:hAnsi="Calibri"/>
      <w:kern w:val="2"/>
      <w:sz w:val="21"/>
    </w:rPr>
  </w:style>
  <w:style w:type="character" w:customStyle="1" w:styleId="54">
    <w:name w:val="图表文字 Char"/>
    <w:link w:val="51"/>
    <w:qFormat/>
    <w:uiPriority w:val="0"/>
    <w:rPr>
      <w:rFonts w:ascii="Calibri" w:hAnsi="Calibri"/>
      <w:bCs/>
      <w:kern w:val="2"/>
      <w:sz w:val="21"/>
    </w:rPr>
  </w:style>
  <w:style w:type="character" w:customStyle="1" w:styleId="55">
    <w:name w:val="标题 2 Char"/>
    <w:basedOn w:val="23"/>
    <w:link w:val="4"/>
    <w:semiHidden/>
    <w:qFormat/>
    <w:uiPriority w:val="0"/>
    <w:rPr>
      <w:rFonts w:asciiTheme="majorHAnsi" w:hAnsiTheme="majorHAnsi" w:eastAsiaTheme="majorEastAsia" w:cstheme="majorBidi"/>
      <w:b/>
      <w:bCs/>
      <w:kern w:val="2"/>
      <w:sz w:val="32"/>
      <w:szCs w:val="32"/>
    </w:rPr>
  </w:style>
  <w:style w:type="character" w:customStyle="1" w:styleId="56">
    <w:name w:val="纯文本 Char"/>
    <w:basedOn w:val="23"/>
    <w:link w:val="9"/>
    <w:qFormat/>
    <w:uiPriority w:val="0"/>
    <w:rPr>
      <w:rFonts w:ascii="宋体" w:hAnsi="Courier New"/>
      <w:kern w:val="2"/>
      <w:sz w:val="21"/>
    </w:rPr>
  </w:style>
  <w:style w:type="character" w:customStyle="1" w:styleId="57">
    <w:name w:val="正文文本缩进 2 Char"/>
    <w:basedOn w:val="23"/>
    <w:link w:val="12"/>
    <w:qFormat/>
    <w:uiPriority w:val="0"/>
    <w:rPr>
      <w:rFonts w:ascii="宋体" w:hAnsi="Calibri"/>
      <w:bCs/>
      <w:kern w:val="2"/>
      <w:sz w:val="24"/>
    </w:rPr>
  </w:style>
  <w:style w:type="character" w:customStyle="1" w:styleId="58">
    <w:name w:val="正文文本缩进 3 Char"/>
    <w:basedOn w:val="23"/>
    <w:link w:val="16"/>
    <w:qFormat/>
    <w:uiPriority w:val="0"/>
    <w:rPr>
      <w:rFonts w:ascii="宋体" w:hAnsi="宋体"/>
      <w:kern w:val="2"/>
      <w:sz w:val="24"/>
    </w:rPr>
  </w:style>
  <w:style w:type="character" w:customStyle="1" w:styleId="59">
    <w:name w:val="正文首行缩进 2 Char"/>
    <w:basedOn w:val="44"/>
    <w:link w:val="20"/>
    <w:qFormat/>
    <w:uiPriority w:val="0"/>
    <w:rPr>
      <w:rFonts w:ascii="Calibri" w:hAnsi="Calibri" w:eastAsia="楷体_GB2312"/>
      <w:color w:val="000000"/>
      <w:kern w:val="2"/>
      <w:sz w:val="21"/>
    </w:rPr>
  </w:style>
  <w:style w:type="paragraph" w:customStyle="1" w:styleId="60">
    <w:name w:val="Body Text 21"/>
    <w:basedOn w:val="1"/>
    <w:qFormat/>
    <w:uiPriority w:val="0"/>
    <w:pPr>
      <w:textAlignment w:val="baseline"/>
    </w:pPr>
    <w:rPr>
      <w:rFonts w:ascii="Calibri" w:hAnsi="Calibri"/>
      <w:color w:val="000000"/>
      <w:sz w:val="24"/>
      <w:szCs w:val="20"/>
    </w:rPr>
  </w:style>
  <w:style w:type="paragraph" w:customStyle="1" w:styleId="61">
    <w:name w:val="图文框"/>
    <w:basedOn w:val="1"/>
    <w:qFormat/>
    <w:uiPriority w:val="0"/>
    <w:pPr>
      <w:adjustRightInd w:val="0"/>
      <w:snapToGrid w:val="0"/>
      <w:jc w:val="center"/>
    </w:pPr>
    <w:rPr>
      <w:rFonts w:ascii="宋体" w:hAnsi="宋体"/>
      <w:color w:val="000000"/>
      <w:sz w:val="18"/>
    </w:rPr>
  </w:style>
  <w:style w:type="paragraph" w:customStyle="1" w:styleId="62">
    <w:name w:val="表"/>
    <w:basedOn w:val="1"/>
    <w:qFormat/>
    <w:uiPriority w:val="0"/>
    <w:pPr>
      <w:keepNext/>
      <w:keepLines/>
      <w:adjustRightInd w:val="0"/>
      <w:spacing w:before="60"/>
      <w:jc w:val="center"/>
    </w:pPr>
    <w:rPr>
      <w:rFonts w:ascii="Calibri" w:hAnsi="Calibri" w:eastAsia="仿宋_GB2312"/>
      <w:kern w:val="21"/>
      <w:sz w:val="24"/>
      <w:szCs w:val="20"/>
    </w:rPr>
  </w:style>
  <w:style w:type="paragraph" w:customStyle="1" w:styleId="63">
    <w:name w:val="p0"/>
    <w:basedOn w:val="1"/>
    <w:qFormat/>
    <w:uiPriority w:val="0"/>
    <w:pPr>
      <w:widowControl/>
    </w:pPr>
    <w:rPr>
      <w:rFonts w:ascii="Calibri" w:hAnsi="Calibri"/>
      <w:kern w:val="0"/>
      <w:szCs w:val="21"/>
    </w:rPr>
  </w:style>
  <w:style w:type="paragraph" w:customStyle="1" w:styleId="64">
    <w:name w:val="表格文字"/>
    <w:basedOn w:val="1"/>
    <w:qFormat/>
    <w:uiPriority w:val="0"/>
    <w:pPr>
      <w:adjustRightInd w:val="0"/>
      <w:snapToGrid w:val="0"/>
      <w:jc w:val="center"/>
    </w:pPr>
    <w:rPr>
      <w:rFonts w:ascii="仿宋_GB2312" w:hAnsi="Arial Black" w:eastAsia="仿宋_GB2312"/>
      <w:kern w:val="44"/>
      <w:sz w:val="24"/>
      <w:szCs w:val="20"/>
    </w:rPr>
  </w:style>
  <w:style w:type="paragraph" w:customStyle="1" w:styleId="65">
    <w:name w:val="表格标题"/>
    <w:basedOn w:val="1"/>
    <w:qFormat/>
    <w:uiPriority w:val="0"/>
    <w:pPr>
      <w:adjustRightInd w:val="0"/>
      <w:spacing w:before="120" w:line="360" w:lineRule="auto"/>
      <w:jc w:val="center"/>
    </w:pPr>
    <w:rPr>
      <w:rFonts w:ascii="Calibri" w:hAnsi="Calibri" w:eastAsia="文鼎CS中宋"/>
      <w:kern w:val="0"/>
      <w:sz w:val="24"/>
      <w:szCs w:val="20"/>
    </w:rPr>
  </w:style>
  <w:style w:type="paragraph" w:customStyle="1" w:styleId="66">
    <w:name w:val="文本框样式"/>
    <w:basedOn w:val="1"/>
    <w:qFormat/>
    <w:uiPriority w:val="0"/>
    <w:pPr>
      <w:jc w:val="center"/>
    </w:pPr>
    <w:rPr>
      <w:rFonts w:ascii="Calibri" w:hAnsi="Calibri"/>
      <w:szCs w:val="21"/>
    </w:rPr>
  </w:style>
  <w:style w:type="paragraph" w:customStyle="1" w:styleId="67">
    <w:name w:val="图标题"/>
    <w:basedOn w:val="1"/>
    <w:qFormat/>
    <w:uiPriority w:val="0"/>
    <w:pPr>
      <w:spacing w:line="300" w:lineRule="exact"/>
    </w:pPr>
    <w:rPr>
      <w:rFonts w:ascii="仿宋_GB2312" w:hAnsi="Calibri" w:eastAsia="仿宋_GB2312"/>
      <w:b/>
      <w:bCs/>
      <w:sz w:val="24"/>
    </w:rPr>
  </w:style>
  <w:style w:type="character" w:customStyle="1" w:styleId="68">
    <w:name w:val="font11"/>
    <w:basedOn w:val="23"/>
    <w:qFormat/>
    <w:uiPriority w:val="0"/>
    <w:rPr>
      <w:rFonts w:hint="eastAsia" w:ascii="宋体" w:hAnsi="宋体" w:eastAsia="宋体" w:cs="宋体"/>
      <w:color w:val="000000"/>
      <w:sz w:val="18"/>
      <w:szCs w:val="18"/>
      <w:u w:val="none"/>
    </w:rPr>
  </w:style>
  <w:style w:type="character" w:customStyle="1" w:styleId="69">
    <w:name w:val="font21"/>
    <w:basedOn w:val="23"/>
    <w:qFormat/>
    <w:uiPriority w:val="0"/>
    <w:rPr>
      <w:rFonts w:hint="default" w:ascii="TimesNewRomanPSMT" w:hAnsi="TimesNewRomanPSMT" w:eastAsia="TimesNewRomanPSMT" w:cs="TimesNewRomanPSMT"/>
      <w:color w:val="000000"/>
      <w:sz w:val="18"/>
      <w:szCs w:val="18"/>
      <w:u w:val="none"/>
    </w:rPr>
  </w:style>
  <w:style w:type="paragraph" w:customStyle="1" w:styleId="70">
    <w:name w:val="xl2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rPr>
  </w:style>
  <w:style w:type="paragraph" w:customStyle="1" w:styleId="71">
    <w:name w:val="Other|1"/>
    <w:basedOn w:val="1"/>
    <w:qFormat/>
    <w:uiPriority w:val="0"/>
    <w:rPr>
      <w:rFonts w:ascii="MingLiU" w:hAnsi="MingLiU" w:eastAsia="MingLiU" w:cs="MingLiU"/>
      <w:sz w:val="19"/>
      <w:szCs w:val="19"/>
      <w:lang w:val="zh-TW" w:eastAsia="zh-TW" w:bidi="zh-TW"/>
    </w:rPr>
  </w:style>
  <w:style w:type="paragraph" w:customStyle="1" w:styleId="72">
    <w:name w:val="Body text|1"/>
    <w:basedOn w:val="1"/>
    <w:qFormat/>
    <w:uiPriority w:val="0"/>
    <w:pPr>
      <w:spacing w:after="180" w:line="413" w:lineRule="auto"/>
    </w:pPr>
    <w:rPr>
      <w:rFonts w:ascii="宋体" w:hAnsi="宋体" w:cs="宋体"/>
      <w:szCs w:val="20"/>
      <w:lang w:val="zh-TW" w:eastAsia="zh-TW" w:bidi="zh-TW"/>
    </w:rPr>
  </w:style>
  <w:style w:type="paragraph" w:customStyle="1" w:styleId="73">
    <w:name w:val="Table caption|1"/>
    <w:basedOn w:val="1"/>
    <w:qFormat/>
    <w:uiPriority w:val="0"/>
    <w:rPr>
      <w:rFonts w:ascii="MingLiU" w:hAnsi="MingLiU" w:eastAsia="MingLiU" w:cs="MingLiU"/>
      <w:sz w:val="19"/>
      <w:szCs w:val="19"/>
      <w:lang w:val="zh-TW" w:eastAsia="zh-TW" w:bidi="zh-TW"/>
    </w:rPr>
  </w:style>
  <w:style w:type="character" w:customStyle="1" w:styleId="74">
    <w:name w:val="批注框文本 Char"/>
    <w:basedOn w:val="23"/>
    <w:qFormat/>
    <w:uiPriority w:val="0"/>
    <w:rPr>
      <w:rFonts w:ascii="Calibri" w:hAnsi="Calibri"/>
      <w:kern w:val="2"/>
      <w:sz w:val="18"/>
      <w:szCs w:val="18"/>
    </w:rPr>
  </w:style>
  <w:style w:type="character" w:styleId="75">
    <w:name w:val="Placeholder Text"/>
    <w:basedOn w:val="23"/>
    <w:unhideWhenUsed/>
    <w:qFormat/>
    <w:uiPriority w:val="99"/>
    <w:rPr>
      <w:color w:val="808080"/>
    </w:rPr>
  </w:style>
  <w:style w:type="paragraph" w:styleId="76">
    <w:name w:val="List Paragraph"/>
    <w:basedOn w:val="1"/>
    <w:unhideWhenUsed/>
    <w:qFormat/>
    <w:uiPriority w:val="99"/>
    <w:pPr>
      <w:ind w:firstLine="420" w:firstLineChars="200"/>
    </w:pPr>
    <w:rPr>
      <w:rFonts w:ascii="Calibri" w:hAnsi="Calibri"/>
      <w:szCs w:val="20"/>
    </w:rPr>
  </w:style>
  <w:style w:type="character" w:customStyle="1" w:styleId="77">
    <w:name w:val="批注主题 Char"/>
    <w:basedOn w:val="49"/>
    <w:qFormat/>
    <w:uiPriority w:val="0"/>
    <w:rPr>
      <w:rFonts w:ascii="Calibri" w:hAnsi="Calibri"/>
      <w:kern w:val="2"/>
      <w:sz w:val="21"/>
    </w:rPr>
  </w:style>
  <w:style w:type="character" w:customStyle="1" w:styleId="78">
    <w:name w:val="页眉 Char"/>
    <w:basedOn w:val="23"/>
    <w:qFormat/>
    <w:uiPriority w:val="0"/>
    <w:rPr>
      <w:rFonts w:ascii="Calibri" w:hAnsi="Calibri"/>
      <w:kern w:val="2"/>
      <w:sz w:val="18"/>
      <w:szCs w:val="24"/>
    </w:rPr>
  </w:style>
  <w:style w:type="paragraph" w:customStyle="1" w:styleId="79">
    <w:name w:val="样式 自动设置"/>
    <w:basedOn w:val="1"/>
    <w:qFormat/>
    <w:uiPriority w:val="0"/>
    <w:pPr>
      <w:autoSpaceDE w:val="0"/>
      <w:autoSpaceDN w:val="0"/>
      <w:adjustRightInd w:val="0"/>
      <w:snapToGrid w:val="0"/>
      <w:spacing w:beforeLines="50" w:line="288" w:lineRule="auto"/>
      <w:ind w:firstLine="200" w:firstLineChars="200"/>
    </w:pPr>
    <w:rPr>
      <w:rFonts w:cs="宋体"/>
      <w:sz w:val="24"/>
      <w:szCs w:val="20"/>
    </w:rPr>
  </w:style>
  <w:style w:type="paragraph" w:customStyle="1" w:styleId="80">
    <w:name w:val="表格内容"/>
    <w:basedOn w:val="1"/>
    <w:qFormat/>
    <w:uiPriority w:val="0"/>
    <w:pPr>
      <w:widowControl/>
      <w:jc w:val="center"/>
    </w:pPr>
    <w:rPr>
      <w:rFonts w:eastAsia="楷体" w:cs="宋体"/>
      <w:color w:val="000000"/>
      <w:kern w:val="0"/>
      <w:szCs w:val="21"/>
    </w:rPr>
  </w:style>
  <w:style w:type="paragraph" w:customStyle="1" w:styleId="81">
    <w:name w:val="Default"/>
    <w:qFormat/>
    <w:uiPriority w:val="0"/>
    <w:pPr>
      <w:widowControl w:val="0"/>
      <w:autoSpaceDE w:val="0"/>
      <w:autoSpaceDN w:val="0"/>
      <w:adjustRightInd w:val="0"/>
    </w:pPr>
    <w:rPr>
      <w:rFonts w:ascii="方正黑体_GBK" w:hAnsi="Cambria" w:eastAsia="方正黑体_GBK" w:cs="方正黑体_GBK"/>
      <w:color w:val="000000"/>
      <w:sz w:val="24"/>
      <w:szCs w:val="24"/>
      <w:lang w:val="en-US" w:eastAsia="zh-CN" w:bidi="ar-SA"/>
    </w:rPr>
  </w:style>
  <w:style w:type="character" w:customStyle="1" w:styleId="82">
    <w:name w:val="lable"/>
    <w:basedOn w:val="23"/>
    <w:qFormat/>
    <w:uiPriority w:val="0"/>
    <w:rPr>
      <w:sz w:val="24"/>
      <w:szCs w:val="24"/>
    </w:rPr>
  </w:style>
  <w:style w:type="character" w:customStyle="1" w:styleId="83">
    <w:name w:val="radio-btn"/>
    <w:basedOn w:val="23"/>
    <w:qFormat/>
    <w:uiPriority w:val="0"/>
    <w:rPr>
      <w:sz w:val="24"/>
      <w:szCs w:val="24"/>
    </w:rPr>
  </w:style>
  <w:style w:type="character" w:customStyle="1" w:styleId="84">
    <w:name w:val="radio-btn1"/>
    <w:basedOn w:val="23"/>
    <w:qFormat/>
    <w:uiPriority w:val="0"/>
    <w:rPr>
      <w:sz w:val="21"/>
      <w:szCs w:val="21"/>
    </w:rPr>
  </w:style>
  <w:style w:type="character" w:customStyle="1" w:styleId="85">
    <w:name w:val="radio-btn2"/>
    <w:basedOn w:val="23"/>
    <w:qFormat/>
    <w:uiPriority w:val="0"/>
    <w:rPr>
      <w:sz w:val="24"/>
      <w:szCs w:val="24"/>
    </w:rPr>
  </w:style>
  <w:style w:type="character" w:customStyle="1" w:styleId="86">
    <w:name w:val="lishishuju"/>
    <w:basedOn w:val="23"/>
    <w:qFormat/>
    <w:uiPriority w:val="0"/>
    <w:rPr>
      <w:b/>
      <w:bCs/>
      <w:color w:val="000052"/>
      <w:sz w:val="24"/>
      <w:szCs w:val="24"/>
      <w:bdr w:val="single" w:color="E3E3E3" w:sz="6" w:space="0"/>
    </w:rPr>
  </w:style>
  <w:style w:type="character" w:customStyle="1" w:styleId="87">
    <w:name w:val="cur1"/>
    <w:basedOn w:val="23"/>
    <w:qFormat/>
    <w:uiPriority w:val="0"/>
    <w:rPr>
      <w:color w:val="FFFFFF"/>
      <w:shd w:val="clear" w:color="auto" w:fill="2F6B98"/>
    </w:rPr>
  </w:style>
  <w:style w:type="character" w:customStyle="1" w:styleId="88">
    <w:name w:val="znspantitle"/>
    <w:basedOn w:val="23"/>
    <w:qFormat/>
    <w:uiPriority w:val="0"/>
    <w:rPr>
      <w:b/>
      <w:bCs/>
      <w:color w:val="333333"/>
    </w:rPr>
  </w:style>
  <w:style w:type="character" w:customStyle="1" w:styleId="89">
    <w:name w:val="font31"/>
    <w:basedOn w:val="23"/>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5.wmf"/><Relationship Id="rId17" Type="http://schemas.openxmlformats.org/officeDocument/2006/relationships/oleObject" Target="embeddings/oleObject4.bin"/><Relationship Id="rId16" Type="http://schemas.openxmlformats.org/officeDocument/2006/relationships/image" Target="media/image4.png"/><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6BB2F1-E9C2-4744-9CFC-BA66C095A1A1}">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61</Pages>
  <Words>37873</Words>
  <Characters>42043</Characters>
  <Lines>354</Lines>
  <Paragraphs>99</Paragraphs>
  <TotalTime>2</TotalTime>
  <ScaleCrop>false</ScaleCrop>
  <LinksUpToDate>false</LinksUpToDate>
  <CharactersWithSpaces>42369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2021-04-20T05:59:00Z</dcterms:created>
  <dc:creator>lhj</dc:creator>
  <cp:lastModifiedBy>未来</cp:lastModifiedBy>
  <cp:lastPrinted>2021-12-01T03:09:00Z</cp:lastPrinted>
  <dcterms:modified xsi:type="dcterms:W3CDTF">2022-03-11T05:45:14Z</dcterms:modified>
  <dc:title>附件2</dc:title>
  <cp:revision>1155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E16CFFAC919B4E558ABA2FA912710389</vt:lpwstr>
  </property>
</Properties>
</file>