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adjustRightInd w:val="0"/>
        <w:snapToGrid w:val="0"/>
        <w:jc w:val="center"/>
        <w:outlineLvl w:val="0"/>
        <w:rPr>
          <w:rFonts w:ascii="方正小标宋_GBK" w:eastAsia="方正小标宋_GBK"/>
          <w:bCs/>
          <w:sz w:val="72"/>
          <w:szCs w:val="72"/>
        </w:rPr>
      </w:pPr>
      <w:bookmarkStart w:id="0" w:name="_Toc11003"/>
      <w:r>
        <w:rPr>
          <w:rFonts w:hint="eastAsia" w:ascii="方正小标宋_GBK" w:eastAsia="方正小标宋_GBK"/>
          <w:bCs/>
          <w:sz w:val="72"/>
          <w:szCs w:val="72"/>
        </w:rPr>
        <w:t>建设项目环境影响报告表</w:t>
      </w:r>
      <w:bookmarkEnd w:id="0"/>
    </w:p>
    <w:p>
      <w:pPr>
        <w:adjustRightInd w:val="0"/>
        <w:snapToGrid w:val="0"/>
        <w:spacing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9"/>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jc w:val="center"/>
        <w:rPr>
          <w:rFonts w:eastAsia="仿宋"/>
          <w:sz w:val="44"/>
          <w:szCs w:val="44"/>
        </w:rPr>
      </w:pPr>
    </w:p>
    <w:p>
      <w:pPr>
        <w:ind w:firstLine="1040"/>
        <w:rPr>
          <w:rFonts w:eastAsia="仿宋"/>
          <w:sz w:val="44"/>
          <w:szCs w:val="44"/>
        </w:rPr>
      </w:pPr>
    </w:p>
    <w:p>
      <w:pPr>
        <w:adjustRightInd w:val="0"/>
        <w:snapToGrid w:val="0"/>
        <w:spacing w:line="288" w:lineRule="auto"/>
        <w:ind w:left="4501" w:leftChars="172" w:hanging="4140" w:hangingChars="1150"/>
        <w:rPr>
          <w:rFonts w:hint="default" w:eastAsia="宋体"/>
          <w:sz w:val="36"/>
          <w:szCs w:val="36"/>
          <w:u w:val="single"/>
          <w:lang w:val="en-US" w:eastAsia="zh-CN"/>
        </w:rPr>
      </w:pPr>
      <w:r>
        <w:rPr>
          <w:rFonts w:hint="eastAsia" w:ascii="宋体" w:hAnsi="宋体"/>
          <w:sz w:val="36"/>
          <w:szCs w:val="36"/>
        </w:rPr>
        <w:t>项目名称：</w:t>
      </w:r>
      <w:r>
        <w:rPr>
          <w:rFonts w:hint="eastAsia" w:ascii="宋体" w:hAnsi="宋体"/>
          <w:sz w:val="36"/>
          <w:szCs w:val="36"/>
          <w:u w:val="single"/>
        </w:rPr>
        <w:t>年产电机</w:t>
      </w:r>
      <w:r>
        <w:rPr>
          <w:rFonts w:hAnsi="宋体"/>
          <w:sz w:val="36"/>
          <w:szCs w:val="36"/>
          <w:u w:val="single"/>
        </w:rPr>
        <w:t>铁芯</w:t>
      </w:r>
      <w:r>
        <w:rPr>
          <w:sz w:val="36"/>
          <w:szCs w:val="36"/>
          <w:u w:val="single"/>
        </w:rPr>
        <w:t>3000</w:t>
      </w:r>
      <w:r>
        <w:rPr>
          <w:rFonts w:hAnsi="宋体"/>
          <w:sz w:val="36"/>
          <w:szCs w:val="36"/>
          <w:u w:val="single"/>
        </w:rPr>
        <w:t>万套、电机机壳</w:t>
      </w:r>
      <w:r>
        <w:rPr>
          <w:sz w:val="36"/>
          <w:szCs w:val="36"/>
          <w:u w:val="single"/>
        </w:rPr>
        <w:t>2000</w:t>
      </w:r>
    </w:p>
    <w:p>
      <w:pPr>
        <w:adjustRightInd w:val="0"/>
        <w:snapToGrid w:val="0"/>
        <w:spacing w:line="288" w:lineRule="auto"/>
        <w:ind w:firstLine="2160" w:firstLineChars="600"/>
        <w:rPr>
          <w:rFonts w:hint="default" w:eastAsia="宋体"/>
          <w:sz w:val="36"/>
          <w:szCs w:val="36"/>
          <w:u w:val="single"/>
          <w:lang w:val="en-US" w:eastAsia="zh-CN"/>
        </w:rPr>
      </w:pPr>
      <w:r>
        <w:rPr>
          <w:rFonts w:hint="eastAsia" w:hAnsi="宋体"/>
          <w:sz w:val="36"/>
          <w:szCs w:val="36"/>
          <w:u w:val="single"/>
          <w:lang w:val="en-US" w:eastAsia="zh-CN"/>
        </w:rPr>
        <w:t xml:space="preserve">             </w:t>
      </w:r>
      <w:r>
        <w:rPr>
          <w:rFonts w:hAnsi="宋体"/>
          <w:sz w:val="36"/>
          <w:szCs w:val="36"/>
          <w:u w:val="single"/>
        </w:rPr>
        <w:t>万只项目</w:t>
      </w:r>
      <w:r>
        <w:rPr>
          <w:rFonts w:hint="eastAsia" w:hAnsi="宋体"/>
          <w:sz w:val="36"/>
          <w:szCs w:val="36"/>
          <w:u w:val="single"/>
          <w:lang w:val="en-US" w:eastAsia="zh-CN"/>
        </w:rPr>
        <w:t xml:space="preserve">              </w:t>
      </w:r>
    </w:p>
    <w:p>
      <w:pPr>
        <w:adjustRightInd w:val="0"/>
        <w:snapToGrid w:val="0"/>
        <w:spacing w:line="288" w:lineRule="auto"/>
        <w:ind w:firstLine="360" w:firstLineChars="100"/>
        <w:rPr>
          <w:rFonts w:hint="eastAsia" w:ascii="宋体" w:hAnsi="宋体" w:eastAsia="宋体"/>
          <w:sz w:val="36"/>
          <w:szCs w:val="36"/>
          <w:u w:val="single"/>
          <w:lang w:val="en-US" w:eastAsia="zh-CN"/>
        </w:rPr>
      </w:pPr>
      <w:r>
        <w:rPr>
          <w:rFonts w:hint="eastAsia" w:ascii="宋体" w:hAnsi="宋体"/>
          <w:sz w:val="36"/>
          <w:szCs w:val="36"/>
        </w:rPr>
        <w:t>建设单位（盖章）：</w:t>
      </w:r>
      <w:r>
        <w:rPr>
          <w:rFonts w:hint="eastAsia" w:ascii="宋体" w:hAnsi="宋体"/>
          <w:sz w:val="36"/>
          <w:szCs w:val="36"/>
          <w:u w:val="single"/>
        </w:rPr>
        <w:t xml:space="preserve">    常州宝捷冲片有限公司   </w:t>
      </w:r>
      <w:r>
        <w:rPr>
          <w:rFonts w:hint="eastAsia" w:ascii="宋体" w:hAnsi="宋体"/>
          <w:sz w:val="36"/>
          <w:szCs w:val="36"/>
          <w:u w:val="single"/>
          <w:lang w:val="en-US" w:eastAsia="zh-CN"/>
        </w:rPr>
        <w:t xml:space="preserve"> </w:t>
      </w:r>
    </w:p>
    <w:p>
      <w:pPr>
        <w:adjustRightInd w:val="0"/>
        <w:snapToGrid w:val="0"/>
        <w:spacing w:line="288" w:lineRule="auto"/>
        <w:ind w:firstLine="360" w:firstLineChars="100"/>
        <w:rPr>
          <w:rFonts w:hint="eastAsia" w:ascii="宋体" w:hAnsi="宋体" w:eastAsia="宋体"/>
          <w:sz w:val="36"/>
          <w:szCs w:val="36"/>
          <w:u w:val="single"/>
          <w:lang w:val="en-US" w:eastAsia="zh-CN"/>
        </w:rPr>
      </w:pPr>
      <w:r>
        <w:rPr>
          <w:rFonts w:hint="eastAsia" w:ascii="宋体" w:hAnsi="宋体"/>
          <w:sz w:val="36"/>
          <w:szCs w:val="36"/>
        </w:rPr>
        <w:t>编制日期：</w:t>
      </w:r>
      <w:r>
        <w:rPr>
          <w:rFonts w:hint="eastAsia" w:ascii="宋体" w:hAnsi="宋体"/>
          <w:sz w:val="36"/>
          <w:szCs w:val="36"/>
          <w:u w:val="single"/>
        </w:rPr>
        <w:t xml:space="preserve"> </w:t>
      </w:r>
      <w:r>
        <w:rPr>
          <w:rFonts w:ascii="宋体" w:hAnsi="宋体"/>
          <w:sz w:val="36"/>
          <w:szCs w:val="36"/>
          <w:u w:val="single"/>
        </w:rPr>
        <w:t xml:space="preserve">        </w:t>
      </w:r>
      <w:r>
        <w:rPr>
          <w:rFonts w:hint="eastAsia" w:ascii="宋体" w:hAnsi="宋体"/>
          <w:sz w:val="36"/>
          <w:szCs w:val="36"/>
          <w:u w:val="single"/>
        </w:rPr>
        <w:t xml:space="preserve">   </w:t>
      </w:r>
      <w:r>
        <w:rPr>
          <w:rFonts w:hint="eastAsia"/>
          <w:sz w:val="36"/>
          <w:szCs w:val="36"/>
          <w:u w:val="single"/>
        </w:rPr>
        <w:t>2022</w:t>
      </w:r>
      <w:r>
        <w:rPr>
          <w:sz w:val="36"/>
          <w:szCs w:val="36"/>
          <w:u w:val="single"/>
        </w:rPr>
        <w:t>年</w:t>
      </w:r>
      <w:r>
        <w:rPr>
          <w:rFonts w:hint="eastAsia"/>
          <w:sz w:val="36"/>
          <w:szCs w:val="36"/>
          <w:u w:val="single"/>
          <w:lang w:val="en-US" w:eastAsia="zh-CN"/>
        </w:rPr>
        <w:t>6</w:t>
      </w:r>
      <w:r>
        <w:rPr>
          <w:sz w:val="36"/>
          <w:szCs w:val="36"/>
          <w:u w:val="single"/>
        </w:rPr>
        <w:t>月</w:t>
      </w:r>
      <w:r>
        <w:rPr>
          <w:rFonts w:ascii="宋体" w:hAnsi="宋体"/>
          <w:sz w:val="36"/>
          <w:szCs w:val="36"/>
          <w:u w:val="single"/>
        </w:rPr>
        <w:t xml:space="preserve">      </w:t>
      </w:r>
      <w:r>
        <w:rPr>
          <w:rFonts w:hint="eastAsia" w:ascii="宋体" w:hAnsi="宋体"/>
          <w:sz w:val="36"/>
          <w:szCs w:val="36"/>
          <w:u w:val="single"/>
        </w:rPr>
        <w:t xml:space="preserve">      </w:t>
      </w:r>
      <w:r>
        <w:rPr>
          <w:rFonts w:hint="eastAsia" w:ascii="宋体" w:hAnsi="宋体"/>
          <w:sz w:val="36"/>
          <w:szCs w:val="36"/>
          <w:u w:val="single"/>
          <w:lang w:val="en-US" w:eastAsia="zh-CN"/>
        </w:rPr>
        <w:t xml:space="preserve"> </w:t>
      </w:r>
    </w:p>
    <w:p>
      <w:pPr>
        <w:adjustRightInd w:val="0"/>
        <w:snapToGrid w:val="0"/>
        <w:spacing w:line="288" w:lineRule="auto"/>
        <w:ind w:firstLine="1040"/>
        <w:rPr>
          <w:rFonts w:ascii="FangSong_GB2312" w:eastAsia="FangSong_GB2312"/>
          <w:sz w:val="36"/>
          <w:szCs w:val="36"/>
          <w:u w:val="single"/>
        </w:rPr>
      </w:pPr>
      <w:bookmarkStart w:id="1" w:name="_Hlk57884087"/>
    </w:p>
    <w:p>
      <w:pPr>
        <w:adjustRightInd w:val="0"/>
        <w:snapToGrid w:val="0"/>
        <w:spacing w:line="288" w:lineRule="auto"/>
        <w:rPr>
          <w:rFonts w:ascii="FangSong_GB2312" w:eastAsia="FangSong_GB2312"/>
          <w:sz w:val="36"/>
          <w:szCs w:val="36"/>
        </w:rPr>
      </w:pPr>
    </w:p>
    <w:p>
      <w:pPr>
        <w:adjustRightInd w:val="0"/>
        <w:snapToGrid w:val="0"/>
        <w:spacing w:line="288" w:lineRule="auto"/>
        <w:rPr>
          <w:rFonts w:ascii="FangSong_GB2312" w:eastAsia="FangSong_GB2312"/>
          <w:sz w:val="36"/>
          <w:szCs w:val="36"/>
        </w:rPr>
      </w:pPr>
    </w:p>
    <w:p>
      <w:pPr>
        <w:adjustRightInd w:val="0"/>
        <w:snapToGrid w:val="0"/>
        <w:spacing w:line="288" w:lineRule="auto"/>
        <w:rPr>
          <w:rFonts w:ascii="FangSong_GB2312" w:eastAsia="FangSong_GB2312"/>
          <w:sz w:val="36"/>
          <w:szCs w:val="36"/>
        </w:rPr>
      </w:pPr>
    </w:p>
    <w:bookmarkEnd w:id="1"/>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FangSong_GB2312" w:eastAsia="FangSong_GB2312"/>
          <w:sz w:val="36"/>
          <w:szCs w:val="36"/>
        </w:rPr>
        <w:sectPr>
          <w:footerReference r:id="rId4" w:type="default"/>
          <w:headerReference r:id="rId3" w:type="even"/>
          <w:footerReference r:id="rId5" w:type="even"/>
          <w:pgSz w:w="11906" w:h="16838"/>
          <w:pgMar w:top="1701" w:right="1531" w:bottom="1701" w:left="1531" w:header="851" w:footer="1077" w:gutter="0"/>
          <w:pgNumType w:start="3"/>
          <w:cols w:space="720" w:num="1"/>
          <w:titlePg/>
          <w:docGrid w:linePitch="312" w:charSpace="0"/>
        </w:sectPr>
      </w:pPr>
    </w:p>
    <w:sdt>
      <w:sdtPr>
        <w:rPr>
          <w:rFonts w:ascii="宋体" w:hAnsi="宋体" w:eastAsia="宋体" w:cs="Times New Roman"/>
          <w:kern w:val="2"/>
          <w:sz w:val="30"/>
          <w:szCs w:val="30"/>
          <w:lang w:val="en-US" w:eastAsia="zh-CN" w:bidi="ar-SA"/>
        </w:rPr>
        <w:id w:val="147478065"/>
        <w15:color w:val="DBDBDB"/>
        <w:docPartObj>
          <w:docPartGallery w:val="Table of Contents"/>
          <w:docPartUnique/>
        </w:docPartObj>
      </w:sdtPr>
      <w:sdtEndPr>
        <w:rPr>
          <w:rFonts w:ascii="宋体" w:hAnsi="宋体" w:eastAsia="FangSong_GB2312" w:cs="宋体"/>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sz w:val="30"/>
              <w:szCs w:val="30"/>
            </w:rPr>
          </w:pPr>
          <w:r>
            <w:rPr>
              <w:rFonts w:ascii="宋体" w:hAnsi="宋体" w:eastAsia="宋体"/>
              <w:sz w:val="30"/>
              <w:szCs w:val="30"/>
            </w:rPr>
            <w:t>目录</w:t>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sz w:val="24"/>
              <w:szCs w:val="24"/>
            </w:rPr>
          </w:pPr>
          <w:r>
            <w:fldChar w:fldCharType="begin"/>
          </w:r>
          <w:r>
            <w:instrText xml:space="preserve">TOC \o "1-1" \h \u </w:instrText>
          </w:r>
          <w:r>
            <w:fldChar w:fldCharType="separate"/>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_Toc26343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一、建设项目基本情况</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_Toc26343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1</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_Toc28123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二、建设项目工程分析</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_Toc28123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18</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_Toc26313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三、区域环境质量现状、环境保护目标及评价标准</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_Toc26313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35</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_Toc22731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四、主要环境影响和保护措施</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_Toc22731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47</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_Toc6607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五、环境保护措施监督检查清单</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_Toc6607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81</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val="0"/>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_Toc18773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六、结论</w:t>
          </w:r>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_Toc18773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83</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keepNext w:val="0"/>
            <w:keepLines w:val="0"/>
            <w:pageBreakBefore w:val="0"/>
            <w:widowControl/>
            <w:tabs>
              <w:tab w:val="right" w:leader="dot" w:pos="8844"/>
            </w:tabs>
            <w:kinsoku/>
            <w:wordWrap/>
            <w:overflowPunct/>
            <w:topLinePunct w:val="0"/>
            <w:autoSpaceDE/>
            <w:autoSpaceDN/>
            <w:bidi w:val="0"/>
            <w:adjustRightInd/>
            <w:snapToGrid/>
            <w:spacing w:line="360" w:lineRule="auto"/>
            <w:textAlignment w:val="auto"/>
            <w:rPr>
              <w:sz w:val="24"/>
              <w:szCs w:val="24"/>
            </w:rPr>
          </w:pP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HYPERLINK \l _Toc31745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napToGrid w:val="0"/>
              <w:sz w:val="24"/>
              <w:szCs w:val="24"/>
            </w:rPr>
            <w:t>附表</w:t>
          </w:r>
          <w:bookmarkStart w:id="32" w:name="_GoBack"/>
          <w:bookmarkEnd w:id="32"/>
          <w:r>
            <w:rPr>
              <w:rFonts w:hint="default" w:ascii="Times New Roman" w:hAnsi="Times New Roman" w:cs="Times New Roman" w:eastAsiaTheme="minorEastAsia"/>
              <w:b w:val="0"/>
              <w:bCs w:val="0"/>
              <w:sz w:val="24"/>
              <w:szCs w:val="24"/>
            </w:rPr>
            <w:tab/>
          </w:r>
          <w:r>
            <w:rPr>
              <w:rFonts w:hint="default" w:ascii="Times New Roman" w:hAnsi="Times New Roman" w:cs="Times New Roman" w:eastAsiaTheme="minorEastAsia"/>
              <w:b w:val="0"/>
              <w:bCs w:val="0"/>
              <w:sz w:val="24"/>
              <w:szCs w:val="24"/>
            </w:rPr>
            <w:fldChar w:fldCharType="begin"/>
          </w:r>
          <w:r>
            <w:rPr>
              <w:rFonts w:hint="default" w:ascii="Times New Roman" w:hAnsi="Times New Roman" w:cs="Times New Roman" w:eastAsiaTheme="minorEastAsia"/>
              <w:b w:val="0"/>
              <w:bCs w:val="0"/>
              <w:sz w:val="24"/>
              <w:szCs w:val="24"/>
            </w:rPr>
            <w:instrText xml:space="preserve"> PAGEREF _Toc31745 \h </w:instrText>
          </w:r>
          <w:r>
            <w:rPr>
              <w:rFonts w:hint="default" w:ascii="Times New Roman" w:hAnsi="Times New Roman" w:cs="Times New Roman" w:eastAsiaTheme="minorEastAsia"/>
              <w:b w:val="0"/>
              <w:bCs w:val="0"/>
              <w:sz w:val="24"/>
              <w:szCs w:val="24"/>
            </w:rPr>
            <w:fldChar w:fldCharType="separate"/>
          </w:r>
          <w:r>
            <w:rPr>
              <w:rFonts w:hint="default" w:ascii="Times New Roman" w:hAnsi="Times New Roman" w:cs="Times New Roman" w:eastAsiaTheme="minorEastAsia"/>
              <w:b w:val="0"/>
              <w:bCs w:val="0"/>
              <w:sz w:val="24"/>
              <w:szCs w:val="24"/>
            </w:rPr>
            <w:t>84</w:t>
          </w:r>
          <w:r>
            <w:rPr>
              <w:rFonts w:hint="default" w:ascii="Times New Roman" w:hAnsi="Times New Roman" w:cs="Times New Roman" w:eastAsiaTheme="minorEastAsia"/>
              <w:b w:val="0"/>
              <w:bCs w:val="0"/>
              <w:sz w:val="24"/>
              <w:szCs w:val="24"/>
            </w:rPr>
            <w:fldChar w:fldCharType="end"/>
          </w:r>
          <w:r>
            <w:rPr>
              <w:rFonts w:hint="default" w:ascii="Times New Roman" w:hAnsi="Times New Roman" w:cs="Times New Roman" w:eastAsiaTheme="minorEastAsia"/>
              <w:b w:val="0"/>
              <w:bCs w:val="0"/>
              <w:sz w:val="24"/>
              <w:szCs w:val="24"/>
            </w:rPr>
            <w:fldChar w:fldCharType="end"/>
          </w:r>
        </w:p>
        <w:p>
          <w:pPr>
            <w:pStyle w:val="86"/>
            <w:tabs>
              <w:tab w:val="right" w:leader="dot" w:pos="8844"/>
            </w:tabs>
          </w:pPr>
        </w:p>
        <w:p>
          <w:pPr>
            <w:pStyle w:val="27"/>
            <w:sectPr>
              <w:pgSz w:w="11906" w:h="16838"/>
              <w:pgMar w:top="1701" w:right="1531" w:bottom="1701" w:left="1531" w:header="851" w:footer="1077" w:gutter="0"/>
              <w:pgNumType w:start="3"/>
              <w:cols w:space="720" w:num="1"/>
              <w:titlePg/>
              <w:docGrid w:linePitch="312" w:charSpace="0"/>
            </w:sectPr>
          </w:pPr>
          <w:r>
            <w:fldChar w:fldCharType="end"/>
          </w:r>
        </w:p>
      </w:sdtContent>
    </w:sdt>
    <w:p>
      <w:pPr>
        <w:pStyle w:val="18"/>
        <w:spacing w:before="0" w:beforeAutospacing="0" w:after="0" w:afterAutospacing="0"/>
        <w:contextualSpacing/>
        <w:jc w:val="center"/>
        <w:outlineLvl w:val="0"/>
        <w:rPr>
          <w:rFonts w:ascii="黑体" w:hAnsi="黑体" w:eastAsia="黑体"/>
          <w:snapToGrid w:val="0"/>
          <w:sz w:val="30"/>
          <w:szCs w:val="30"/>
        </w:rPr>
      </w:pPr>
      <w:bookmarkStart w:id="2" w:name="_Toc26343"/>
      <w:r>
        <w:rPr>
          <w:rFonts w:hint="eastAsia" w:ascii="黑体" w:hAnsi="黑体" w:eastAsia="黑体"/>
          <w:snapToGrid w:val="0"/>
          <w:sz w:val="30"/>
          <w:szCs w:val="30"/>
        </w:rPr>
        <w:t>一、建设项目基本情况</w:t>
      </w:r>
      <w:bookmarkEnd w:id="2"/>
    </w:p>
    <w:tbl>
      <w:tblPr>
        <w:tblStyle w:val="21"/>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1"/>
        <w:gridCol w:w="1394"/>
        <w:gridCol w:w="1741"/>
        <w:gridCol w:w="22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建设项目名称</w:t>
            </w:r>
          </w:p>
        </w:tc>
        <w:tc>
          <w:tcPr>
            <w:tcW w:w="7000" w:type="dxa"/>
            <w:gridSpan w:val="3"/>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年产电机铁芯</w:t>
            </w:r>
            <w:r>
              <w:rPr>
                <w:szCs w:val="21"/>
              </w:rPr>
              <w:t>3000</w:t>
            </w:r>
            <w:r>
              <w:rPr>
                <w:rFonts w:hAnsi="宋体"/>
                <w:szCs w:val="21"/>
              </w:rPr>
              <w:t>万套、电机机壳</w:t>
            </w:r>
            <w:r>
              <w:rPr>
                <w:szCs w:val="21"/>
              </w:rPr>
              <w:t>2000</w:t>
            </w:r>
            <w:r>
              <w:rPr>
                <w:rFonts w:hAnsi="宋体"/>
                <w:szCs w:val="21"/>
              </w:rPr>
              <w:t>万只项目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项目代码</w:t>
            </w:r>
          </w:p>
        </w:tc>
        <w:tc>
          <w:tcPr>
            <w:tcW w:w="7000" w:type="dxa"/>
            <w:gridSpan w:val="3"/>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2</w:t>
            </w:r>
            <w:r>
              <w:rPr>
                <w:rFonts w:hint="eastAsia"/>
                <w:szCs w:val="21"/>
              </w:rPr>
              <w:t>203-320412-89-01-219787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建设单位联系人</w:t>
            </w:r>
          </w:p>
        </w:tc>
        <w:tc>
          <w:tcPr>
            <w:tcW w:w="17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邹楚楠</w:t>
            </w:r>
          </w:p>
        </w:tc>
        <w:tc>
          <w:tcPr>
            <w:tcW w:w="2225"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联系方式</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15006120322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建设地点</w:t>
            </w:r>
          </w:p>
        </w:tc>
        <w:tc>
          <w:tcPr>
            <w:tcW w:w="7000" w:type="dxa"/>
            <w:gridSpan w:val="3"/>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江苏省常州市武进区洛阳镇新科西路</w:t>
            </w:r>
            <w:r>
              <w:rPr>
                <w:szCs w:val="21"/>
              </w:rPr>
              <w:t>21</w:t>
            </w:r>
            <w:r>
              <w:rPr>
                <w:rFonts w:hAnsi="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地理坐标</w:t>
            </w:r>
          </w:p>
        </w:tc>
        <w:tc>
          <w:tcPr>
            <w:tcW w:w="7000" w:type="dxa"/>
            <w:gridSpan w:val="3"/>
            <w:vAlign w:val="center"/>
          </w:tcPr>
          <w:p>
            <w:pPr>
              <w:keepNext w:val="0"/>
              <w:keepLines w:val="0"/>
              <w:suppressLineNumbers w:val="0"/>
              <w:spacing w:before="0" w:beforeAutospacing="0" w:after="0" w:afterAutospacing="0"/>
              <w:ind w:left="0" w:right="0"/>
              <w:jc w:val="center"/>
              <w:rPr>
                <w:szCs w:val="21"/>
              </w:rPr>
            </w:pPr>
            <w:r>
              <w:rPr>
                <w:rFonts w:hAnsi="宋体"/>
                <w:szCs w:val="21"/>
              </w:rPr>
              <w:t>（</w:t>
            </w:r>
            <w:r>
              <w:rPr>
                <w:szCs w:val="21"/>
                <w:u w:val="single"/>
              </w:rPr>
              <w:t>120</w:t>
            </w:r>
            <w:r>
              <w:rPr>
                <w:rFonts w:hAnsi="宋体"/>
                <w:szCs w:val="21"/>
              </w:rPr>
              <w:t>度</w:t>
            </w:r>
            <w:r>
              <w:rPr>
                <w:rFonts w:hint="eastAsia"/>
                <w:szCs w:val="21"/>
                <w:u w:val="single"/>
              </w:rPr>
              <w:t>3</w:t>
            </w:r>
            <w:r>
              <w:rPr>
                <w:rFonts w:hAnsi="宋体"/>
                <w:szCs w:val="21"/>
              </w:rPr>
              <w:t>分</w:t>
            </w:r>
            <w:r>
              <w:rPr>
                <w:rFonts w:hint="eastAsia"/>
                <w:szCs w:val="21"/>
                <w:u w:val="single"/>
              </w:rPr>
              <w:t>54.116</w:t>
            </w:r>
            <w:r>
              <w:rPr>
                <w:rFonts w:hAnsi="宋体"/>
                <w:szCs w:val="21"/>
              </w:rPr>
              <w:t>秒，</w:t>
            </w:r>
            <w:r>
              <w:rPr>
                <w:szCs w:val="21"/>
                <w:u w:val="single"/>
              </w:rPr>
              <w:t>31</w:t>
            </w:r>
            <w:r>
              <w:rPr>
                <w:rFonts w:hAnsi="宋体"/>
                <w:szCs w:val="21"/>
              </w:rPr>
              <w:t>度</w:t>
            </w:r>
            <w:r>
              <w:rPr>
                <w:szCs w:val="21"/>
                <w:u w:val="single"/>
              </w:rPr>
              <w:t>39</w:t>
            </w:r>
            <w:r>
              <w:rPr>
                <w:rFonts w:hAnsi="宋体"/>
                <w:szCs w:val="21"/>
              </w:rPr>
              <w:t>分</w:t>
            </w:r>
            <w:r>
              <w:rPr>
                <w:rFonts w:hint="eastAsia"/>
                <w:szCs w:val="21"/>
                <w:u w:val="single"/>
              </w:rPr>
              <w:t>7.105</w:t>
            </w:r>
            <w:r>
              <w:rPr>
                <w:rFonts w:hAnsi="宋体"/>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国民经济</w:t>
            </w:r>
          </w:p>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行业类别</w:t>
            </w:r>
          </w:p>
        </w:tc>
        <w:tc>
          <w:tcPr>
            <w:tcW w:w="17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C3819</w:t>
            </w:r>
            <w:r>
              <w:rPr>
                <w:rFonts w:hAnsi="宋体"/>
                <w:szCs w:val="21"/>
              </w:rPr>
              <w:t>其他电机制造</w:t>
            </w:r>
          </w:p>
        </w:tc>
        <w:tc>
          <w:tcPr>
            <w:tcW w:w="2225"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建设项目</w:t>
            </w:r>
          </w:p>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行业类别</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三十五、电气机械和器材制造业</w:t>
            </w:r>
          </w:p>
          <w:p>
            <w:pPr>
              <w:keepNext w:val="0"/>
              <w:keepLines w:val="0"/>
              <w:suppressLineNumbers w:val="0"/>
              <w:adjustRightInd w:val="0"/>
              <w:snapToGrid w:val="0"/>
              <w:spacing w:before="0" w:beforeAutospacing="0" w:after="0" w:afterAutospacing="0"/>
              <w:ind w:left="0" w:right="0"/>
              <w:jc w:val="center"/>
              <w:rPr>
                <w:szCs w:val="21"/>
              </w:rPr>
            </w:pPr>
            <w:r>
              <w:rPr>
                <w:szCs w:val="21"/>
              </w:rPr>
              <w:t>77</w:t>
            </w:r>
            <w:r>
              <w:rPr>
                <w:rFonts w:hAnsi="宋体"/>
                <w:szCs w:val="21"/>
              </w:rPr>
              <w:t>电机制造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建设性质</w:t>
            </w:r>
          </w:p>
        </w:tc>
        <w:tc>
          <w:tcPr>
            <w:tcW w:w="1717" w:type="dxa"/>
            <w:vAlign w:val="center"/>
          </w:tcPr>
          <w:p>
            <w:pPr>
              <w:keepNext w:val="0"/>
              <w:keepLines w:val="0"/>
              <w:suppressLineNumbers w:val="0"/>
              <w:spacing w:before="0" w:beforeAutospacing="0" w:after="0" w:afterAutospacing="0"/>
              <w:ind w:left="0" w:right="0"/>
              <w:jc w:val="left"/>
              <w:rPr>
                <w:rFonts w:ascii="宋体" w:hAnsi="宋体" w:cs="宋体"/>
                <w:szCs w:val="21"/>
              </w:rPr>
            </w:pPr>
            <w:r>
              <w:rPr>
                <w:rFonts w:ascii="Wingdings 2" w:hAnsi="Wingdings 2" w:cs="宋体"/>
                <w:szCs w:val="21"/>
              </w:rPr>
              <w:t></w:t>
            </w:r>
            <w:r>
              <w:rPr>
                <w:rFonts w:hint="eastAsia" w:ascii="宋体" w:hAnsi="宋体" w:cs="宋体"/>
                <w:szCs w:val="21"/>
              </w:rPr>
              <w:t>新建（迁建）</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t>□改建</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t>□扩建</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t>□技术改造</w:t>
            </w:r>
          </w:p>
        </w:tc>
        <w:tc>
          <w:tcPr>
            <w:tcW w:w="2225"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建设项目</w:t>
            </w:r>
          </w:p>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申报情形</w:t>
            </w:r>
          </w:p>
        </w:tc>
        <w:tc>
          <w:tcPr>
            <w:tcW w:w="3058" w:type="dxa"/>
            <w:vAlign w:val="center"/>
          </w:tcPr>
          <w:p>
            <w:pPr>
              <w:keepNext w:val="0"/>
              <w:keepLines w:val="0"/>
              <w:suppressLineNumbers w:val="0"/>
              <w:spacing w:before="0" w:beforeAutospacing="0" w:after="0" w:afterAutospacing="0"/>
              <w:ind w:left="0" w:right="0"/>
              <w:jc w:val="left"/>
              <w:rPr>
                <w:rFonts w:ascii="宋体" w:hAnsi="宋体" w:cs="宋体"/>
                <w:szCs w:val="21"/>
              </w:rPr>
            </w:pPr>
            <w:r>
              <w:rPr>
                <w:rFonts w:ascii="Wingdings 2" w:hAnsi="Wingdings 2" w:cs="宋体"/>
                <w:szCs w:val="21"/>
              </w:rPr>
              <w:t></w:t>
            </w:r>
            <w:r>
              <w:rPr>
                <w:rFonts w:hint="eastAsia" w:ascii="宋体" w:hAnsi="宋体" w:cs="宋体"/>
                <w:szCs w:val="21"/>
              </w:rPr>
              <w:t>首次申报项目</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t>□不予批准后再次申报项目</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超五年重新审核项目</w:t>
            </w:r>
          </w:p>
          <w:p>
            <w:pPr>
              <w:keepNext w:val="0"/>
              <w:keepLines w:val="0"/>
              <w:suppressLineNumbers w:val="0"/>
              <w:spacing w:before="0" w:beforeAutospacing="0" w:after="0" w:afterAutospacing="0"/>
              <w:ind w:left="0" w:right="0"/>
              <w:jc w:val="left"/>
              <w:rPr>
                <w:rFonts w:ascii="宋体" w:hAnsi="宋体" w:cs="宋体"/>
                <w:szCs w:val="21"/>
              </w:rPr>
            </w:pPr>
            <w:r>
              <w:rPr>
                <w:rFonts w:hint="eastAsia" w:ascii="宋体" w:hAnsi="宋体" w:cs="宋体"/>
                <w:szCs w:val="21"/>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项目审批（核准</w:t>
            </w:r>
            <w:r>
              <w:rPr>
                <w:rFonts w:ascii="宋体" w:hAnsi="宋体" w:cs="宋体"/>
                <w:szCs w:val="21"/>
              </w:rPr>
              <w:t>/</w:t>
            </w:r>
          </w:p>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备案）部门（选填）</w:t>
            </w:r>
          </w:p>
        </w:tc>
        <w:tc>
          <w:tcPr>
            <w:tcW w:w="17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常州市武进区行政审批局</w:t>
            </w:r>
          </w:p>
        </w:tc>
        <w:tc>
          <w:tcPr>
            <w:tcW w:w="2225"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项目审批（核准</w:t>
            </w:r>
            <w:r>
              <w:rPr>
                <w:szCs w:val="21"/>
              </w:rPr>
              <w:t>/</w:t>
            </w:r>
          </w:p>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备案）文号（选填）</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武行审备〔</w:t>
            </w:r>
            <w:r>
              <w:rPr>
                <w:szCs w:val="21"/>
              </w:rPr>
              <w:t>202</w:t>
            </w:r>
            <w:r>
              <w:rPr>
                <w:rFonts w:hint="eastAsia"/>
                <w:szCs w:val="21"/>
              </w:rPr>
              <w:t>2</w:t>
            </w:r>
            <w:r>
              <w:rPr>
                <w:rFonts w:hAnsi="宋体"/>
                <w:szCs w:val="21"/>
              </w:rPr>
              <w:t>〕</w:t>
            </w:r>
            <w:r>
              <w:rPr>
                <w:rFonts w:hint="eastAsia"/>
                <w:szCs w:val="21"/>
              </w:rPr>
              <w:t>57</w:t>
            </w:r>
            <w:r>
              <w:rPr>
                <w:rFonts w:hAnsi="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总投资（万元）</w:t>
            </w:r>
          </w:p>
        </w:tc>
        <w:tc>
          <w:tcPr>
            <w:tcW w:w="17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3</w:t>
            </w:r>
            <w:r>
              <w:rPr>
                <w:rFonts w:hint="eastAsia"/>
                <w:szCs w:val="21"/>
              </w:rPr>
              <w:t>05</w:t>
            </w:r>
            <w:r>
              <w:rPr>
                <w:szCs w:val="21"/>
              </w:rPr>
              <w:t>00</w:t>
            </w:r>
          </w:p>
        </w:tc>
        <w:tc>
          <w:tcPr>
            <w:tcW w:w="2225"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环保投资（万元）</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环保投资占比（</w:t>
            </w:r>
            <w:r>
              <w:rPr>
                <w:rFonts w:ascii="宋体" w:hAnsi="宋体" w:cs="宋体"/>
                <w:szCs w:val="21"/>
              </w:rPr>
              <w:t>%</w:t>
            </w:r>
            <w:r>
              <w:rPr>
                <w:rFonts w:hint="eastAsia" w:ascii="宋体" w:hAnsi="宋体" w:cs="宋体"/>
                <w:szCs w:val="21"/>
              </w:rPr>
              <w:t>）</w:t>
            </w:r>
          </w:p>
        </w:tc>
        <w:tc>
          <w:tcPr>
            <w:tcW w:w="17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0.</w:t>
            </w:r>
            <w:r>
              <w:rPr>
                <w:rFonts w:hint="eastAsia"/>
                <w:szCs w:val="21"/>
              </w:rPr>
              <w:t>39</w:t>
            </w:r>
          </w:p>
        </w:tc>
        <w:tc>
          <w:tcPr>
            <w:tcW w:w="2225"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施工工期</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3</w:t>
            </w:r>
            <w:r>
              <w:rPr>
                <w:rFonts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051" w:type="dxa"/>
            <w:gridSpan w:val="2"/>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是否开工建设</w:t>
            </w:r>
          </w:p>
        </w:tc>
        <w:tc>
          <w:tcPr>
            <w:tcW w:w="1717" w:type="dxa"/>
            <w:vAlign w:val="center"/>
          </w:tcPr>
          <w:p>
            <w:pPr>
              <w:keepNext w:val="0"/>
              <w:keepLines w:val="0"/>
              <w:suppressLineNumbers w:val="0"/>
              <w:adjustRightInd w:val="0"/>
              <w:snapToGrid w:val="0"/>
              <w:spacing w:before="0" w:beforeAutospacing="0" w:after="0" w:afterAutospacing="0"/>
              <w:ind w:left="0" w:right="0"/>
              <w:rPr>
                <w:rFonts w:ascii="宋体" w:hAnsi="宋体" w:cs="宋体"/>
                <w:szCs w:val="21"/>
              </w:rPr>
            </w:pPr>
            <w:r>
              <w:rPr>
                <w:rFonts w:ascii="Wingdings 2" w:hAnsi="Wingdings 2" w:cs="宋体"/>
                <w:szCs w:val="21"/>
              </w:rPr>
              <w:t></w:t>
            </w:r>
            <w:r>
              <w:rPr>
                <w:rFonts w:hint="eastAsia" w:ascii="宋体" w:hAnsi="宋体" w:cs="宋体"/>
                <w:szCs w:val="21"/>
              </w:rPr>
              <w:t>否</w:t>
            </w:r>
          </w:p>
          <w:p>
            <w:pPr>
              <w:keepNext w:val="0"/>
              <w:keepLines w:val="0"/>
              <w:suppressLineNumbers w:val="0"/>
              <w:adjustRightInd w:val="0"/>
              <w:snapToGrid w:val="0"/>
              <w:spacing w:before="0" w:beforeAutospacing="0" w:after="0" w:afterAutospacing="0"/>
              <w:ind w:left="0" w:right="0"/>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p>
        </w:tc>
        <w:tc>
          <w:tcPr>
            <w:tcW w:w="2225" w:type="dxa"/>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spacing w:val="-6"/>
                <w:szCs w:val="21"/>
              </w:rPr>
            </w:pPr>
            <w:r>
              <w:rPr>
                <w:rFonts w:hint="eastAsia" w:ascii="宋体" w:hAnsi="宋体" w:cs="宋体"/>
                <w:spacing w:val="-6"/>
                <w:szCs w:val="21"/>
              </w:rPr>
              <w:t>用</w:t>
            </w:r>
            <w:r>
              <w:rPr>
                <w:rFonts w:hAnsi="宋体"/>
                <w:spacing w:val="-6"/>
                <w:szCs w:val="21"/>
              </w:rPr>
              <w:t>地面积（</w:t>
            </w:r>
            <w:r>
              <w:rPr>
                <w:spacing w:val="-6"/>
                <w:szCs w:val="21"/>
              </w:rPr>
              <w:t>m</w:t>
            </w:r>
            <w:r>
              <w:rPr>
                <w:spacing w:val="-6"/>
                <w:szCs w:val="21"/>
                <w:vertAlign w:val="superscript"/>
              </w:rPr>
              <w:t>2</w:t>
            </w:r>
            <w:r>
              <w:rPr>
                <w:rFonts w:hAnsi="宋体"/>
                <w:spacing w:val="-6"/>
                <w:szCs w:val="21"/>
              </w:rPr>
              <w:t>）</w:t>
            </w:r>
          </w:p>
        </w:tc>
        <w:tc>
          <w:tcPr>
            <w:tcW w:w="305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45</w:t>
            </w:r>
            <w:r>
              <w:rPr>
                <w:rFonts w:hint="eastAsia"/>
                <w:szCs w:val="21"/>
                <w:lang w:val="en-US" w:eastAsia="zh-CN"/>
              </w:rPr>
              <w:t>146.5</w:t>
            </w:r>
            <w:r>
              <w:rPr>
                <w:rFonts w:hint="eastAsia"/>
                <w:szCs w:val="21"/>
              </w:rPr>
              <w:t>（68亩）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205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专项评价设置情况</w:t>
            </w:r>
          </w:p>
        </w:tc>
        <w:tc>
          <w:tcPr>
            <w:tcW w:w="7000"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05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szCs w:val="21"/>
              </w:rPr>
              <w:t>规划情况</w:t>
            </w:r>
          </w:p>
        </w:tc>
        <w:tc>
          <w:tcPr>
            <w:tcW w:w="7000"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left"/>
              <w:rPr>
                <w:kern w:val="0"/>
                <w:szCs w:val="21"/>
              </w:rPr>
            </w:pPr>
            <w:r>
              <w:rPr>
                <w:kern w:val="0"/>
                <w:szCs w:val="21"/>
              </w:rPr>
              <w:t>规划名称：常州市武进区洛阳镇总体规划（2016-2020年）</w:t>
            </w:r>
          </w:p>
          <w:p>
            <w:pPr>
              <w:keepNext w:val="0"/>
              <w:keepLines w:val="0"/>
              <w:suppressLineNumbers w:val="0"/>
              <w:autoSpaceDE w:val="0"/>
              <w:autoSpaceDN w:val="0"/>
              <w:adjustRightInd w:val="0"/>
              <w:snapToGrid w:val="0"/>
              <w:spacing w:before="0" w:beforeAutospacing="0" w:after="0" w:afterAutospacing="0"/>
              <w:ind w:left="0" w:right="0"/>
              <w:jc w:val="left"/>
              <w:rPr>
                <w:kern w:val="0"/>
                <w:szCs w:val="21"/>
              </w:rPr>
            </w:pPr>
            <w:r>
              <w:rPr>
                <w:kern w:val="0"/>
                <w:szCs w:val="21"/>
              </w:rPr>
              <w:t>规划审批机关：常州市人民政府</w:t>
            </w:r>
          </w:p>
          <w:p>
            <w:pPr>
              <w:keepNext w:val="0"/>
              <w:keepLines w:val="0"/>
              <w:suppressLineNumbers w:val="0"/>
              <w:adjustRightInd w:val="0"/>
              <w:snapToGrid w:val="0"/>
              <w:spacing w:before="0" w:beforeAutospacing="0" w:after="0" w:afterAutospacing="0"/>
              <w:ind w:left="0" w:right="0"/>
              <w:jc w:val="left"/>
              <w:rPr>
                <w:szCs w:val="21"/>
              </w:rPr>
            </w:pPr>
            <w:r>
              <w:rPr>
                <w:kern w:val="0"/>
                <w:szCs w:val="21"/>
              </w:rPr>
              <w:t>规划审批文件名称及文号：常政复【2016】58号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jc w:val="center"/>
        </w:trPr>
        <w:tc>
          <w:tcPr>
            <w:tcW w:w="2051"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szCs w:val="21"/>
              </w:rPr>
            </w:pPr>
            <w:r>
              <w:rPr>
                <w:rFonts w:hint="eastAsia" w:ascii="宋体" w:hAnsi="宋体" w:cs="宋体"/>
                <w:szCs w:val="21"/>
              </w:rPr>
              <w:t>规划环境影响</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szCs w:val="21"/>
              </w:rPr>
              <w:t>评价情况</w:t>
            </w:r>
          </w:p>
        </w:tc>
        <w:tc>
          <w:tcPr>
            <w:tcW w:w="7000" w:type="dxa"/>
            <w:gridSpan w:val="3"/>
            <w:vAlign w:val="center"/>
          </w:tcPr>
          <w:p>
            <w:pPr>
              <w:keepNext w:val="0"/>
              <w:keepLines w:val="0"/>
              <w:suppressLineNumbers w:val="0"/>
              <w:adjustRightInd w:val="0"/>
              <w:snapToGrid w:val="0"/>
              <w:spacing w:before="0" w:beforeAutospacing="0" w:after="0" w:afterAutospacing="0"/>
              <w:ind w:left="0" w:right="0"/>
              <w:jc w:val="both"/>
            </w:pPr>
            <w:r>
              <w:t>规划名称：《武进区洛阳镇工业集中区规划环境影响报告书》</w:t>
            </w:r>
          </w:p>
          <w:p>
            <w:pPr>
              <w:keepNext w:val="0"/>
              <w:keepLines w:val="0"/>
              <w:suppressLineNumbers w:val="0"/>
              <w:adjustRightInd w:val="0"/>
              <w:snapToGrid w:val="0"/>
              <w:spacing w:before="0" w:beforeAutospacing="0" w:after="0" w:afterAutospacing="0"/>
              <w:ind w:left="0" w:right="0"/>
              <w:jc w:val="both"/>
            </w:pPr>
            <w:r>
              <w:t>规划审批机关：常州市武进区环境保护局</w:t>
            </w:r>
          </w:p>
          <w:p>
            <w:pPr>
              <w:keepNext w:val="0"/>
              <w:keepLines w:val="0"/>
              <w:suppressLineNumbers w:val="0"/>
              <w:adjustRightInd w:val="0"/>
              <w:snapToGrid w:val="0"/>
              <w:spacing w:before="0" w:beforeAutospacing="0" w:after="0" w:afterAutospacing="0"/>
              <w:ind w:left="0" w:right="0"/>
              <w:jc w:val="both"/>
              <w:rPr>
                <w:szCs w:val="21"/>
              </w:rPr>
            </w:pPr>
            <w:r>
              <w:t>审查文件名称及文号：《武进区环保局关于常州市武进区洛阳镇人民政府</w:t>
            </w:r>
            <w:r>
              <w:rPr>
                <w:rFonts w:hint="eastAsia"/>
                <w:lang w:eastAsia="zh-CN"/>
              </w:rPr>
              <w:t>“</w:t>
            </w:r>
            <w:r>
              <w:t>武进区洛阳工业集中区规划</w:t>
            </w:r>
            <w:r>
              <w:rPr>
                <w:rFonts w:hint="eastAsia"/>
                <w:lang w:eastAsia="zh-CN"/>
              </w:rPr>
              <w:t>”</w:t>
            </w:r>
            <w:r>
              <w:t>环境影响报告书的审查意见》（武环行审复[2014]275号）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05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规划及规划环境影响评价符合性分析</w:t>
            </w:r>
          </w:p>
        </w:tc>
        <w:tc>
          <w:tcPr>
            <w:tcW w:w="7000" w:type="dxa"/>
            <w:gridSpan w:val="3"/>
            <w:vAlign w:val="center"/>
          </w:tcPr>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r>
              <w:rPr>
                <w:b/>
              </w:rPr>
              <w:t>一、与《常州市武进区洛阳镇总体规划》相符性分析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rPr>
                <w:rFonts w:hAnsi="宋体"/>
              </w:rPr>
              <w:t>（</w:t>
            </w:r>
            <w:r>
              <w:t>1</w:t>
            </w:r>
            <w:r>
              <w:rPr>
                <w:rFonts w:hAnsi="宋体"/>
              </w:rPr>
              <w:t>）</w:t>
            </w:r>
            <w:r>
              <w:t>规划面积和范围</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规划范围分为洛阳镇域、洛阳镇区和戴溪片区三个层次，其中洛阳镇域规划范围即规划区范围。</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rPr>
                <w:rFonts w:hAnsi="宋体"/>
              </w:rPr>
              <w:t>①</w:t>
            </w:r>
            <w:r>
              <w:t>规划区范围（洛阳镇域规划范围）洛阳镇行政辖区范围，总用地面积55.77平方公里。</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rPr>
                <w:rFonts w:hAnsi="宋体"/>
              </w:rPr>
              <w:t>②</w:t>
            </w:r>
            <w:r>
              <w:t>洛阳镇区规划范围东至横洛东路，南至洛西河、阳湖路，西至232省道，北至洛阳镇域北边界，总用地面积13.55平方公里。</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rPr>
                <w:rFonts w:hAnsi="宋体"/>
              </w:rPr>
              <w:t>③</w:t>
            </w:r>
            <w:r>
              <w:t>戴溪片区规划范围东至岑村路，南至戴溪路，西至戴溪小学及规划河流，北至潘家头自然村，总用地面积1.08平方公里。本项目位于洛阳镇域（即规划区）范围。</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（2）产业定位和布局总体布局：“两心两轴两区”的布局结构；</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两心：生活服务中心、工业服务中心；</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两轴：武南河发展轴（横轴）、武进港发展轴（纵轴）；</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两区：生活区（武进港以东）、工业区（武进港以西）。</w:t>
            </w:r>
          </w:p>
          <w:p>
            <w:pPr>
              <w:keepNext w:val="0"/>
              <w:keepLines w:val="0"/>
              <w:suppressLineNumbers w:val="0"/>
              <w:autoSpaceDE w:val="0"/>
              <w:autoSpaceDN w:val="0"/>
              <w:adjustRightInd w:val="0"/>
              <w:snapToGrid w:val="0"/>
              <w:spacing w:before="0" w:beforeAutospacing="0" w:after="0" w:afterAutospacing="0" w:line="360" w:lineRule="auto"/>
              <w:ind w:left="0" w:right="0" w:firstLine="420" w:firstLineChars="200"/>
            </w:pPr>
            <w:r>
              <w:t>产业定位：以电机电器制造业为主导，发展现代农业、电机制造、商贸旅游双向融合的多元产业。</w:t>
            </w: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r>
              <w:rPr>
                <w:b/>
              </w:rPr>
              <w:t>本项目主要从事</w:t>
            </w:r>
            <w:r>
              <w:rPr>
                <w:rFonts w:hAnsi="宋体"/>
                <w:b/>
                <w:szCs w:val="21"/>
              </w:rPr>
              <w:t>电机铁芯</w:t>
            </w:r>
            <w:r>
              <w:rPr>
                <w:rFonts w:hint="eastAsia"/>
                <w:b/>
                <w:szCs w:val="21"/>
              </w:rPr>
              <w:t>和</w:t>
            </w:r>
            <w:r>
              <w:rPr>
                <w:rFonts w:hAnsi="宋体"/>
                <w:b/>
                <w:szCs w:val="21"/>
              </w:rPr>
              <w:t>电机机壳</w:t>
            </w:r>
            <w:r>
              <w:rPr>
                <w:b/>
              </w:rPr>
              <w:t>制造，</w:t>
            </w:r>
            <w:r>
              <w:rPr>
                <w:rFonts w:hint="eastAsia"/>
                <w:b/>
              </w:rPr>
              <w:t>属于电机电器制造业</w:t>
            </w:r>
            <w:r>
              <w:rPr>
                <w:b/>
              </w:rPr>
              <w:t>，符合洛阳镇产业定位。</w:t>
            </w: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r>
              <w:rPr>
                <w:b/>
              </w:rPr>
              <w:t>本项目位于</w:t>
            </w:r>
            <w:r>
              <w:rPr>
                <w:rFonts w:hAnsi="宋体"/>
                <w:b/>
                <w:szCs w:val="21"/>
              </w:rPr>
              <w:t>江苏省常州市武进区洛阳镇新科西路</w:t>
            </w:r>
            <w:r>
              <w:rPr>
                <w:b/>
                <w:szCs w:val="21"/>
              </w:rPr>
              <w:t>21</w:t>
            </w:r>
            <w:r>
              <w:rPr>
                <w:rFonts w:hAnsi="宋体"/>
                <w:b/>
                <w:szCs w:val="21"/>
              </w:rPr>
              <w:t>号</w:t>
            </w:r>
            <w:r>
              <w:rPr>
                <w:b/>
              </w:rPr>
              <w:t>，根据</w:t>
            </w:r>
            <w:r>
              <w:rPr>
                <w:rFonts w:hint="eastAsia"/>
                <w:b/>
              </w:rPr>
              <w:t>常州市武进区洛阳镇控制性详细规划图（见附图6）</w:t>
            </w:r>
            <w:r>
              <w:rPr>
                <w:b/>
              </w:rPr>
              <w:t>及不动产权证（苏（202</w:t>
            </w:r>
            <w:r>
              <w:rPr>
                <w:rFonts w:hint="eastAsia"/>
                <w:b/>
              </w:rPr>
              <w:t>1</w:t>
            </w:r>
            <w:r>
              <w:rPr>
                <w:b/>
              </w:rPr>
              <w:t>）</w:t>
            </w:r>
            <w:r>
              <w:rPr>
                <w:rFonts w:hint="eastAsia"/>
                <w:b/>
              </w:rPr>
              <w:t>武进区</w:t>
            </w:r>
            <w:r>
              <w:rPr>
                <w:b/>
              </w:rPr>
              <w:t>不动产权第</w:t>
            </w:r>
            <w:r>
              <w:rPr>
                <w:rFonts w:hint="eastAsia"/>
                <w:b/>
              </w:rPr>
              <w:t>0000728</w:t>
            </w:r>
            <w:r>
              <w:rPr>
                <w:b/>
              </w:rPr>
              <w:t>号），本项目所在用地为工业用地，与规划相符合。</w:t>
            </w: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rPr>
            </w:pPr>
          </w:p>
          <w:p>
            <w:pPr>
              <w:pStyle w:val="27"/>
              <w:keepNext w:val="0"/>
              <w:keepLines w:val="0"/>
              <w:suppressLineNumbers w:val="0"/>
            </w:pPr>
          </w:p>
          <w:p>
            <w:pPr>
              <w:keepNext w:val="0"/>
              <w:keepLines w:val="0"/>
              <w:suppressLineNumbers w:val="0"/>
              <w:autoSpaceDE w:val="0"/>
              <w:autoSpaceDN w:val="0"/>
              <w:adjustRightInd w:val="0"/>
              <w:snapToGrid w:val="0"/>
              <w:spacing w:before="0" w:beforeAutospacing="0" w:after="0" w:afterAutospacing="0" w:line="360" w:lineRule="auto"/>
              <w:ind w:left="0" w:right="0" w:firstLine="422" w:firstLineChars="200"/>
              <w:rPr>
                <w:b/>
                <w:sz w:val="21"/>
                <w:szCs w:val="21"/>
              </w:rPr>
            </w:pPr>
            <w:r>
              <w:rPr>
                <w:b/>
                <w:sz w:val="21"/>
                <w:szCs w:val="21"/>
              </w:rPr>
              <w:t>二、与《</w:t>
            </w:r>
            <w:r>
              <w:rPr>
                <w:rFonts w:hint="eastAsia"/>
                <w:b/>
                <w:sz w:val="21"/>
                <w:szCs w:val="21"/>
              </w:rPr>
              <w:t>武进区环保局关于常州市武进区洛阳镇人民政府“武进区洛阳工业集中区规划”环境影响报告书的</w:t>
            </w:r>
            <w:r>
              <w:rPr>
                <w:b/>
                <w:sz w:val="21"/>
                <w:szCs w:val="21"/>
              </w:rPr>
              <w:t>审查意见》相符性分析</w:t>
            </w:r>
          </w:p>
          <w:p>
            <w:pPr>
              <w:pStyle w:val="27"/>
              <w:keepNext w:val="0"/>
              <w:keepLines w:val="0"/>
              <w:suppressLineNumbers w:val="0"/>
              <w:spacing w:before="0" w:beforeAutospacing="0" w:after="0" w:afterAutospacing="0" w:line="240" w:lineRule="auto"/>
              <w:ind w:left="0" w:leftChars="0" w:right="0" w:firstLine="0" w:firstLineChars="0"/>
              <w:jc w:val="center"/>
              <w:rPr>
                <w:rFonts w:ascii="Times New Roman" w:hAnsi="Times New Roman" w:eastAsia="宋体"/>
                <w:b/>
                <w:bCs/>
                <w:sz w:val="21"/>
                <w:szCs w:val="21"/>
              </w:rPr>
            </w:pPr>
            <w:r>
              <w:rPr>
                <w:rFonts w:ascii="Times New Roman" w:eastAsia="宋体"/>
                <w:b/>
                <w:bCs/>
                <w:sz w:val="21"/>
                <w:szCs w:val="21"/>
              </w:rPr>
              <w:t>表</w:t>
            </w:r>
            <w:r>
              <w:rPr>
                <w:rFonts w:ascii="Times New Roman" w:hAnsi="Times New Roman" w:eastAsia="宋体"/>
                <w:b/>
                <w:bCs/>
                <w:sz w:val="21"/>
                <w:szCs w:val="21"/>
              </w:rPr>
              <w:t>1-1</w:t>
            </w:r>
            <w:r>
              <w:rPr>
                <w:rFonts w:ascii="Times New Roman" w:eastAsia="宋体"/>
                <w:b/>
                <w:bCs/>
                <w:sz w:val="21"/>
                <w:szCs w:val="21"/>
              </w:rPr>
              <w:t>本项目与规划环评审查意见的相符性分析</w:t>
            </w:r>
          </w:p>
          <w:tbl>
            <w:tblPr>
              <w:tblStyle w:val="21"/>
              <w:tblW w:w="68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3047"/>
              <w:gridCol w:w="8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b/>
                      <w:sz w:val="21"/>
                      <w:szCs w:val="21"/>
                    </w:rPr>
                  </w:pPr>
                  <w:r>
                    <w:rPr>
                      <w:rFonts w:ascii="Times New Roman" w:hAnsi="Times New Roman" w:eastAsia="宋体"/>
                      <w:b/>
                      <w:sz w:val="21"/>
                      <w:szCs w:val="21"/>
                    </w:rPr>
                    <w:t>审查意见要求</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b/>
                      <w:sz w:val="21"/>
                      <w:szCs w:val="21"/>
                    </w:rPr>
                  </w:pPr>
                  <w:r>
                    <w:rPr>
                      <w:rFonts w:ascii="Times New Roman" w:hAnsi="Times New Roman" w:eastAsia="宋体"/>
                      <w:b/>
                      <w:sz w:val="21"/>
                      <w:szCs w:val="21"/>
                    </w:rPr>
                    <w:t>本项目情况</w:t>
                  </w:r>
                </w:p>
              </w:tc>
              <w:tc>
                <w:tcPr>
                  <w:tcW w:w="805" w:type="dxa"/>
                  <w:vAlign w:val="center"/>
                </w:tcPr>
                <w:p>
                  <w:pPr>
                    <w:pStyle w:val="27"/>
                    <w:keepNext w:val="0"/>
                    <w:keepLines w:val="0"/>
                    <w:suppressLineNumbers w:val="0"/>
                    <w:spacing w:before="0" w:beforeAutospacing="0" w:after="0" w:afterAutospacing="0" w:line="240" w:lineRule="auto"/>
                    <w:ind w:left="0" w:leftChars="0" w:right="0" w:firstLine="0" w:firstLineChars="0"/>
                    <w:jc w:val="center"/>
                    <w:rPr>
                      <w:rFonts w:ascii="Times New Roman" w:hAnsi="Times New Roman" w:eastAsia="宋体"/>
                      <w:b/>
                      <w:sz w:val="21"/>
                      <w:szCs w:val="21"/>
                    </w:rPr>
                  </w:pPr>
                  <w:r>
                    <w:rPr>
                      <w:rFonts w:ascii="Times New Roman" w:hAnsi="Times New Roman" w:eastAsia="宋体"/>
                      <w:b/>
                      <w:sz w:val="21"/>
                      <w:szCs w:val="21"/>
                    </w:rPr>
                    <w:t>是否</w:t>
                  </w:r>
                </w:p>
                <w:p>
                  <w:pPr>
                    <w:pStyle w:val="27"/>
                    <w:keepNext w:val="0"/>
                    <w:keepLines w:val="0"/>
                    <w:suppressLineNumbers w:val="0"/>
                    <w:spacing w:before="0" w:beforeAutospacing="0" w:after="0" w:afterAutospacing="0" w:line="240" w:lineRule="auto"/>
                    <w:ind w:left="0" w:leftChars="0" w:right="0" w:firstLine="0" w:firstLineChars="0"/>
                    <w:jc w:val="center"/>
                    <w:rPr>
                      <w:rFonts w:ascii="Times New Roman" w:hAnsi="Times New Roman" w:eastAsia="宋体"/>
                      <w:b/>
                      <w:sz w:val="21"/>
                      <w:szCs w:val="21"/>
                    </w:rPr>
                  </w:pPr>
                  <w:r>
                    <w:rPr>
                      <w:rFonts w:ascii="Times New Roman" w:hAnsi="Times New Roman" w:eastAsia="宋体"/>
                      <w:b/>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967" w:type="dxa"/>
                  <w:vAlign w:val="center"/>
                </w:tcPr>
                <w:p>
                  <w:pPr>
                    <w:pStyle w:val="27"/>
                    <w:keepNext w:val="0"/>
                    <w:keepLines w:val="0"/>
                    <w:suppressLineNumbers w:val="0"/>
                    <w:spacing w:before="0" w:beforeAutospacing="0" w:after="0" w:afterAutospacing="0" w:line="240" w:lineRule="auto"/>
                    <w:ind w:left="0" w:leftChars="0" w:right="0" w:firstLine="0" w:firstLineChars="0"/>
                    <w:jc w:val="center"/>
                    <w:rPr>
                      <w:rFonts w:ascii="Times New Roman" w:hAnsi="Times New Roman" w:eastAsia="宋体"/>
                      <w:sz w:val="21"/>
                      <w:szCs w:val="21"/>
                    </w:rPr>
                  </w:pPr>
                  <w:r>
                    <w:rPr>
                      <w:rFonts w:hint="eastAsia" w:ascii="Times New Roman" w:hAnsi="Times New Roman" w:eastAsia="宋体"/>
                      <w:sz w:val="21"/>
                      <w:szCs w:val="21"/>
                    </w:rPr>
                    <w:t>规划范围为：东至洛阳北路和武进港、南至洛西河、西至232省道、北至洛阳镇界，规划用地面积为767.49ha；产业定位为重点发展电子信息产业，并行引进机械加工、轻工、服装纺织等行业。</w:t>
                  </w:r>
                </w:p>
              </w:tc>
              <w:tc>
                <w:tcPr>
                  <w:tcW w:w="304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b/>
                      <w:szCs w:val="21"/>
                    </w:rPr>
                  </w:pPr>
                  <w:r>
                    <w:t>本项目位于</w:t>
                  </w:r>
                  <w:r>
                    <w:rPr>
                      <w:rFonts w:hAnsi="宋体"/>
                      <w:szCs w:val="21"/>
                    </w:rPr>
                    <w:t>江苏省常州市武进区洛阳镇新科西路</w:t>
                  </w:r>
                  <w:r>
                    <w:rPr>
                      <w:szCs w:val="21"/>
                    </w:rPr>
                    <w:t>21</w:t>
                  </w:r>
                  <w:r>
                    <w:rPr>
                      <w:rFonts w:hAnsi="宋体"/>
                      <w:szCs w:val="21"/>
                    </w:rPr>
                    <w:t>号</w:t>
                  </w:r>
                  <w:r>
                    <w:t>属于武进区洛阳工业集中区规划范围内</w:t>
                  </w:r>
                  <w:r>
                    <w:rPr>
                      <w:rFonts w:hint="eastAsia"/>
                    </w:rPr>
                    <w:t>；</w:t>
                  </w:r>
                  <w:r>
                    <w:t>本项目为</w:t>
                  </w:r>
                  <w:r>
                    <w:rPr>
                      <w:rFonts w:hAnsi="宋体"/>
                      <w:szCs w:val="21"/>
                    </w:rPr>
                    <w:t>电机铁芯</w:t>
                  </w:r>
                  <w:r>
                    <w:rPr>
                      <w:rFonts w:hint="eastAsia"/>
                      <w:szCs w:val="21"/>
                    </w:rPr>
                    <w:t>和</w:t>
                  </w:r>
                  <w:r>
                    <w:rPr>
                      <w:rFonts w:hAnsi="宋体"/>
                      <w:szCs w:val="21"/>
                    </w:rPr>
                    <w:t>电机机壳</w:t>
                  </w:r>
                  <w:r>
                    <w:t>制造，属于</w:t>
                  </w:r>
                  <w:r>
                    <w:rPr>
                      <w:rFonts w:hint="eastAsia"/>
                      <w:lang w:eastAsia="zh-CN"/>
                    </w:rPr>
                    <w:t>机械加工</w:t>
                  </w:r>
                  <w:r>
                    <w:t>行业，与洛阳镇工业集中区产业定位相符。</w:t>
                  </w:r>
                </w:p>
              </w:tc>
              <w:tc>
                <w:tcPr>
                  <w:tcW w:w="805" w:type="dxa"/>
                  <w:vAlign w:val="center"/>
                </w:tcPr>
                <w:p>
                  <w:pPr>
                    <w:pStyle w:val="27"/>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宋体"/>
                      <w:b/>
                      <w:sz w:val="21"/>
                      <w:szCs w:val="21"/>
                      <w:lang w:eastAsia="zh-CN"/>
                    </w:rPr>
                  </w:pPr>
                  <w:r>
                    <w:rPr>
                      <w:rFonts w:hint="eastAsia" w:ascii="Times New Roman" w:hAnsi="Times New Roman" w:eastAsia="宋体"/>
                      <w:b w:val="0"/>
                      <w:bCs/>
                      <w:sz w:val="21"/>
                      <w:szCs w:val="21"/>
                      <w:lang w:eastAsia="zh-CN"/>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推行循环经济理念和清洁生产原则，走新型工业化道路，逐步淘汰工业集中区内不符合产业政策、产业导向和准入条件的高耗能、污染严重的企业。落实报告书提出的现有企业升级换代、“以新带老”、“增产减污”等相关要求。</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本项目为电机铁芯</w:t>
                  </w:r>
                  <w:r>
                    <w:rPr>
                      <w:rFonts w:hint="eastAsia" w:ascii="Times New Roman" w:hAnsi="Times New Roman" w:eastAsia="宋体"/>
                      <w:sz w:val="21"/>
                      <w:szCs w:val="21"/>
                    </w:rPr>
                    <w:t>和</w:t>
                  </w:r>
                  <w:r>
                    <w:rPr>
                      <w:rFonts w:ascii="Times New Roman" w:hAnsi="Times New Roman" w:eastAsia="宋体"/>
                      <w:sz w:val="21"/>
                      <w:szCs w:val="21"/>
                    </w:rPr>
                    <w:t>电机机壳制造，不属于集中区不符合产业政策、产业导向和准入条件的企业。项目使用</w:t>
                  </w:r>
                  <w:r>
                    <w:rPr>
                      <w:rFonts w:hint="eastAsia" w:ascii="Times New Roman" w:hAnsi="Times New Roman" w:eastAsia="宋体"/>
                      <w:sz w:val="21"/>
                      <w:szCs w:val="21"/>
                    </w:rPr>
                    <w:t>水、</w:t>
                  </w:r>
                  <w:r>
                    <w:rPr>
                      <w:rFonts w:ascii="Times New Roman" w:hAnsi="Times New Roman" w:eastAsia="宋体"/>
                      <w:sz w:val="21"/>
                      <w:szCs w:val="21"/>
                    </w:rPr>
                    <w:t>电能，符合清洁生产原则。</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2"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加快环保基础设施建设，确保污染物达标排放。按“雨污分流、清污分流、中水回用”的原则建设给排水管网，初期雨水接入污水管网，所有工业废水和生活污水统一送入武南污水管网，接入武南污水处理厂集中处理。加快集中区供气（热）管网建设。集中区采用</w:t>
                  </w:r>
                  <w:r>
                    <w:rPr>
                      <w:rFonts w:hint="eastAsia" w:ascii="Times New Roman" w:hAnsi="Times New Roman" w:eastAsia="宋体"/>
                      <w:sz w:val="21"/>
                      <w:szCs w:val="21"/>
                      <w:lang w:eastAsia="zh-CN"/>
                    </w:rPr>
                    <w:t>天然气</w:t>
                  </w:r>
                  <w:r>
                    <w:rPr>
                      <w:rFonts w:ascii="Times New Roman" w:hAnsi="Times New Roman" w:eastAsia="宋体"/>
                      <w:sz w:val="21"/>
                      <w:szCs w:val="21"/>
                    </w:rPr>
                    <w:t>等清洁能源，禁止新、扩、改建燃煤、燃重油锅炉；入区企业生产过程中产生的废气须经处理达标排放，并须采取有效措施严格控制工艺废气无组织排放。加强固废的综合利用，加强企业内部的危废管理，建立危废的产生、收集、临时堆放、外运、处置及最终去向的详细台账。生活垃圾由环卫部门统一处理。</w:t>
                  </w:r>
                </w:p>
              </w:tc>
              <w:tc>
                <w:tcPr>
                  <w:tcW w:w="3047" w:type="dxa"/>
                  <w:vAlign w:val="center"/>
                </w:tcPr>
                <w:p>
                  <w:pPr>
                    <w:pStyle w:val="27"/>
                    <w:keepNext w:val="0"/>
                    <w:keepLines w:val="0"/>
                    <w:suppressLineNumbers w:val="0"/>
                    <w:spacing w:before="0" w:beforeAutospacing="0" w:after="0" w:afterAutospacing="0"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本项目厂区实施雨污分流，</w:t>
                  </w:r>
                  <w:r>
                    <w:rPr>
                      <w:rFonts w:hint="eastAsia" w:ascii="Times New Roman" w:hAnsi="Times New Roman" w:eastAsia="宋体"/>
                      <w:sz w:val="21"/>
                      <w:szCs w:val="21"/>
                    </w:rPr>
                    <w:t>食堂废水经隔油池处理后与</w:t>
                  </w:r>
                  <w:r>
                    <w:rPr>
                      <w:rFonts w:ascii="Times New Roman" w:hAnsi="Times New Roman" w:eastAsia="宋体"/>
                      <w:sz w:val="21"/>
                      <w:szCs w:val="21"/>
                    </w:rPr>
                    <w:t>生活污水接入武南污水处理厂处理。</w:t>
                  </w:r>
                  <w:r>
                    <w:rPr>
                      <w:rFonts w:ascii="Times New Roman" w:hAnsi="Times New Roman" w:eastAsia="宋体"/>
                      <w:sz w:val="21"/>
                      <w:szCs w:val="21"/>
                    </w:rPr>
                    <w:cr/>
                  </w:r>
                  <w:r>
                    <w:rPr>
                      <w:rFonts w:ascii="Times New Roman" w:hAnsi="Times New Roman" w:eastAsia="宋体"/>
                      <w:sz w:val="21"/>
                      <w:szCs w:val="21"/>
                    </w:rPr>
                    <w:t>本项目产生的有机废气经两级活性炭吸附装置处理后由15m高排气筒（</w:t>
                  </w:r>
                  <w:r>
                    <w:rPr>
                      <w:rFonts w:hint="eastAsia" w:ascii="Times New Roman" w:hAnsi="Times New Roman" w:eastAsia="宋体"/>
                      <w:sz w:val="21"/>
                      <w:szCs w:val="21"/>
                    </w:rPr>
                    <w:t>FQ-1</w:t>
                  </w:r>
                  <w:r>
                    <w:rPr>
                      <w:rFonts w:ascii="Times New Roman" w:hAnsi="Times New Roman" w:eastAsia="宋体"/>
                      <w:sz w:val="21"/>
                      <w:szCs w:val="21"/>
                    </w:rPr>
                    <w:t>）达标排放。</w:t>
                  </w:r>
                </w:p>
                <w:p>
                  <w:pPr>
                    <w:pStyle w:val="27"/>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宋体"/>
                      <w:sz w:val="21"/>
                      <w:szCs w:val="21"/>
                      <w:lang w:eastAsia="zh-CN"/>
                    </w:rPr>
                  </w:pPr>
                  <w:r>
                    <w:rPr>
                      <w:rFonts w:ascii="Times New Roman" w:hAnsi="Times New Roman" w:eastAsia="宋体"/>
                      <w:sz w:val="21"/>
                      <w:szCs w:val="21"/>
                    </w:rPr>
                    <w:t>本项目一般固废、危险固废及生活垃圾分类堆放。一般工业固废暂存于一般固废堆场，外售综合利用；危险固废暂存于危废仓库，委托有资质单位处理；生活垃圾由环卫部门统一清运。</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落实事故风险防范措施，制定配套应急预案。在工业集中区基础设施建设和企业运营管理中须落实事故防范对策措施和应急预案。</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本项目建成后将加强风险防范措施，并积极与区域应急预案联动。</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加强工业集中区环境监督制度，建立跟踪监测制度。须落实报告书提出的环境监测计划，对工业集中区内外环境实施跟踪监控。入区企业须按《江苏省排污口设置及规范化整治管理办法》的规定设置各类排污口和</w:t>
                  </w:r>
                  <w:r>
                    <w:rPr>
                      <w:rFonts w:hint="eastAsia" w:ascii="Times New Roman" w:hAnsi="Times New Roman" w:eastAsia="宋体"/>
                      <w:sz w:val="21"/>
                      <w:szCs w:val="21"/>
                      <w:lang w:eastAsia="zh-CN"/>
                    </w:rPr>
                    <w:t>标识</w:t>
                  </w:r>
                  <w:r>
                    <w:rPr>
                      <w:rFonts w:ascii="Times New Roman" w:hAnsi="Times New Roman" w:eastAsia="宋体"/>
                      <w:sz w:val="21"/>
                      <w:szCs w:val="21"/>
                    </w:rPr>
                    <w:t>。</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本项目按照《江苏省排污口设置及规范化整治管理办法》的规定，厂内共设置1个污水接管口和1个雨水排放口。</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合理规划集中区布局，妥善安排居民拆迁安置。集中区内居民搬迁和安置工作应根据集中区发展，按计划及时完成。集中区工业用地与市政公用设施用地之间、集中区边界与洛阳镇区边界之间，各设置30米空间防护距离。</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本项目布局合理，以</w:t>
                  </w:r>
                  <w:r>
                    <w:rPr>
                      <w:rFonts w:hint="eastAsia" w:asciiTheme="minorEastAsia" w:hAnsiTheme="minorEastAsia" w:eastAsiaTheme="minorEastAsia"/>
                      <w:sz w:val="21"/>
                      <w:szCs w:val="21"/>
                    </w:rPr>
                    <w:t>涂</w:t>
                  </w:r>
                  <w:r>
                    <w:rPr>
                      <w:rFonts w:hint="eastAsia" w:asciiTheme="minorEastAsia" w:hAnsiTheme="minorEastAsia" w:eastAsiaTheme="minorEastAsia"/>
                      <w:sz w:val="21"/>
                      <w:szCs w:val="21"/>
                      <w:lang w:eastAsia="zh-CN"/>
                    </w:rPr>
                    <w:t>敷</w:t>
                  </w:r>
                  <w:r>
                    <w:rPr>
                      <w:rFonts w:hint="eastAsia" w:asciiTheme="minorEastAsia" w:hAnsiTheme="minorEastAsia" w:eastAsiaTheme="minorEastAsia"/>
                      <w:sz w:val="21"/>
                      <w:szCs w:val="21"/>
                    </w:rPr>
                    <w:t>注塑车间</w:t>
                  </w:r>
                  <w:r>
                    <w:rPr>
                      <w:rFonts w:ascii="Times New Roman" w:hAnsi="Times New Roman" w:eastAsia="宋体"/>
                      <w:sz w:val="21"/>
                      <w:szCs w:val="21"/>
                    </w:rPr>
                    <w:t>为</w:t>
                  </w:r>
                  <w:r>
                    <w:rPr>
                      <w:rFonts w:hint="eastAsia" w:ascii="Times New Roman" w:hAnsi="Times New Roman" w:eastAsia="宋体"/>
                      <w:sz w:val="21"/>
                      <w:szCs w:val="21"/>
                    </w:rPr>
                    <w:t>边</w:t>
                  </w:r>
                  <w:r>
                    <w:rPr>
                      <w:rFonts w:ascii="Times New Roman" w:hAnsi="Times New Roman" w:eastAsia="宋体"/>
                      <w:sz w:val="21"/>
                      <w:szCs w:val="21"/>
                    </w:rPr>
                    <w:t>界设置</w:t>
                  </w:r>
                  <w:r>
                    <w:rPr>
                      <w:rFonts w:hint="eastAsia" w:ascii="Times New Roman" w:hAnsi="Times New Roman" w:eastAsia="宋体"/>
                      <w:sz w:val="21"/>
                      <w:szCs w:val="21"/>
                    </w:rPr>
                    <w:t>100</w:t>
                  </w:r>
                  <w:r>
                    <w:rPr>
                      <w:rFonts w:ascii="Times New Roman" w:hAnsi="Times New Roman" w:eastAsia="宋体"/>
                      <w:sz w:val="21"/>
                      <w:szCs w:val="21"/>
                    </w:rPr>
                    <w:t>m的卫生防护距离，卫生防护距离包络线内暂无敏感目标，今后也不得建设环境敏感点。</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296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工业集中区实行污染物排放总量控制。各类污染物排放总量指标纳入武进区总量指标内，其中水污染物总量指标纳入武南污水处理厂指标计划中。非常规污染物排放总量控制指标可根据环境要求和入区企业实际情况向我局核准。</w:t>
                  </w:r>
                </w:p>
              </w:tc>
              <w:tc>
                <w:tcPr>
                  <w:tcW w:w="3047"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本项目水污染物排放总量在武南污水处理厂已批总量内平衡；大气污染物排放指标在</w:t>
                  </w:r>
                  <w:r>
                    <w:rPr>
                      <w:rFonts w:hint="eastAsia" w:ascii="Times New Roman" w:hAnsi="Times New Roman" w:eastAsia="宋体"/>
                      <w:sz w:val="21"/>
                      <w:szCs w:val="21"/>
                      <w:lang w:eastAsia="zh-CN"/>
                    </w:rPr>
                    <w:t>武进区</w:t>
                  </w:r>
                  <w:r>
                    <w:rPr>
                      <w:rFonts w:ascii="Times New Roman" w:hAnsi="Times New Roman" w:eastAsia="宋体"/>
                      <w:sz w:val="21"/>
                      <w:szCs w:val="21"/>
                    </w:rPr>
                    <w:t>内进行平衡。</w:t>
                  </w:r>
                </w:p>
              </w:tc>
              <w:tc>
                <w:tcPr>
                  <w:tcW w:w="805" w:type="dxa"/>
                  <w:vAlign w:val="center"/>
                </w:tcPr>
                <w:p>
                  <w:pPr>
                    <w:pStyle w:val="27"/>
                    <w:keepNext w:val="0"/>
                    <w:keepLines w:val="0"/>
                    <w:suppressLineNumbers w:val="0"/>
                    <w:spacing w:line="240" w:lineRule="auto"/>
                    <w:ind w:left="0" w:leftChars="0" w:right="0" w:firstLine="0" w:firstLineChars="0"/>
                    <w:jc w:val="center"/>
                    <w:rPr>
                      <w:rFonts w:ascii="Times New Roman" w:hAnsi="Times New Roman" w:eastAsia="宋体"/>
                      <w:sz w:val="21"/>
                      <w:szCs w:val="21"/>
                    </w:rPr>
                  </w:pPr>
                  <w:r>
                    <w:rPr>
                      <w:rFonts w:ascii="Times New Roman" w:hAnsi="Times New Roman" w:eastAsia="宋体"/>
                      <w:sz w:val="21"/>
                      <w:szCs w:val="21"/>
                    </w:rPr>
                    <w:t>相符</w:t>
                  </w:r>
                </w:p>
              </w:tc>
            </w:tr>
          </w:tbl>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hint="eastAsia" w:eastAsiaTheme="minorEastAsia"/>
              </w:rPr>
            </w:pPr>
          </w:p>
          <w:p>
            <w:pPr>
              <w:pStyle w:val="27"/>
              <w:keepNext w:val="0"/>
              <w:keepLines w:val="0"/>
              <w:suppressLineNumbers w:val="0"/>
              <w:ind w:left="-84" w:firstLine="560"/>
              <w:rPr>
                <w:rFonts w:hint="eastAsia"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0" w:leftChars="0" w:firstLine="383" w:firstLineChars="137"/>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7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其他符合性分析</w:t>
            </w:r>
          </w:p>
        </w:tc>
        <w:tc>
          <w:tcPr>
            <w:tcW w:w="8481" w:type="dxa"/>
            <w:gridSpan w:val="4"/>
            <w:vAlign w:val="center"/>
          </w:tcPr>
          <w:p>
            <w:pPr>
              <w:keepNext w:val="0"/>
              <w:keepLines w:val="0"/>
              <w:suppressLineNumbers w:val="0"/>
              <w:autoSpaceDE w:val="0"/>
              <w:autoSpaceDN w:val="0"/>
              <w:snapToGrid w:val="0"/>
              <w:spacing w:before="0" w:beforeAutospacing="0" w:after="0" w:afterAutospacing="0" w:line="360" w:lineRule="auto"/>
              <w:ind w:left="0" w:right="0" w:firstLine="482" w:firstLineChars="200"/>
              <w:rPr>
                <w:b/>
                <w:bCs/>
                <w:sz w:val="24"/>
              </w:rPr>
            </w:pPr>
            <w:r>
              <w:rPr>
                <w:rFonts w:hint="eastAsia"/>
                <w:b/>
                <w:bCs/>
                <w:sz w:val="24"/>
              </w:rPr>
              <w:t>1</w:t>
            </w:r>
            <w:r>
              <w:rPr>
                <w:rFonts w:hAnsi="宋体"/>
                <w:b/>
                <w:bCs/>
                <w:sz w:val="24"/>
              </w:rPr>
              <w:t>、</w:t>
            </w:r>
            <w:r>
              <w:rPr>
                <w:b/>
                <w:bCs/>
                <w:sz w:val="24"/>
              </w:rPr>
              <w:t>“</w:t>
            </w:r>
            <w:r>
              <w:rPr>
                <w:rFonts w:hAnsi="宋体"/>
                <w:b/>
                <w:bCs/>
                <w:sz w:val="24"/>
              </w:rPr>
              <w:t>三线一单</w:t>
            </w:r>
            <w:r>
              <w:rPr>
                <w:b/>
                <w:bCs/>
                <w:sz w:val="24"/>
              </w:rPr>
              <w:t>”</w:t>
            </w:r>
            <w:r>
              <w:rPr>
                <w:rFonts w:hAnsi="宋体"/>
                <w:b/>
                <w:bCs/>
                <w:sz w:val="24"/>
              </w:rPr>
              <w:t>控制要求相符性分析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sz w:val="24"/>
                <w:lang w:val="zh-CN"/>
              </w:rPr>
            </w:pPr>
            <w:r>
              <w:rPr>
                <w:rFonts w:hint="eastAsia" w:hAnsi="宋体"/>
                <w:b/>
                <w:sz w:val="24"/>
              </w:rPr>
              <w:t>（1）</w:t>
            </w:r>
            <w:r>
              <w:rPr>
                <w:rFonts w:hAnsi="宋体"/>
                <w:b/>
                <w:sz w:val="24"/>
              </w:rPr>
              <w:t>根据《关于以改善环境质量为核心加强环境影响评价管理的通知》（环环评</w:t>
            </w:r>
            <w:r>
              <w:rPr>
                <w:b/>
                <w:sz w:val="24"/>
              </w:rPr>
              <w:t>[2016]150</w:t>
            </w:r>
            <w:r>
              <w:rPr>
                <w:rFonts w:hAnsi="宋体"/>
                <w:b/>
                <w:sz w:val="24"/>
              </w:rPr>
              <w:t>号文），本项目与</w:t>
            </w:r>
            <w:r>
              <w:rPr>
                <w:b/>
                <w:sz w:val="24"/>
              </w:rPr>
              <w:t>“</w:t>
            </w:r>
            <w:r>
              <w:rPr>
                <w:rFonts w:hAnsi="宋体"/>
                <w:b/>
                <w:sz w:val="24"/>
              </w:rPr>
              <w:t>三线一单</w:t>
            </w:r>
            <w:r>
              <w:rPr>
                <w:b/>
                <w:sz w:val="24"/>
              </w:rPr>
              <w:t>”</w:t>
            </w:r>
            <w:r>
              <w:rPr>
                <w:rFonts w:hAnsi="宋体"/>
                <w:b/>
                <w:sz w:val="24"/>
              </w:rPr>
              <w:t>相符性分析主要体现在以下四个方面：</w:t>
            </w:r>
          </w:p>
          <w:p>
            <w:pPr>
              <w:keepNext w:val="0"/>
              <w:keepLines w:val="0"/>
              <w:widowControl/>
              <w:suppressLineNumbers w:val="0"/>
              <w:spacing w:before="0" w:beforeAutospacing="0" w:after="0" w:afterAutospacing="0"/>
              <w:ind w:left="0" w:right="0"/>
              <w:jc w:val="center"/>
            </w:pPr>
            <w:r>
              <w:rPr>
                <w:b/>
                <w:bCs/>
                <w:kern w:val="0"/>
                <w:sz w:val="24"/>
              </w:rPr>
              <w:t>表1-2  “三线一单”符合性分析情况一览表</w:t>
            </w:r>
          </w:p>
          <w:tbl>
            <w:tblPr>
              <w:tblStyle w:val="21"/>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685"/>
              <w:gridCol w:w="6502"/>
              <w:gridCol w:w="5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457" w:type="dxa"/>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b/>
                      <w:bCs/>
                      <w:szCs w:val="21"/>
                    </w:rPr>
                    <w:t>序号</w:t>
                  </w:r>
                </w:p>
              </w:tc>
              <w:tc>
                <w:tcPr>
                  <w:tcW w:w="685" w:type="dxa"/>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b/>
                      <w:bCs/>
                      <w:szCs w:val="21"/>
                    </w:rPr>
                    <w:t>判断类型</w:t>
                  </w:r>
                </w:p>
              </w:tc>
              <w:tc>
                <w:tcPr>
                  <w:tcW w:w="6502" w:type="dxa"/>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b/>
                      <w:bCs/>
                      <w:szCs w:val="21"/>
                    </w:rPr>
                    <w:t>对照分析</w:t>
                  </w:r>
                </w:p>
              </w:tc>
              <w:tc>
                <w:tcPr>
                  <w:tcW w:w="534" w:type="dxa"/>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457"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1</w:t>
                  </w:r>
                </w:p>
              </w:tc>
              <w:tc>
                <w:tcPr>
                  <w:tcW w:w="685"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生态红线</w:t>
                  </w:r>
                </w:p>
              </w:tc>
              <w:tc>
                <w:tcPr>
                  <w:tcW w:w="6502" w:type="dxa"/>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szCs w:val="21"/>
                    </w:rPr>
                    <w:t>根据《省政府关于印发江苏省生态空间管控区域规划的通知》（苏政发[2020]1号）、《省政府关于印发江苏省国家级生态保护红线规划的通知》（苏政发[2018]74号）文件，距离本项目最近的国家级生态保护红线区域为</w:t>
                  </w:r>
                  <w:r>
                    <w:rPr>
                      <w:rFonts w:hint="eastAsia"/>
                      <w:szCs w:val="21"/>
                    </w:rPr>
                    <w:t>太湖</w:t>
                  </w:r>
                  <w:r>
                    <w:rPr>
                      <w:szCs w:val="21"/>
                    </w:rPr>
                    <w:t>重要湿地（武进区），位于项目</w:t>
                  </w:r>
                  <w:r>
                    <w:rPr>
                      <w:rFonts w:hint="eastAsia"/>
                      <w:szCs w:val="21"/>
                    </w:rPr>
                    <w:t>西</w:t>
                  </w:r>
                  <w:r>
                    <w:rPr>
                      <w:szCs w:val="21"/>
                    </w:rPr>
                    <w:t>南侧</w:t>
                  </w:r>
                  <w:r>
                    <w:rPr>
                      <w:rFonts w:hint="eastAsia"/>
                      <w:szCs w:val="21"/>
                      <w:lang w:val="en-US" w:eastAsia="zh-CN"/>
                    </w:rPr>
                    <w:t>86</w:t>
                  </w:r>
                  <w:r>
                    <w:rPr>
                      <w:rFonts w:hint="eastAsia"/>
                      <w:szCs w:val="21"/>
                    </w:rPr>
                    <w:t>0</w:t>
                  </w:r>
                  <w:r>
                    <w:rPr>
                      <w:szCs w:val="21"/>
                    </w:rPr>
                    <w:t>0m处；</w:t>
                  </w:r>
                  <w:r>
                    <w:rPr>
                      <w:rFonts w:hAnsi="宋体"/>
                      <w:szCs w:val="21"/>
                    </w:rPr>
                    <w:t>距离本项目最近的</w:t>
                  </w:r>
                  <w:r>
                    <w:rPr>
                      <w:szCs w:val="21"/>
                    </w:rPr>
                    <w:t>江苏省生态空间管控区域为宋剑湖湿地公园，位于项目</w:t>
                  </w:r>
                  <w:r>
                    <w:rPr>
                      <w:rFonts w:hint="eastAsia"/>
                      <w:szCs w:val="21"/>
                    </w:rPr>
                    <w:t>西北</w:t>
                  </w:r>
                  <w:r>
                    <w:rPr>
                      <w:szCs w:val="21"/>
                    </w:rPr>
                    <w:t>侧</w:t>
                  </w:r>
                  <w:r>
                    <w:rPr>
                      <w:rFonts w:hint="eastAsia"/>
                      <w:szCs w:val="21"/>
                      <w:lang w:val="en-US" w:eastAsia="zh-CN"/>
                    </w:rPr>
                    <w:t>45</w:t>
                  </w:r>
                  <w:r>
                    <w:rPr>
                      <w:rFonts w:hint="eastAsia"/>
                      <w:szCs w:val="21"/>
                    </w:rPr>
                    <w:t>0</w:t>
                  </w:r>
                  <w:r>
                    <w:rPr>
                      <w:szCs w:val="21"/>
                    </w:rPr>
                    <w:t>0m处。因此本项目不在文件中所列的国家级生态保护红线范围及生态空间管控区域范围内，符合《省政府关于印发江苏省生态空间管控区域规划的通知》（苏政发[2020]1号）、《省政府关于印发江苏省国家级生态保护红线规划的通知》（苏政发[2018]74号）文件要求。</w:t>
                  </w:r>
                </w:p>
              </w:tc>
              <w:tc>
                <w:tcPr>
                  <w:tcW w:w="534"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39" w:hRule="atLeast"/>
              </w:trPr>
              <w:tc>
                <w:tcPr>
                  <w:tcW w:w="457"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2</w:t>
                  </w:r>
                </w:p>
              </w:tc>
              <w:tc>
                <w:tcPr>
                  <w:tcW w:w="685"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环境质量底线</w:t>
                  </w:r>
                </w:p>
              </w:tc>
              <w:tc>
                <w:tcPr>
                  <w:tcW w:w="6502" w:type="dxa"/>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sz w:val="21"/>
                      <w:szCs w:val="21"/>
                    </w:rPr>
                    <w:t>根据《202</w:t>
                  </w:r>
                  <w:r>
                    <w:rPr>
                      <w:rFonts w:hint="eastAsia"/>
                      <w:sz w:val="21"/>
                      <w:szCs w:val="21"/>
                      <w:lang w:val="en-US" w:eastAsia="zh-CN"/>
                    </w:rPr>
                    <w:t>1</w:t>
                  </w:r>
                  <w:r>
                    <w:rPr>
                      <w:sz w:val="21"/>
                      <w:szCs w:val="21"/>
                    </w:rPr>
                    <w:t>常州市生态环境状况公报》，202</w:t>
                  </w:r>
                  <w:r>
                    <w:rPr>
                      <w:rFonts w:hint="eastAsia"/>
                      <w:sz w:val="21"/>
                      <w:szCs w:val="21"/>
                      <w:lang w:val="en-US" w:eastAsia="zh-CN"/>
                    </w:rPr>
                    <w:t>1</w:t>
                  </w:r>
                  <w:r>
                    <w:rPr>
                      <w:sz w:val="21"/>
                      <w:szCs w:val="21"/>
                    </w:rPr>
                    <w:t>年常州市环境空气中SO</w:t>
                  </w:r>
                  <w:r>
                    <w:rPr>
                      <w:sz w:val="21"/>
                      <w:szCs w:val="21"/>
                      <w:vertAlign w:val="subscript"/>
                    </w:rPr>
                    <w:t>2</w:t>
                  </w:r>
                  <w:r>
                    <w:rPr>
                      <w:sz w:val="21"/>
                      <w:szCs w:val="21"/>
                    </w:rPr>
                    <w:t>年均值与日均值、NO</w:t>
                  </w:r>
                  <w:r>
                    <w:rPr>
                      <w:sz w:val="21"/>
                      <w:szCs w:val="21"/>
                      <w:vertAlign w:val="subscript"/>
                    </w:rPr>
                    <w:t>2</w:t>
                  </w:r>
                  <w:r>
                    <w:rPr>
                      <w:sz w:val="21"/>
                      <w:szCs w:val="21"/>
                    </w:rPr>
                    <w:t>年均值、PM</w:t>
                  </w:r>
                  <w:r>
                    <w:rPr>
                      <w:sz w:val="21"/>
                      <w:szCs w:val="21"/>
                      <w:vertAlign w:val="subscript"/>
                    </w:rPr>
                    <w:t>10</w:t>
                  </w:r>
                  <w:r>
                    <w:rPr>
                      <w:sz w:val="21"/>
                      <w:szCs w:val="21"/>
                    </w:rPr>
                    <w:t>年均值</w:t>
                  </w:r>
                  <w:r>
                    <w:rPr>
                      <w:rFonts w:hint="eastAsia"/>
                      <w:sz w:val="21"/>
                      <w:szCs w:val="21"/>
                      <w:lang w:eastAsia="zh-CN"/>
                    </w:rPr>
                    <w:t>、</w:t>
                  </w:r>
                  <w:r>
                    <w:rPr>
                      <w:sz w:val="21"/>
                      <w:szCs w:val="21"/>
                    </w:rPr>
                    <w:t>PM</w:t>
                  </w:r>
                  <w:r>
                    <w:rPr>
                      <w:rFonts w:hint="eastAsia"/>
                      <w:sz w:val="21"/>
                      <w:szCs w:val="21"/>
                      <w:vertAlign w:val="subscript"/>
                      <w:lang w:val="en-US" w:eastAsia="zh-CN"/>
                    </w:rPr>
                    <w:t>2.5</w:t>
                  </w:r>
                  <w:r>
                    <w:rPr>
                      <w:sz w:val="21"/>
                      <w:szCs w:val="21"/>
                    </w:rPr>
                    <w:t>年均值和CO日均值均达到环境空气质量二级标准；NO</w:t>
                  </w:r>
                  <w:r>
                    <w:rPr>
                      <w:sz w:val="21"/>
                      <w:szCs w:val="21"/>
                      <w:vertAlign w:val="subscript"/>
                    </w:rPr>
                    <w:t>2</w:t>
                  </w:r>
                  <w:r>
                    <w:rPr>
                      <w:sz w:val="21"/>
                      <w:szCs w:val="21"/>
                    </w:rPr>
                    <w:t>日均值、PM</w:t>
                  </w:r>
                  <w:r>
                    <w:rPr>
                      <w:sz w:val="21"/>
                      <w:szCs w:val="21"/>
                      <w:vertAlign w:val="subscript"/>
                    </w:rPr>
                    <w:t>10</w:t>
                  </w:r>
                  <w:r>
                    <w:rPr>
                      <w:sz w:val="21"/>
                      <w:szCs w:val="21"/>
                    </w:rPr>
                    <w:t>日均值、PM</w:t>
                  </w:r>
                  <w:r>
                    <w:rPr>
                      <w:sz w:val="21"/>
                      <w:szCs w:val="21"/>
                      <w:vertAlign w:val="subscript"/>
                    </w:rPr>
                    <w:t>2.5</w:t>
                  </w:r>
                  <w:r>
                    <w:rPr>
                      <w:sz w:val="21"/>
                      <w:szCs w:val="21"/>
                    </w:rPr>
                    <w:t>日均值、臭氧日最大8小时滑动平均值第90百分位数浓度均超过环境空气质量二级标准，因此判定为</w:t>
                  </w:r>
                  <w:r>
                    <w:rPr>
                      <w:rFonts w:hint="eastAsia"/>
                      <w:sz w:val="21"/>
                      <w:szCs w:val="21"/>
                      <w:lang w:eastAsia="zh-CN"/>
                    </w:rPr>
                    <w:t>非</w:t>
                  </w:r>
                  <w:r>
                    <w:rPr>
                      <w:sz w:val="21"/>
                      <w:szCs w:val="21"/>
                    </w:rPr>
                    <w:t>达标区</w:t>
                  </w:r>
                  <w:r>
                    <w:rPr>
                      <w:color w:val="0000FF"/>
                      <w:sz w:val="21"/>
                      <w:szCs w:val="21"/>
                    </w:rPr>
                    <w:t>。</w:t>
                  </w:r>
                  <w:r>
                    <w:rPr>
                      <w:szCs w:val="21"/>
                    </w:rPr>
                    <w:t>根据《市大气办关于印发常州市提升大气环境质量强化管控方案的通知》（常大气办[2018]3号）</w:t>
                  </w:r>
                  <w:r>
                    <w:rPr>
                      <w:rFonts w:hint="eastAsia"/>
                      <w:szCs w:val="21"/>
                    </w:rPr>
                    <w:t>、</w:t>
                  </w:r>
                  <w:r>
                    <w:rPr>
                      <w:szCs w:val="21"/>
                    </w:rPr>
                    <w:t>《2021年常州市深入打好污染防治攻坚战工作方案》（常政发[2021]21号）等文件采取措施后，常州市的大气空气质量将得到一定改善。根据现状监测结果可知，项目所在区域地表水、大气能够满足相应功能区划要求。本项目生活污水接管进</w:t>
                  </w:r>
                  <w:r>
                    <w:rPr>
                      <w:rFonts w:hint="eastAsia"/>
                      <w:szCs w:val="21"/>
                    </w:rPr>
                    <w:t>武南</w:t>
                  </w:r>
                  <w:r>
                    <w:rPr>
                      <w:szCs w:val="21"/>
                    </w:rPr>
                    <w:t>污水处理厂集中处理，对高噪声设备采取减震隔声措施，固废均规范处置。因此，本项目建成后不会突破项目所在地的环境质量底线。</w:t>
                  </w:r>
                </w:p>
              </w:tc>
              <w:tc>
                <w:tcPr>
                  <w:tcW w:w="534"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57"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3</w:t>
                  </w:r>
                </w:p>
              </w:tc>
              <w:tc>
                <w:tcPr>
                  <w:tcW w:w="685"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资源利用上线</w:t>
                  </w:r>
                </w:p>
              </w:tc>
              <w:tc>
                <w:tcPr>
                  <w:tcW w:w="6502" w:type="dxa"/>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szCs w:val="21"/>
                    </w:rPr>
                    <w:t>本项目不属于</w:t>
                  </w:r>
                  <w:r>
                    <w:rPr>
                      <w:rFonts w:hint="eastAsia"/>
                      <w:szCs w:val="21"/>
                    </w:rPr>
                    <w:t>“</w:t>
                  </w:r>
                  <w:r>
                    <w:rPr>
                      <w:szCs w:val="21"/>
                    </w:rPr>
                    <w:t>两高一资</w:t>
                  </w:r>
                  <w:r>
                    <w:rPr>
                      <w:rFonts w:hint="eastAsia"/>
                      <w:szCs w:val="21"/>
                    </w:rPr>
                    <w:t>”</w:t>
                  </w:r>
                  <w:r>
                    <w:rPr>
                      <w:szCs w:val="21"/>
                    </w:rPr>
                    <w:t>型企业，所使用的能源主要为水、电能；本项目所在地水资源丰富，电力资源由当地电网公司输送，企业将采取有效的节水、节电措施，切实提高投入产出比，降低能耗，不会突破资源利用上线。符合资源利用上线相关要求。</w:t>
                  </w:r>
                </w:p>
              </w:tc>
              <w:tc>
                <w:tcPr>
                  <w:tcW w:w="534"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457"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4</w:t>
                  </w:r>
                </w:p>
              </w:tc>
              <w:tc>
                <w:tcPr>
                  <w:tcW w:w="685"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环境准入负面清单</w:t>
                  </w:r>
                </w:p>
              </w:tc>
              <w:tc>
                <w:tcPr>
                  <w:tcW w:w="6502" w:type="dxa"/>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szCs w:val="21"/>
                    </w:rPr>
                    <w:t>经对照《市场准入负面清单（202</w:t>
                  </w:r>
                  <w:r>
                    <w:rPr>
                      <w:rFonts w:hint="eastAsia"/>
                      <w:szCs w:val="21"/>
                    </w:rPr>
                    <w:t>2</w:t>
                  </w:r>
                  <w:r>
                    <w:rPr>
                      <w:szCs w:val="21"/>
                    </w:rPr>
                    <w:t>年版）》，本项目不属于负面清单中禁止事项</w:t>
                  </w:r>
                  <w:r>
                    <w:rPr>
                      <w:rFonts w:hint="eastAsia"/>
                      <w:szCs w:val="21"/>
                    </w:rPr>
                    <w:t>；</w:t>
                  </w:r>
                  <w:r>
                    <w:rPr>
                      <w:szCs w:val="21"/>
                    </w:rPr>
                    <w:t>本项目也不属于《长江经济带发展负面清单指南（试行，2022年版）》中禁止建设类项目</w:t>
                  </w:r>
                  <w:r>
                    <w:rPr>
                      <w:rFonts w:hint="eastAsia"/>
                      <w:szCs w:val="21"/>
                    </w:rPr>
                    <w:t>；</w:t>
                  </w:r>
                  <w:r>
                    <w:rPr>
                      <w:szCs w:val="21"/>
                    </w:rPr>
                    <w:t>本项目不属于《环境保护综合目录（2021年版）》中所列举的“高污染、高环境风险”产业。因此本项目符合环境准入负面清单相关要求。</w:t>
                  </w:r>
                </w:p>
              </w:tc>
              <w:tc>
                <w:tcPr>
                  <w:tcW w:w="534" w:type="dxa"/>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szCs w:val="21"/>
                    </w:rPr>
                    <w:t>是</w:t>
                  </w:r>
                </w:p>
              </w:tc>
            </w:tr>
          </w:tbl>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bCs/>
                <w:sz w:val="24"/>
              </w:rPr>
            </w:pPr>
            <w:r>
              <w:rPr>
                <w:rFonts w:hint="eastAsia"/>
                <w:b/>
                <w:bCs/>
                <w:sz w:val="24"/>
              </w:rPr>
              <w:t>（</w:t>
            </w:r>
            <w:r>
              <w:rPr>
                <w:b/>
                <w:bCs/>
                <w:sz w:val="24"/>
              </w:rPr>
              <w:t>2</w:t>
            </w:r>
            <w:r>
              <w:rPr>
                <w:rFonts w:hAnsi="宋体"/>
                <w:b/>
                <w:bCs/>
                <w:sz w:val="24"/>
              </w:rPr>
              <w:t>）与《江苏省政府关于印发江苏省</w:t>
            </w:r>
            <w:r>
              <w:rPr>
                <w:b/>
                <w:bCs/>
                <w:sz w:val="24"/>
              </w:rPr>
              <w:t>“</w:t>
            </w:r>
            <w:r>
              <w:rPr>
                <w:rFonts w:hAnsi="宋体"/>
                <w:b/>
                <w:bCs/>
                <w:sz w:val="24"/>
              </w:rPr>
              <w:t>三线一单</w:t>
            </w:r>
            <w:r>
              <w:rPr>
                <w:b/>
                <w:bCs/>
                <w:sz w:val="24"/>
              </w:rPr>
              <w:t>”</w:t>
            </w:r>
            <w:r>
              <w:rPr>
                <w:rFonts w:hAnsi="宋体"/>
                <w:b/>
                <w:bCs/>
                <w:sz w:val="24"/>
              </w:rPr>
              <w:t>生态环境分区管控方案的通知》（苏政发</w:t>
            </w:r>
            <w:r>
              <w:rPr>
                <w:b/>
                <w:bCs/>
                <w:sz w:val="24"/>
              </w:rPr>
              <w:t>[2020]49</w:t>
            </w:r>
            <w:r>
              <w:rPr>
                <w:rFonts w:hAnsi="宋体"/>
                <w:b/>
                <w:bCs/>
                <w:sz w:val="24"/>
              </w:rPr>
              <w:t>号）相符性分析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sz w:val="24"/>
              </w:rPr>
            </w:pPr>
            <w:r>
              <w:rPr>
                <w:rFonts w:hAnsi="宋体"/>
                <w:sz w:val="24"/>
              </w:rPr>
              <w:t>本项目位于江苏省常州市武进区洛阳镇新科西路21号，</w:t>
            </w:r>
            <w:r>
              <w:rPr>
                <w:sz w:val="24"/>
              </w:rPr>
              <w:t>所在地位于长江流域及太湖流域</w:t>
            </w:r>
            <w:r>
              <w:rPr>
                <w:rFonts w:hint="eastAsia"/>
                <w:sz w:val="24"/>
              </w:rPr>
              <w:t>，</w:t>
            </w:r>
            <w:r>
              <w:rPr>
                <w:rFonts w:hAnsi="宋体"/>
                <w:sz w:val="24"/>
              </w:rPr>
              <w:t>对照《江苏省政府关于印发江苏省</w:t>
            </w:r>
            <w:r>
              <w:rPr>
                <w:sz w:val="24"/>
              </w:rPr>
              <w:t>“</w:t>
            </w:r>
            <w:r>
              <w:rPr>
                <w:rFonts w:hAnsi="宋体"/>
                <w:sz w:val="24"/>
              </w:rPr>
              <w:t>三线一单</w:t>
            </w:r>
            <w:r>
              <w:rPr>
                <w:sz w:val="24"/>
              </w:rPr>
              <w:t>”</w:t>
            </w:r>
            <w:r>
              <w:rPr>
                <w:rFonts w:hAnsi="宋体"/>
                <w:sz w:val="24"/>
              </w:rPr>
              <w:t>生态环境分区管控方案的通知》（苏政发</w:t>
            </w:r>
            <w:r>
              <w:rPr>
                <w:sz w:val="24"/>
              </w:rPr>
              <w:t>[2020]49</w:t>
            </w:r>
            <w:r>
              <w:rPr>
                <w:rFonts w:hAnsi="宋体"/>
                <w:sz w:val="24"/>
              </w:rPr>
              <w:t>号）可知，项目位于重点管控单元，其重点管控要求与本项目的相符性分析见下表。</w:t>
            </w:r>
          </w:p>
          <w:p>
            <w:pPr>
              <w:keepNext w:val="0"/>
              <w:keepLines w:val="0"/>
              <w:suppressLineNumbers w:val="0"/>
              <w:autoSpaceDE w:val="0"/>
              <w:autoSpaceDN w:val="0"/>
              <w:snapToGrid w:val="0"/>
              <w:spacing w:before="0" w:beforeAutospacing="0" w:after="0" w:afterAutospacing="0"/>
              <w:ind w:left="0" w:right="0" w:firstLine="361" w:firstLineChars="150"/>
              <w:jc w:val="center"/>
              <w:rPr>
                <w:b/>
                <w:bCs/>
                <w:sz w:val="24"/>
              </w:rPr>
            </w:pPr>
            <w:r>
              <w:rPr>
                <w:rFonts w:hAnsi="宋体"/>
                <w:b/>
                <w:bCs/>
                <w:sz w:val="24"/>
              </w:rPr>
              <w:t>表</w:t>
            </w:r>
            <w:r>
              <w:rPr>
                <w:b/>
                <w:bCs/>
                <w:sz w:val="24"/>
              </w:rPr>
              <w:t>1-</w:t>
            </w:r>
            <w:r>
              <w:rPr>
                <w:rFonts w:hint="eastAsia"/>
                <w:b/>
                <w:bCs/>
                <w:sz w:val="24"/>
              </w:rPr>
              <w:t>3</w:t>
            </w:r>
            <w:r>
              <w:rPr>
                <w:b/>
                <w:bCs/>
                <w:sz w:val="24"/>
              </w:rPr>
              <w:t xml:space="preserve"> </w:t>
            </w:r>
            <w:r>
              <w:rPr>
                <w:rFonts w:hAnsi="宋体"/>
                <w:b/>
                <w:bCs/>
                <w:sz w:val="24"/>
              </w:rPr>
              <w:t>项目与苏政发</w:t>
            </w:r>
            <w:r>
              <w:rPr>
                <w:b/>
                <w:bCs/>
                <w:sz w:val="24"/>
              </w:rPr>
              <w:t>[2020]49</w:t>
            </w:r>
            <w:r>
              <w:rPr>
                <w:rFonts w:hAnsi="宋体"/>
                <w:b/>
                <w:bCs/>
                <w:sz w:val="24"/>
              </w:rPr>
              <w:t>号相符性分析</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4936"/>
              <w:gridCol w:w="26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26" w:type="pct"/>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rFonts w:hAnsi="宋体"/>
                      <w:b/>
                      <w:bCs/>
                      <w:szCs w:val="21"/>
                    </w:rPr>
                    <w:t>管控类别</w:t>
                  </w:r>
                </w:p>
              </w:tc>
              <w:tc>
                <w:tcPr>
                  <w:tcW w:w="2977" w:type="pct"/>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rFonts w:hAnsi="宋体"/>
                      <w:b/>
                      <w:bCs/>
                      <w:szCs w:val="21"/>
                    </w:rPr>
                    <w:t>对照简析</w:t>
                  </w:r>
                </w:p>
              </w:tc>
              <w:tc>
                <w:tcPr>
                  <w:tcW w:w="1596" w:type="pct"/>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rFonts w:hAnsi="宋体"/>
                      <w:b/>
                      <w:bCs/>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000" w:type="pct"/>
                  <w:gridSpan w:val="3"/>
                  <w:vAlign w:val="center"/>
                </w:tcPr>
                <w:p>
                  <w:pPr>
                    <w:keepNext w:val="0"/>
                    <w:keepLines w:val="0"/>
                    <w:suppressLineNumbers w:val="0"/>
                    <w:autoSpaceDE w:val="0"/>
                    <w:autoSpaceDN w:val="0"/>
                    <w:snapToGrid w:val="0"/>
                    <w:spacing w:before="0" w:beforeAutospacing="0" w:after="0" w:afterAutospacing="0"/>
                    <w:ind w:left="0" w:right="0"/>
                    <w:jc w:val="center"/>
                    <w:rPr>
                      <w:b/>
                      <w:bCs/>
                      <w:szCs w:val="21"/>
                    </w:rPr>
                  </w:pPr>
                  <w:r>
                    <w:rPr>
                      <w:rFonts w:hAnsi="宋体"/>
                      <w:b/>
                      <w:bCs/>
                      <w:szCs w:val="21"/>
                    </w:rPr>
                    <w:t>长江流域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426" w:type="pct"/>
                  <w:vMerge w:val="restar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空间布局约束</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本项目不在国家确定的生态保护红线和永久基本农田范围内。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426" w:type="pct"/>
                  <w:vMerge w:val="continue"/>
                  <w:vAlign w:val="center"/>
                </w:tcPr>
                <w:p>
                  <w:pPr>
                    <w:keepNext w:val="0"/>
                    <w:keepLines w:val="0"/>
                    <w:suppressLineNumbers w:val="0"/>
                    <w:autoSpaceDE w:val="0"/>
                    <w:autoSpaceDN w:val="0"/>
                    <w:snapToGrid w:val="0"/>
                    <w:spacing w:before="0" w:beforeAutospacing="0" w:after="0" w:afterAutospacing="0"/>
                    <w:ind w:left="0" w:right="0"/>
                    <w:jc w:val="center"/>
                    <w:rPr>
                      <w:szCs w:val="21"/>
                    </w:rPr>
                  </w:pP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禁止在沿江地区新建或扩建化学工业园区，禁止新建或扩建以大宗进口油气资源为原料的石油加工、石油化工、基础有机无机化工、煤化工项目；禁止在长江干流和主要支流岸线</w:t>
                  </w:r>
                  <w:r>
                    <w:rPr>
                      <w:szCs w:val="21"/>
                    </w:rPr>
                    <w:t>1</w:t>
                  </w:r>
                  <w:r>
                    <w:rPr>
                      <w:rFonts w:hAnsi="宋体"/>
                      <w:szCs w:val="21"/>
                    </w:rPr>
                    <w:t>公里范围内新建危化品码头。</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本项目不属于上述禁止建设的项目，不在长江干流和主要支流岸线</w:t>
                  </w:r>
                  <w:r>
                    <w:rPr>
                      <w:szCs w:val="21"/>
                    </w:rPr>
                    <w:t>1</w:t>
                  </w:r>
                  <w:r>
                    <w:rPr>
                      <w:rFonts w:hAnsi="宋体"/>
                      <w:szCs w:val="21"/>
                    </w:rPr>
                    <w:t>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26" w:type="pct"/>
                  <w:vMerge w:val="continue"/>
                  <w:vAlign w:val="center"/>
                </w:tcPr>
                <w:p>
                  <w:pPr>
                    <w:keepNext w:val="0"/>
                    <w:keepLines w:val="0"/>
                    <w:suppressLineNumbers w:val="0"/>
                    <w:autoSpaceDE w:val="0"/>
                    <w:autoSpaceDN w:val="0"/>
                    <w:snapToGrid w:val="0"/>
                    <w:spacing w:before="0" w:beforeAutospacing="0" w:after="0" w:afterAutospacing="0"/>
                    <w:ind w:left="0" w:right="0"/>
                    <w:jc w:val="center"/>
                    <w:rPr>
                      <w:szCs w:val="21"/>
                    </w:rPr>
                  </w:pP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强化港口布局优化，禁止建设不符合国家港口布局规划和《江苏省沿江沿海港口布局规划（</w:t>
                  </w:r>
                  <w:r>
                    <w:rPr>
                      <w:szCs w:val="21"/>
                    </w:rPr>
                    <w:t>2015-2030</w:t>
                  </w:r>
                  <w:r>
                    <w:rPr>
                      <w:rFonts w:hAnsi="宋体"/>
                      <w:szCs w:val="21"/>
                    </w:rPr>
                    <w:t>年）》《江苏省内河港口布局规划（</w:t>
                  </w:r>
                  <w:r>
                    <w:rPr>
                      <w:szCs w:val="21"/>
                    </w:rPr>
                    <w:t>2017-2035</w:t>
                  </w:r>
                  <w:r>
                    <w:rPr>
                      <w:rFonts w:hAnsi="宋体"/>
                      <w:szCs w:val="21"/>
                    </w:rPr>
                    <w:t>年）》的码头项目，禁止建设未纳入《长江干线过江通道布局规划》的过江干线通道项目。</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rFonts w:hint="eastAsia" w:eastAsia="宋体"/>
                      <w:szCs w:val="21"/>
                      <w:lang w:eastAsia="zh-CN"/>
                    </w:rPr>
                  </w:pPr>
                  <w:r>
                    <w:rPr>
                      <w:rFonts w:hAnsi="宋体"/>
                      <w:szCs w:val="21"/>
                    </w:rPr>
                    <w:t>本项目不属于码头项目和过江干线通道项目</w:t>
                  </w:r>
                  <w:r>
                    <w:rPr>
                      <w:rFonts w:hint="eastAsia" w:hAnsi="宋体"/>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26" w:type="pct"/>
                  <w:vMerge w:val="restar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污染物排放管控</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根据《江苏省长江水污染防治条例》实施污染物总量控制制度。</w:t>
                  </w:r>
                </w:p>
              </w:tc>
              <w:tc>
                <w:tcPr>
                  <w:tcW w:w="1596" w:type="pct"/>
                  <w:vMerge w:val="restar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本项目</w:t>
                  </w:r>
                  <w:r>
                    <w:rPr>
                      <w:rFonts w:hint="eastAsia"/>
                      <w:szCs w:val="21"/>
                    </w:rPr>
                    <w:t>食堂废水经隔油池处理后与</w:t>
                  </w:r>
                  <w:r>
                    <w:rPr>
                      <w:szCs w:val="21"/>
                    </w:rPr>
                    <w:t>生活污水</w:t>
                  </w:r>
                  <w:r>
                    <w:rPr>
                      <w:rFonts w:hAnsi="宋体"/>
                      <w:szCs w:val="21"/>
                    </w:rPr>
                    <w:t>接管进武南污水处理厂，</w:t>
                  </w:r>
                  <w:r>
                    <w:rPr>
                      <w:rFonts w:hint="eastAsia"/>
                    </w:rPr>
                    <w:t>总量在武南污水处理厂内平衡。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426" w:type="pct"/>
                  <w:vMerge w:val="continue"/>
                  <w:vAlign w:val="center"/>
                </w:tcPr>
                <w:p>
                  <w:pPr>
                    <w:keepNext w:val="0"/>
                    <w:keepLines w:val="0"/>
                    <w:suppressLineNumbers w:val="0"/>
                    <w:autoSpaceDE w:val="0"/>
                    <w:autoSpaceDN w:val="0"/>
                    <w:snapToGrid w:val="0"/>
                    <w:spacing w:before="0" w:beforeAutospacing="0" w:after="0" w:afterAutospacing="0"/>
                    <w:ind w:left="0" w:right="0"/>
                    <w:jc w:val="center"/>
                    <w:rPr>
                      <w:szCs w:val="21"/>
                    </w:rPr>
                  </w:pP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全面加强和规范长江入河排污口管理，有效管控入河污染物排放，形成权责清晰、监控到位、管理规范的长江入河排污口监管体系，加快改善长江水环境质量。</w:t>
                  </w:r>
                </w:p>
              </w:tc>
              <w:tc>
                <w:tcPr>
                  <w:tcW w:w="1596" w:type="pct"/>
                  <w:vMerge w:val="continue"/>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426"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环境风险防控</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防范沿江环境风险。深化沿江石化、化工、医药、纺织、印染、化纤、危化品和石油类仓储、涉重金属和危险废物处置等重点企业环境风险防控。</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本项目不属于上述企业，且企业具有完善的风险防控措施。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3"/>
                  <w:vAlign w:val="center"/>
                </w:tcPr>
                <w:p>
                  <w:pPr>
                    <w:keepNext w:val="0"/>
                    <w:keepLines w:val="0"/>
                    <w:suppressLineNumbers w:val="0"/>
                    <w:autoSpaceDE w:val="0"/>
                    <w:autoSpaceDN w:val="0"/>
                    <w:snapToGrid w:val="0"/>
                    <w:spacing w:before="0" w:beforeAutospacing="0" w:after="0" w:afterAutospacing="0"/>
                    <w:ind w:left="0" w:right="0"/>
                    <w:jc w:val="center"/>
                    <w:rPr>
                      <w:b/>
                      <w:szCs w:val="21"/>
                    </w:rPr>
                  </w:pPr>
                  <w:r>
                    <w:rPr>
                      <w:rFonts w:hAnsi="宋体"/>
                      <w:b/>
                      <w:szCs w:val="21"/>
                    </w:rPr>
                    <w:t>太湖流域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426"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空间布局约束</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1</w:t>
                  </w:r>
                  <w:r>
                    <w:rPr>
                      <w:rFonts w:hAnsi="宋体"/>
                      <w:szCs w:val="21"/>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2</w:t>
                  </w:r>
                  <w:r>
                    <w:rPr>
                      <w:rFonts w:hAnsi="宋体"/>
                      <w:szCs w:val="21"/>
                    </w:rPr>
                    <w:t>、在太湖流域一级保护区，禁止新建、扩建向水体排放污染物的建设项目，禁止新建、扩建畜禽养殖场，禁止新建、扩建高尔夫球场、水上游乐等开发项目以及设置水上餐饮经营设施。</w:t>
                  </w:r>
                </w:p>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3</w:t>
                  </w:r>
                  <w:r>
                    <w:rPr>
                      <w:rFonts w:hAnsi="宋体"/>
                      <w:szCs w:val="21"/>
                    </w:rPr>
                    <w:t>、在太湖流域二级保护区，禁止新建、扩建化工、医药生产项目，禁止新建、扩建污水集中处理设施排污口以外的排污口。</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int="eastAsia"/>
                    </w:rPr>
                    <w:t>本项目位于</w:t>
                  </w:r>
                  <w:r>
                    <w:t>江苏省常州市武进区洛阳镇新科西路21号</w:t>
                  </w:r>
                  <w:r>
                    <w:rPr>
                      <w:rFonts w:hint="eastAsia"/>
                    </w:rPr>
                    <w:t>，</w:t>
                  </w:r>
                  <w:r>
                    <w:rPr>
                      <w:rFonts w:hint="eastAsia"/>
                      <w:szCs w:val="21"/>
                    </w:rPr>
                    <w:t>属于太湖流域三级保护区；本项目为其他电机制造行业，无含氮磷生产废水排放，食堂废水经隔油池处理后与</w:t>
                  </w:r>
                  <w:r>
                    <w:rPr>
                      <w:szCs w:val="21"/>
                    </w:rPr>
                    <w:t>生活污水</w:t>
                  </w:r>
                  <w:r>
                    <w:rPr>
                      <w:rFonts w:hint="eastAsia"/>
                      <w:szCs w:val="21"/>
                    </w:rPr>
                    <w:t>通过市政管网排入武南污水处理厂。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426"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污染物排放管控</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城镇污水处理厂、纺织工业、化学工业、造纸工业、钢铁工业、电镀工业和食品工业的污水处理设施执行《太湖地区城镇污水处理厂及重点工业行业主要水污染物排放限值》。</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Ansi="宋体"/>
                      <w:szCs w:val="21"/>
                    </w:rPr>
                    <w:t>本项目为</w:t>
                  </w:r>
                  <w:r>
                    <w:rPr>
                      <w:rFonts w:hint="eastAsia"/>
                      <w:szCs w:val="21"/>
                    </w:rPr>
                    <w:t>其他电机制造</w:t>
                  </w:r>
                  <w:r>
                    <w:rPr>
                      <w:rFonts w:hAnsi="宋体"/>
                      <w:szCs w:val="21"/>
                    </w:rPr>
                    <w:t>行业，</w:t>
                  </w:r>
                  <w:r>
                    <w:rPr>
                      <w:rFonts w:hint="eastAsia"/>
                    </w:rPr>
                    <w:t>无生产废水产生，</w:t>
                  </w:r>
                  <w:r>
                    <w:rPr>
                      <w:rFonts w:hint="eastAsia"/>
                      <w:szCs w:val="21"/>
                    </w:rPr>
                    <w:t>食堂废水经隔油池处理后与</w:t>
                  </w:r>
                  <w:r>
                    <w:rPr>
                      <w:szCs w:val="21"/>
                    </w:rPr>
                    <w:t>生活污水</w:t>
                  </w:r>
                  <w:r>
                    <w:rPr>
                      <w:rFonts w:hint="eastAsia"/>
                    </w:rPr>
                    <w:t>接管至武南污水处理厂集中处理，不属于上述行业。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426"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Ansi="宋体"/>
                      <w:szCs w:val="21"/>
                    </w:rPr>
                    <w:t>环境风险防控</w:t>
                  </w:r>
                </w:p>
              </w:tc>
              <w:tc>
                <w:tcPr>
                  <w:tcW w:w="2977"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1</w:t>
                  </w:r>
                  <w:r>
                    <w:rPr>
                      <w:rFonts w:hAnsi="宋体"/>
                      <w:szCs w:val="21"/>
                    </w:rPr>
                    <w:t>、运输剧毒物质、危险化学品的船舶不得进入太湖。</w:t>
                  </w:r>
                </w:p>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2</w:t>
                  </w:r>
                  <w:r>
                    <w:rPr>
                      <w:rFonts w:hAnsi="宋体"/>
                      <w:szCs w:val="21"/>
                    </w:rPr>
                    <w:t>、禁止向太湖流域水体排放或者倾倒油类、酸液、碱液、剧毒废渣废液、含放射性废渣废液、含病原体污水、工业废渣以及其他废弃物。</w:t>
                  </w:r>
                </w:p>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szCs w:val="21"/>
                    </w:rPr>
                    <w:t>3</w:t>
                  </w:r>
                  <w:r>
                    <w:rPr>
                      <w:rFonts w:hAnsi="宋体"/>
                      <w:szCs w:val="21"/>
                    </w:rPr>
                    <w:t>、加强太湖流域生态环境风险应急管控，着力提高防控太湖蓝藻水华风险预警和应急处置能力。</w:t>
                  </w:r>
                </w:p>
              </w:tc>
              <w:tc>
                <w:tcPr>
                  <w:tcW w:w="1596" w:type="pct"/>
                  <w:vAlign w:val="center"/>
                </w:tcPr>
                <w:p>
                  <w:pPr>
                    <w:keepNext w:val="0"/>
                    <w:keepLines w:val="0"/>
                    <w:suppressLineNumbers w:val="0"/>
                    <w:autoSpaceDE w:val="0"/>
                    <w:autoSpaceDN w:val="0"/>
                    <w:snapToGrid w:val="0"/>
                    <w:spacing w:before="0" w:beforeAutospacing="0" w:after="0" w:afterAutospacing="0"/>
                    <w:ind w:left="0" w:right="0" w:firstLine="420" w:firstLineChars="200"/>
                    <w:rPr>
                      <w:szCs w:val="21"/>
                    </w:rPr>
                  </w:pPr>
                  <w:r>
                    <w:rPr>
                      <w:rFonts w:hint="eastAsia"/>
                    </w:rPr>
                    <w:t>本项目将在生产过程中加强风险管控，严防污染物污染水体和周边外环境，不涉及《江苏省人民政府关于印发江苏省“三线一单”生态环境分区管控方案的通知》中规定的环境风险。</w:t>
                  </w:r>
                </w:p>
              </w:tc>
            </w:tr>
          </w:tbl>
          <w:p>
            <w:pPr>
              <w:keepNext w:val="0"/>
              <w:keepLines w:val="0"/>
              <w:suppressLineNumbers w:val="0"/>
              <w:spacing w:before="0" w:beforeAutospacing="0" w:after="0" w:afterAutospacing="0" w:line="360" w:lineRule="auto"/>
              <w:ind w:left="0" w:right="0" w:firstLine="480" w:firstLineChars="200"/>
              <w:rPr>
                <w:sz w:val="24"/>
              </w:rPr>
            </w:pPr>
            <w:r>
              <w:rPr>
                <w:rFonts w:hint="eastAsia"/>
                <w:sz w:val="24"/>
              </w:rPr>
              <w:t>综上，本项目与《江苏省政府关于印发江苏省“三线一单”生态环境分区管控方案的通知》（苏政发[2020]49号）的要求相符。</w:t>
            </w:r>
          </w:p>
          <w:p>
            <w:pPr>
              <w:keepNext w:val="0"/>
              <w:keepLines w:val="0"/>
              <w:suppressLineNumbers w:val="0"/>
              <w:spacing w:before="0" w:beforeAutospacing="0" w:after="0" w:afterAutospacing="0" w:line="360" w:lineRule="auto"/>
              <w:ind w:left="0" w:right="0" w:firstLine="482" w:firstLineChars="200"/>
              <w:rPr>
                <w:rFonts w:hint="eastAsia" w:eastAsia="宋体"/>
                <w:b/>
                <w:sz w:val="24"/>
                <w:lang w:val="en-US" w:eastAsia="zh-CN"/>
              </w:rPr>
            </w:pPr>
            <w:r>
              <w:rPr>
                <w:rFonts w:hint="eastAsia"/>
                <w:b/>
                <w:bCs/>
                <w:sz w:val="24"/>
              </w:rPr>
              <w:t>（</w:t>
            </w:r>
            <w:r>
              <w:rPr>
                <w:b/>
                <w:bCs/>
                <w:sz w:val="24"/>
              </w:rPr>
              <w:t>3</w:t>
            </w:r>
            <w:r>
              <w:rPr>
                <w:rFonts w:hAnsi="宋体"/>
                <w:b/>
                <w:bCs/>
                <w:sz w:val="24"/>
              </w:rPr>
              <w:t>）</w:t>
            </w:r>
            <w:r>
              <w:rPr>
                <w:rFonts w:hint="eastAsia"/>
                <w:b/>
                <w:sz w:val="24"/>
              </w:rPr>
              <w:t>与《常州市“三线一单”生态环境分区管控实施方案》（常环[2020]95号）相符性</w:t>
            </w:r>
            <w:r>
              <w:rPr>
                <w:rFonts w:hint="eastAsia"/>
                <w:b/>
                <w:sz w:val="24"/>
                <w:lang w:eastAsia="zh-CN"/>
              </w:rPr>
              <w:t>分析</w:t>
            </w:r>
          </w:p>
          <w:p>
            <w:pPr>
              <w:keepNext w:val="0"/>
              <w:keepLines w:val="0"/>
              <w:suppressLineNumbers w:val="0"/>
              <w:autoSpaceDE w:val="0"/>
              <w:autoSpaceDN w:val="0"/>
              <w:snapToGrid w:val="0"/>
              <w:spacing w:before="0" w:beforeAutospacing="0" w:after="0" w:afterAutospacing="0" w:line="360" w:lineRule="auto"/>
              <w:ind w:left="0" w:right="0" w:firstLine="480" w:firstLineChars="200"/>
              <w:jc w:val="left"/>
              <w:rPr>
                <w:b/>
                <w:bCs/>
                <w:sz w:val="24"/>
              </w:rPr>
            </w:pPr>
            <w:r>
              <w:rPr>
                <w:rFonts w:hAnsi="宋体"/>
                <w:sz w:val="24"/>
              </w:rPr>
              <w:t>根据</w:t>
            </w:r>
            <w:r>
              <w:rPr>
                <w:rFonts w:hint="eastAsia"/>
                <w:sz w:val="24"/>
              </w:rPr>
              <w:t>《常州市“三线一单”生态环境分区管控实施方案》（常环[2020]95号）</w:t>
            </w:r>
            <w:r>
              <w:rPr>
                <w:rFonts w:hAnsi="宋体"/>
                <w:sz w:val="24"/>
              </w:rPr>
              <w:t>要求，本项目位于江苏省常州市武进区洛阳镇新科西路21号</w:t>
            </w:r>
            <w:r>
              <w:rPr>
                <w:rFonts w:hint="eastAsia" w:hAnsi="宋体"/>
                <w:sz w:val="24"/>
              </w:rPr>
              <w:t>，为</w:t>
            </w:r>
            <w:r>
              <w:rPr>
                <w:rFonts w:hAnsi="宋体"/>
                <w:sz w:val="24"/>
              </w:rPr>
              <w:t>洛阳工业集中区</w:t>
            </w:r>
            <w:r>
              <w:rPr>
                <w:rFonts w:hint="eastAsia" w:hAnsi="宋体"/>
                <w:sz w:val="24"/>
              </w:rPr>
              <w:t>内</w:t>
            </w:r>
            <w:r>
              <w:rPr>
                <w:rFonts w:hAnsi="宋体"/>
                <w:sz w:val="24"/>
              </w:rPr>
              <w:t>，</w:t>
            </w:r>
            <w:r>
              <w:rPr>
                <w:rFonts w:hint="eastAsia" w:hAnsi="宋体"/>
                <w:sz w:val="24"/>
              </w:rPr>
              <w:t>为重点管控区，</w:t>
            </w:r>
            <w:r>
              <w:rPr>
                <w:rFonts w:hint="eastAsia"/>
                <w:sz w:val="24"/>
              </w:rPr>
              <w:t>其重点管控要求与本项目的相符性分析见表1-4</w:t>
            </w:r>
            <w:r>
              <w:rPr>
                <w:rFonts w:hAnsi="宋体"/>
                <w:sz w:val="24"/>
              </w:rPr>
              <w:t>：</w:t>
            </w:r>
          </w:p>
          <w:p>
            <w:pPr>
              <w:keepNext w:val="0"/>
              <w:keepLines w:val="0"/>
              <w:suppressLineNumbers w:val="0"/>
              <w:spacing w:before="0" w:beforeAutospacing="0" w:after="0" w:afterAutospacing="0"/>
              <w:ind w:left="0" w:right="0"/>
              <w:jc w:val="center"/>
              <w:rPr>
                <w:b/>
                <w:sz w:val="24"/>
              </w:rPr>
            </w:pPr>
            <w:r>
              <w:rPr>
                <w:rFonts w:hint="eastAsia"/>
                <w:b/>
                <w:sz w:val="24"/>
              </w:rPr>
              <w:t>表1-4 与常环〔2020〕95号相符性分析</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5686"/>
              <w:gridCol w:w="1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管控类别</w:t>
                  </w:r>
                </w:p>
              </w:tc>
              <w:tc>
                <w:tcPr>
                  <w:tcW w:w="3428"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重点管控要求</w:t>
                  </w:r>
                </w:p>
              </w:tc>
              <w:tc>
                <w:tcPr>
                  <w:tcW w:w="1118" w:type="pct"/>
                  <w:tcBorders>
                    <w:top w:val="single" w:color="auto" w:sz="12"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b/>
                      <w:szCs w:val="21"/>
                    </w:rPr>
                  </w:pPr>
                  <w:r>
                    <w:rPr>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szCs w:val="21"/>
                    </w:rPr>
                  </w:pPr>
                  <w:r>
                    <w:rPr>
                      <w:rFonts w:hAnsi="宋体"/>
                      <w:szCs w:val="21"/>
                    </w:rPr>
                    <w:t>洛阳工业集中区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54"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空间布局约束</w:t>
                  </w:r>
                </w:p>
              </w:tc>
              <w:tc>
                <w:tcPr>
                  <w:tcW w:w="342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）禁止引入轻工业：化学制纸浆、造纸、制革、酿造。</w:t>
                  </w:r>
                </w:p>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）禁止引入化工、医药、染料：各种化学品及其中间体的生产。</w:t>
                  </w:r>
                </w:p>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3</w:t>
                  </w:r>
                  <w:r>
                    <w:rPr>
                      <w:rFonts w:hAnsi="宋体"/>
                      <w:color w:val="000000"/>
                      <w:kern w:val="0"/>
                      <w:szCs w:val="21"/>
                    </w:rPr>
                    <w:t>）禁止引入印染：各类织物的印染及其后整理。</w:t>
                  </w:r>
                </w:p>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4</w:t>
                  </w:r>
                  <w:r>
                    <w:rPr>
                      <w:rFonts w:hAnsi="宋体"/>
                      <w:color w:val="000000"/>
                      <w:kern w:val="0"/>
                      <w:szCs w:val="21"/>
                    </w:rPr>
                    <w:t>）禁止引入机械电子：表面处理、磷化、喷涂、电镀、线路板生产。</w:t>
                  </w:r>
                </w:p>
                <w:p>
                  <w:pPr>
                    <w:keepNext w:val="0"/>
                    <w:keepLines w:val="0"/>
                    <w:suppressLineNumbers w:val="0"/>
                    <w:spacing w:before="0" w:beforeAutospacing="0" w:after="0" w:afterAutospacing="0"/>
                    <w:ind w:left="0" w:right="0" w:firstLine="420" w:firstLineChars="200"/>
                    <w:rPr>
                      <w:szCs w:val="21"/>
                    </w:rPr>
                  </w:pPr>
                  <w:r>
                    <w:rPr>
                      <w:rFonts w:hAnsi="宋体"/>
                      <w:color w:val="000000"/>
                      <w:kern w:val="0"/>
                      <w:szCs w:val="21"/>
                    </w:rPr>
                    <w:t>（</w:t>
                  </w:r>
                  <w:r>
                    <w:rPr>
                      <w:color w:val="000000"/>
                      <w:kern w:val="0"/>
                      <w:szCs w:val="21"/>
                    </w:rPr>
                    <w:t>5</w:t>
                  </w:r>
                  <w:r>
                    <w:rPr>
                      <w:rFonts w:hAnsi="宋体"/>
                      <w:color w:val="000000"/>
                      <w:kern w:val="0"/>
                      <w:szCs w:val="21"/>
                    </w:rPr>
                    <w:t>）禁止引入电镀、炼油、固体废物处理处置。国家和地方产业政策中禁止的类别和存在严重污染且不能达标排放的企业。</w:t>
                  </w:r>
                </w:p>
              </w:tc>
              <w:tc>
                <w:tcPr>
                  <w:tcW w:w="1118"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firstLine="420" w:firstLineChars="200"/>
                    <w:rPr>
                      <w:szCs w:val="21"/>
                    </w:rPr>
                  </w:pPr>
                  <w:r>
                    <w:rPr>
                      <w:rFonts w:hint="eastAsia"/>
                    </w:rPr>
                    <w:t>本项目为其他电机制造行业，不属于上述行业。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454"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污染物排放管控</w:t>
                  </w:r>
                </w:p>
              </w:tc>
              <w:tc>
                <w:tcPr>
                  <w:tcW w:w="342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）严格实施污染物总量控制制度，根据区域环境质量改善目标，采取有效措施减少主要污染物排放总量，确保区域环境质量持续改善。</w:t>
                  </w:r>
                </w:p>
                <w:p>
                  <w:pPr>
                    <w:keepNext w:val="0"/>
                    <w:keepLines w:val="0"/>
                    <w:suppressLineNumbers w:val="0"/>
                    <w:spacing w:before="0" w:beforeAutospacing="0" w:after="0" w:afterAutospacing="0"/>
                    <w:ind w:left="0" w:right="0" w:firstLine="420" w:firstLineChars="200"/>
                    <w:rPr>
                      <w:szCs w:val="21"/>
                    </w:rPr>
                  </w:pPr>
                  <w:r>
                    <w:rPr>
                      <w:rFonts w:hAnsi="宋体"/>
                      <w:color w:val="000000"/>
                      <w:kern w:val="0"/>
                      <w:szCs w:val="21"/>
                    </w:rPr>
                    <w:t>（</w:t>
                  </w:r>
                  <w:r>
                    <w:rPr>
                      <w:color w:val="000000"/>
                      <w:kern w:val="0"/>
                      <w:szCs w:val="21"/>
                    </w:rPr>
                    <w:t>2</w:t>
                  </w:r>
                  <w:r>
                    <w:rPr>
                      <w:rFonts w:hAnsi="宋体"/>
                      <w:color w:val="000000"/>
                      <w:kern w:val="0"/>
                      <w:szCs w:val="21"/>
                    </w:rPr>
                    <w:t>）园区污染物排放总量不得突破环评报告及批复的总量。</w:t>
                  </w:r>
                </w:p>
              </w:tc>
              <w:tc>
                <w:tcPr>
                  <w:tcW w:w="1118"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firstLine="420" w:firstLineChars="200"/>
                    <w:rPr>
                      <w:szCs w:val="21"/>
                    </w:rPr>
                  </w:pPr>
                  <w:r>
                    <w:t>实行总量控制制度，废水进入</w:t>
                  </w:r>
                  <w:r>
                    <w:rPr>
                      <w:rFonts w:hint="eastAsia"/>
                    </w:rPr>
                    <w:t>武南</w:t>
                  </w:r>
                  <w:r>
                    <w:t>污水处理厂，废气在武进区实行区域平衡</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环境风险防控</w:t>
                  </w:r>
                </w:p>
              </w:tc>
              <w:tc>
                <w:tcPr>
                  <w:tcW w:w="342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）园区建立环境应急体系，完善事故应急救援体系，加强应急物资装备储备，编制突发环境事件应急预案，定期开展演练。</w:t>
                  </w:r>
                </w:p>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）生产、使用、储存危险化学品或其他存在环境风险的企事业单位，应当制定风险防范措施，编制完善突发环境事件应急预案，防止发生环境污染事故。</w:t>
                  </w:r>
                </w:p>
                <w:p>
                  <w:pPr>
                    <w:keepNext w:val="0"/>
                    <w:keepLines w:val="0"/>
                    <w:suppressLineNumbers w:val="0"/>
                    <w:spacing w:before="0" w:beforeAutospacing="0" w:after="0" w:afterAutospacing="0"/>
                    <w:ind w:left="0" w:right="0" w:firstLine="420" w:firstLineChars="200"/>
                    <w:rPr>
                      <w:szCs w:val="21"/>
                    </w:rPr>
                  </w:pPr>
                  <w:r>
                    <w:rPr>
                      <w:rFonts w:hAnsi="宋体"/>
                      <w:color w:val="000000"/>
                      <w:kern w:val="0"/>
                      <w:szCs w:val="21"/>
                    </w:rPr>
                    <w:t>（</w:t>
                  </w:r>
                  <w:r>
                    <w:rPr>
                      <w:color w:val="000000"/>
                      <w:kern w:val="0"/>
                      <w:szCs w:val="21"/>
                    </w:rPr>
                    <w:t>3</w:t>
                  </w:r>
                  <w:r>
                    <w:rPr>
                      <w:rFonts w:hAnsi="宋体"/>
                      <w:color w:val="000000"/>
                      <w:kern w:val="0"/>
                      <w:szCs w:val="21"/>
                    </w:rPr>
                    <w:t>）加强环境影响跟踪监测，建立健全各环境要素监控体系，完善并落实园区日常环境监测与污染源监控计划。</w:t>
                  </w:r>
                </w:p>
              </w:tc>
              <w:tc>
                <w:tcPr>
                  <w:tcW w:w="1118"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firstLine="420" w:firstLineChars="200"/>
                    <w:rPr>
                      <w:szCs w:val="21"/>
                    </w:rPr>
                  </w:pPr>
                  <w:r>
                    <w:t>园区已建立完善的环境应急体系</w:t>
                  </w:r>
                  <w:r>
                    <w:rPr>
                      <w:rFonts w:hint="eastAsia"/>
                    </w:rPr>
                    <w:t>和</w:t>
                  </w:r>
                  <w:r>
                    <w:t>监测计划</w:t>
                  </w:r>
                  <w:r>
                    <w:rPr>
                      <w:rFonts w:hint="eastAsia"/>
                    </w:rPr>
                    <w:t>；本项目不涉及危险化学品的生产和使用。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4" w:space="0"/>
                    <w:left w:val="nil"/>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资源利用效率要求</w:t>
                  </w:r>
                </w:p>
              </w:tc>
              <w:tc>
                <w:tcPr>
                  <w:tcW w:w="3428"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）大力倡导使用清洁能源。</w:t>
                  </w:r>
                </w:p>
                <w:p>
                  <w:pPr>
                    <w:keepNext w:val="0"/>
                    <w:keepLines w:val="0"/>
                    <w:suppressLineNumbers w:val="0"/>
                    <w:spacing w:before="0" w:beforeAutospacing="0" w:after="0" w:afterAutospacing="0"/>
                    <w:ind w:left="0" w:right="0"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）提升废水资源化技术，提高水资源回用率。</w:t>
                  </w:r>
                </w:p>
                <w:p>
                  <w:pPr>
                    <w:keepNext w:val="0"/>
                    <w:keepLines w:val="0"/>
                    <w:suppressLineNumbers w:val="0"/>
                    <w:spacing w:before="0" w:beforeAutospacing="0" w:after="0" w:afterAutospacing="0"/>
                    <w:ind w:left="0" w:right="0" w:firstLine="420" w:firstLineChars="200"/>
                    <w:rPr>
                      <w:szCs w:val="21"/>
                    </w:rPr>
                  </w:pPr>
                  <w:r>
                    <w:rPr>
                      <w:rFonts w:hAnsi="宋体"/>
                      <w:color w:val="000000"/>
                      <w:kern w:val="0"/>
                      <w:szCs w:val="21"/>
                    </w:rPr>
                    <w:t>（</w:t>
                  </w:r>
                  <w:r>
                    <w:rPr>
                      <w:color w:val="000000"/>
                      <w:kern w:val="0"/>
                      <w:szCs w:val="21"/>
                    </w:rPr>
                    <w:t>3</w:t>
                  </w:r>
                  <w:r>
                    <w:rPr>
                      <w:rFonts w:hAnsi="宋体"/>
                      <w:color w:val="000000"/>
                      <w:kern w:val="0"/>
                      <w:szCs w:val="21"/>
                    </w:rPr>
                    <w:t>）禁止销售使用燃料为</w:t>
                  </w:r>
                  <w:r>
                    <w:rPr>
                      <w:color w:val="000000"/>
                      <w:kern w:val="0"/>
                      <w:szCs w:val="21"/>
                    </w:rPr>
                    <w:t>“III</w:t>
                  </w:r>
                  <w:r>
                    <w:rPr>
                      <w:rFonts w:hAnsi="宋体"/>
                      <w:color w:val="000000"/>
                      <w:kern w:val="0"/>
                      <w:szCs w:val="21"/>
                    </w:rPr>
                    <w:t>类</w:t>
                  </w:r>
                  <w:r>
                    <w:rPr>
                      <w:color w:val="000000"/>
                      <w:kern w:val="0"/>
                      <w:szCs w:val="21"/>
                    </w:rPr>
                    <w:t>”</w:t>
                  </w:r>
                  <w:r>
                    <w:rPr>
                      <w:rFonts w:hAnsi="宋体"/>
                      <w:color w:val="000000"/>
                      <w:kern w:val="0"/>
                      <w:szCs w:val="21"/>
                    </w:rPr>
                    <w:t>（严格），具体包括：</w:t>
                  </w:r>
                  <w:r>
                    <w:rPr>
                      <w:color w:val="000000"/>
                      <w:kern w:val="0"/>
                      <w:szCs w:val="21"/>
                    </w:rPr>
                    <w:t>1</w:t>
                  </w:r>
                  <w:r>
                    <w:rPr>
                      <w:rFonts w:hAnsi="宋体"/>
                      <w:color w:val="000000"/>
                      <w:kern w:val="0"/>
                      <w:szCs w:val="21"/>
                    </w:rPr>
                    <w:t>、煤炭及其制品（包括原煤、散煤、煤矸石、煤泥、煤粉、水煤浆、型煤、焦炭、兰炭等）；</w:t>
                  </w:r>
                  <w:r>
                    <w:rPr>
                      <w:color w:val="000000"/>
                      <w:kern w:val="0"/>
                      <w:szCs w:val="21"/>
                    </w:rPr>
                    <w:t>2</w:t>
                  </w:r>
                  <w:r>
                    <w:rPr>
                      <w:rFonts w:hAnsi="宋体"/>
                      <w:color w:val="000000"/>
                      <w:kern w:val="0"/>
                      <w:szCs w:val="21"/>
                    </w:rPr>
                    <w:t>、石油焦、油页岩、原油、重油、渣油、煤焦油；</w:t>
                  </w:r>
                  <w:r>
                    <w:rPr>
                      <w:color w:val="000000"/>
                      <w:kern w:val="0"/>
                      <w:szCs w:val="21"/>
                    </w:rPr>
                    <w:t>3</w:t>
                  </w:r>
                  <w:r>
                    <w:rPr>
                      <w:rFonts w:hAnsi="宋体"/>
                      <w:color w:val="000000"/>
                      <w:kern w:val="0"/>
                      <w:szCs w:val="21"/>
                    </w:rPr>
                    <w:t>、非专用锅炉或未配置高效除尘设施的专用锅炉燃用的生物质成型燃料；</w:t>
                  </w:r>
                  <w:r>
                    <w:rPr>
                      <w:color w:val="000000"/>
                      <w:kern w:val="0"/>
                      <w:szCs w:val="21"/>
                    </w:rPr>
                    <w:t>4</w:t>
                  </w:r>
                  <w:r>
                    <w:rPr>
                      <w:rFonts w:hAnsi="宋体"/>
                      <w:color w:val="000000"/>
                      <w:kern w:val="0"/>
                      <w:szCs w:val="21"/>
                    </w:rPr>
                    <w:t>、国家规定的其它高污染燃料。</w:t>
                  </w:r>
                </w:p>
              </w:tc>
              <w:tc>
                <w:tcPr>
                  <w:tcW w:w="1118" w:type="pct"/>
                  <w:tcBorders>
                    <w:top w:val="single" w:color="auto" w:sz="4" w:space="0"/>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firstLine="420" w:firstLineChars="200"/>
                    <w:rPr>
                      <w:szCs w:val="21"/>
                    </w:rPr>
                  </w:pPr>
                  <w:r>
                    <w:t>本项目</w:t>
                  </w:r>
                  <w:r>
                    <w:rPr>
                      <w:rFonts w:hint="eastAsia"/>
                    </w:rPr>
                    <w:t>使用</w:t>
                  </w:r>
                  <w:r>
                    <w:t>水、电</w:t>
                  </w:r>
                  <w:r>
                    <w:rPr>
                      <w:rFonts w:hint="eastAsia"/>
                    </w:rPr>
                    <w:t>资源</w:t>
                  </w:r>
                  <w:r>
                    <w:t>，</w:t>
                  </w:r>
                  <w:r>
                    <w:rPr>
                      <w:rFonts w:hint="eastAsia"/>
                    </w:rPr>
                    <w:t>不属于</w:t>
                  </w:r>
                  <w:r>
                    <w:rPr>
                      <w:rFonts w:hint="eastAsia"/>
                      <w:kern w:val="0"/>
                    </w:rPr>
                    <w:t>III类燃料</w:t>
                  </w:r>
                  <w:r>
                    <w:t>。</w:t>
                  </w:r>
                </w:p>
              </w:tc>
            </w:tr>
          </w:tbl>
          <w:p>
            <w:pPr>
              <w:keepNext w:val="0"/>
              <w:keepLines w:val="0"/>
              <w:suppressLineNumbers w:val="0"/>
              <w:spacing w:before="0" w:beforeAutospacing="0" w:after="0" w:afterAutospacing="0" w:line="360" w:lineRule="auto"/>
              <w:ind w:left="0" w:right="0" w:firstLine="480" w:firstLineChars="200"/>
              <w:rPr>
                <w:sz w:val="24"/>
              </w:rPr>
            </w:pPr>
            <w:r>
              <w:rPr>
                <w:rFonts w:hint="eastAsia"/>
                <w:sz w:val="24"/>
              </w:rPr>
              <w:t>综上，本项目与《常州市“三线一单”生态环境分区管控实施方案》（常环[2020]95号）的要求相符。</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bCs/>
                <w:sz w:val="24"/>
              </w:rPr>
            </w:pPr>
            <w:r>
              <w:rPr>
                <w:b/>
                <w:bCs/>
                <w:sz w:val="24"/>
              </w:rPr>
              <w:t>2、产业政策相符性分析</w:t>
            </w:r>
          </w:p>
          <w:p>
            <w:pPr>
              <w:keepNext w:val="0"/>
              <w:keepLines w:val="0"/>
              <w:suppressLineNumbers w:val="0"/>
              <w:spacing w:before="0" w:beforeAutospacing="0" w:after="0" w:afterAutospacing="0"/>
              <w:ind w:left="0" w:right="0"/>
              <w:jc w:val="center"/>
            </w:pPr>
            <w:r>
              <w:rPr>
                <w:b/>
                <w:sz w:val="24"/>
              </w:rPr>
              <w:t>表1-</w:t>
            </w:r>
            <w:r>
              <w:rPr>
                <w:rFonts w:hint="eastAsia"/>
                <w:b/>
                <w:sz w:val="24"/>
              </w:rPr>
              <w:t>5</w:t>
            </w:r>
            <w:r>
              <w:rPr>
                <w:b/>
                <w:sz w:val="24"/>
              </w:rPr>
              <w:t xml:space="preserve"> 产业政策相符性分析</w:t>
            </w:r>
          </w:p>
          <w:tbl>
            <w:tblPr>
              <w:tblStyle w:val="21"/>
              <w:tblW w:w="815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4937"/>
              <w:gridCol w:w="24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00" w:type="dxa"/>
                  <w:vAlign w:val="center"/>
                </w:tcPr>
                <w:p>
                  <w:pPr>
                    <w:keepNext w:val="0"/>
                    <w:keepLines w:val="0"/>
                    <w:suppressLineNumbers w:val="0"/>
                    <w:spacing w:before="0" w:beforeAutospacing="0" w:after="0" w:afterAutospacing="0"/>
                    <w:ind w:left="0" w:right="0"/>
                    <w:jc w:val="center"/>
                    <w:rPr>
                      <w:b/>
                      <w:bCs/>
                      <w:szCs w:val="21"/>
                    </w:rPr>
                  </w:pPr>
                  <w:r>
                    <w:rPr>
                      <w:b/>
                      <w:bCs/>
                      <w:szCs w:val="21"/>
                    </w:rPr>
                    <w:t>序号</w:t>
                  </w:r>
                </w:p>
              </w:tc>
              <w:tc>
                <w:tcPr>
                  <w:tcW w:w="4937" w:type="dxa"/>
                  <w:vAlign w:val="center"/>
                </w:tcPr>
                <w:p>
                  <w:pPr>
                    <w:keepNext w:val="0"/>
                    <w:keepLines w:val="0"/>
                    <w:suppressLineNumbers w:val="0"/>
                    <w:spacing w:before="0" w:beforeAutospacing="0" w:after="0" w:afterAutospacing="0"/>
                    <w:ind w:left="0" w:right="0"/>
                    <w:jc w:val="center"/>
                    <w:rPr>
                      <w:b/>
                      <w:bCs/>
                      <w:szCs w:val="21"/>
                    </w:rPr>
                  </w:pPr>
                  <w:r>
                    <w:rPr>
                      <w:b/>
                      <w:bCs/>
                      <w:szCs w:val="21"/>
                    </w:rPr>
                    <w:t>对照分析</w:t>
                  </w:r>
                </w:p>
              </w:tc>
              <w:tc>
                <w:tcPr>
                  <w:tcW w:w="2422" w:type="dxa"/>
                  <w:vAlign w:val="center"/>
                </w:tcPr>
                <w:p>
                  <w:pPr>
                    <w:keepNext w:val="0"/>
                    <w:keepLines w:val="0"/>
                    <w:suppressLineNumbers w:val="0"/>
                    <w:spacing w:before="0" w:beforeAutospacing="0" w:after="0" w:afterAutospacing="0"/>
                    <w:ind w:left="0" w:right="0"/>
                    <w:jc w:val="center"/>
                    <w:rPr>
                      <w:b/>
                      <w:bCs/>
                      <w:szCs w:val="21"/>
                    </w:rPr>
                  </w:pPr>
                  <w:r>
                    <w:rPr>
                      <w:b/>
                      <w:bCs/>
                      <w:szCs w:val="21"/>
                    </w:rPr>
                    <w:t>是否满足要求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0" w:type="dxa"/>
                  <w:vAlign w:val="center"/>
                </w:tcPr>
                <w:p>
                  <w:pPr>
                    <w:keepNext w:val="0"/>
                    <w:keepLines w:val="0"/>
                    <w:suppressLineNumbers w:val="0"/>
                    <w:spacing w:before="0" w:beforeAutospacing="0" w:after="0" w:afterAutospacing="0"/>
                    <w:ind w:left="0" w:right="0"/>
                    <w:jc w:val="center"/>
                    <w:rPr>
                      <w:szCs w:val="21"/>
                    </w:rPr>
                  </w:pPr>
                  <w:r>
                    <w:rPr>
                      <w:szCs w:val="21"/>
                    </w:rPr>
                    <w:t>1</w:t>
                  </w:r>
                </w:p>
              </w:tc>
              <w:tc>
                <w:tcPr>
                  <w:tcW w:w="493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《产业结构调整指导目录（20</w:t>
                  </w:r>
                  <w:r>
                    <w:rPr>
                      <w:rFonts w:hint="eastAsia"/>
                      <w:szCs w:val="21"/>
                    </w:rPr>
                    <w:t>21</w:t>
                  </w:r>
                  <w:r>
                    <w:rPr>
                      <w:szCs w:val="21"/>
                    </w:rPr>
                    <w:t>年本）》</w:t>
                  </w:r>
                </w:p>
              </w:tc>
              <w:tc>
                <w:tcPr>
                  <w:tcW w:w="242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00" w:type="dxa"/>
                  <w:vAlign w:val="center"/>
                </w:tcPr>
                <w:p>
                  <w:pPr>
                    <w:keepNext w:val="0"/>
                    <w:keepLines w:val="0"/>
                    <w:suppressLineNumbers w:val="0"/>
                    <w:spacing w:before="0" w:beforeAutospacing="0" w:after="0" w:afterAutospacing="0"/>
                    <w:ind w:left="0" w:right="0"/>
                    <w:jc w:val="center"/>
                    <w:rPr>
                      <w:szCs w:val="21"/>
                    </w:rPr>
                  </w:pPr>
                  <w:r>
                    <w:rPr>
                      <w:szCs w:val="21"/>
                    </w:rPr>
                    <w:t>2</w:t>
                  </w:r>
                </w:p>
              </w:tc>
              <w:tc>
                <w:tcPr>
                  <w:tcW w:w="493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《江苏省产业结构调整限制、淘汰和禁止目录（2018年本）》</w:t>
                  </w:r>
                </w:p>
              </w:tc>
              <w:tc>
                <w:tcPr>
                  <w:tcW w:w="242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00" w:type="dxa"/>
                  <w:vAlign w:val="center"/>
                </w:tcPr>
                <w:p>
                  <w:pPr>
                    <w:keepNext w:val="0"/>
                    <w:keepLines w:val="0"/>
                    <w:suppressLineNumbers w:val="0"/>
                    <w:spacing w:before="0" w:beforeAutospacing="0" w:after="0" w:afterAutospacing="0"/>
                    <w:ind w:left="0" w:right="0"/>
                    <w:jc w:val="center"/>
                    <w:rPr>
                      <w:szCs w:val="21"/>
                    </w:rPr>
                  </w:pPr>
                  <w:r>
                    <w:rPr>
                      <w:szCs w:val="21"/>
                    </w:rPr>
                    <w:t>3</w:t>
                  </w:r>
                </w:p>
              </w:tc>
              <w:tc>
                <w:tcPr>
                  <w:tcW w:w="493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《江苏省工业和信息产业结构调整指导目录（2012年本）》、《关于修改江苏省工业和信息产业结构调整指导目录（2012年本）部分条目的通知》</w:t>
                  </w:r>
                </w:p>
              </w:tc>
              <w:tc>
                <w:tcPr>
                  <w:tcW w:w="242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00" w:type="dxa"/>
                  <w:vAlign w:val="center"/>
                </w:tcPr>
                <w:p>
                  <w:pPr>
                    <w:keepNext w:val="0"/>
                    <w:keepLines w:val="0"/>
                    <w:suppressLineNumbers w:val="0"/>
                    <w:spacing w:before="0" w:beforeAutospacing="0" w:after="0" w:afterAutospacing="0"/>
                    <w:ind w:left="0" w:right="0"/>
                    <w:jc w:val="center"/>
                    <w:rPr>
                      <w:szCs w:val="21"/>
                    </w:rPr>
                  </w:pPr>
                  <w:r>
                    <w:rPr>
                      <w:szCs w:val="21"/>
                    </w:rPr>
                    <w:t>4</w:t>
                  </w:r>
                </w:p>
              </w:tc>
              <w:tc>
                <w:tcPr>
                  <w:tcW w:w="493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《江苏省工业和信息产业结构调整限制淘汰目录和能耗限额》（2015年本）</w:t>
                  </w:r>
                </w:p>
              </w:tc>
              <w:tc>
                <w:tcPr>
                  <w:tcW w:w="242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00" w:type="dxa"/>
                  <w:vAlign w:val="center"/>
                </w:tcPr>
                <w:p>
                  <w:pPr>
                    <w:keepNext w:val="0"/>
                    <w:keepLines w:val="0"/>
                    <w:suppressLineNumbers w:val="0"/>
                    <w:spacing w:before="0" w:beforeAutospacing="0" w:after="0" w:afterAutospacing="0"/>
                    <w:ind w:left="0" w:right="0"/>
                    <w:jc w:val="center"/>
                    <w:rPr>
                      <w:szCs w:val="21"/>
                    </w:rPr>
                  </w:pPr>
                  <w:r>
                    <w:rPr>
                      <w:szCs w:val="21"/>
                    </w:rPr>
                    <w:t>5</w:t>
                  </w:r>
                </w:p>
              </w:tc>
              <w:tc>
                <w:tcPr>
                  <w:tcW w:w="493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于2022年</w:t>
                  </w:r>
                  <w:r>
                    <w:rPr>
                      <w:rFonts w:hint="eastAsia"/>
                      <w:szCs w:val="21"/>
                    </w:rPr>
                    <w:t>3</w:t>
                  </w:r>
                  <w:r>
                    <w:rPr>
                      <w:szCs w:val="21"/>
                    </w:rPr>
                    <w:t>月</w:t>
                  </w:r>
                  <w:r>
                    <w:rPr>
                      <w:rFonts w:hint="eastAsia"/>
                      <w:szCs w:val="21"/>
                    </w:rPr>
                    <w:t>4</w:t>
                  </w:r>
                  <w:r>
                    <w:rPr>
                      <w:szCs w:val="21"/>
                    </w:rPr>
                    <w:t>日取得了常州市武进区行政审批局的项目备案证明</w:t>
                  </w:r>
                  <w:r>
                    <w:rPr>
                      <w:rFonts w:hint="eastAsia"/>
                      <w:szCs w:val="21"/>
                    </w:rPr>
                    <w:t>，</w:t>
                  </w:r>
                  <w:r>
                    <w:rPr>
                      <w:szCs w:val="21"/>
                    </w:rPr>
                    <w:t>备案证号：武行审备【2022】</w:t>
                  </w:r>
                  <w:r>
                    <w:rPr>
                      <w:rFonts w:hint="eastAsia"/>
                      <w:szCs w:val="21"/>
                    </w:rPr>
                    <w:t>57</w:t>
                  </w:r>
                  <w:r>
                    <w:rPr>
                      <w:szCs w:val="21"/>
                    </w:rPr>
                    <w:t>号</w:t>
                  </w:r>
                  <w:r>
                    <w:rPr>
                      <w:rFonts w:hint="eastAsia"/>
                      <w:szCs w:val="21"/>
                    </w:rPr>
                    <w:t>，</w:t>
                  </w:r>
                  <w:r>
                    <w:rPr>
                      <w:szCs w:val="21"/>
                    </w:rPr>
                    <w:t>项目代码：220</w:t>
                  </w:r>
                  <w:r>
                    <w:rPr>
                      <w:rFonts w:hint="eastAsia"/>
                      <w:szCs w:val="21"/>
                    </w:rPr>
                    <w:t>3</w:t>
                  </w:r>
                  <w:r>
                    <w:rPr>
                      <w:szCs w:val="21"/>
                    </w:rPr>
                    <w:t>-320412-89-0</w:t>
                  </w:r>
                  <w:r>
                    <w:rPr>
                      <w:rFonts w:hint="eastAsia"/>
                      <w:szCs w:val="21"/>
                    </w:rPr>
                    <w:t>1</w:t>
                  </w:r>
                  <w:r>
                    <w:rPr>
                      <w:szCs w:val="21"/>
                    </w:rPr>
                    <w:t>-</w:t>
                  </w:r>
                  <w:r>
                    <w:rPr>
                      <w:rFonts w:hint="eastAsia"/>
                      <w:szCs w:val="21"/>
                    </w:rPr>
                    <w:t>219787</w:t>
                  </w:r>
                </w:p>
              </w:tc>
              <w:tc>
                <w:tcPr>
                  <w:tcW w:w="242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是</w:t>
                  </w:r>
                </w:p>
              </w:tc>
            </w:tr>
          </w:tbl>
          <w:p>
            <w:pPr>
              <w:keepNext w:val="0"/>
              <w:keepLines w:val="0"/>
              <w:widowControl/>
              <w:suppressLineNumbers w:val="0"/>
              <w:adjustRightInd w:val="0"/>
              <w:snapToGrid w:val="0"/>
              <w:spacing w:before="0" w:beforeAutospacing="0" w:after="0" w:afterAutospacing="0" w:line="360" w:lineRule="auto"/>
              <w:ind w:left="0" w:right="0" w:firstLine="482" w:firstLineChars="200"/>
              <w:rPr>
                <w:b/>
                <w:bCs/>
                <w:sz w:val="24"/>
              </w:rPr>
            </w:pPr>
            <w:r>
              <w:rPr>
                <w:rFonts w:hint="eastAsia"/>
                <w:b/>
                <w:bCs/>
                <w:sz w:val="24"/>
              </w:rPr>
              <w:t>3</w:t>
            </w:r>
            <w:r>
              <w:rPr>
                <w:rFonts w:hAnsi="宋体"/>
                <w:b/>
                <w:bCs/>
                <w:sz w:val="24"/>
              </w:rPr>
              <w:t>、</w:t>
            </w:r>
            <w:r>
              <w:rPr>
                <w:rFonts w:hint="eastAsia"/>
                <w:b/>
                <w:bCs/>
                <w:sz w:val="24"/>
              </w:rPr>
              <w:t>与</w:t>
            </w:r>
            <w:r>
              <w:rPr>
                <w:rFonts w:ascii="宋体" w:hAnsi="宋体" w:cs="宋体"/>
                <w:b/>
                <w:bCs/>
                <w:sz w:val="24"/>
              </w:rPr>
              <w:t>太湖流域环境政策</w:t>
            </w:r>
            <w:r>
              <w:rPr>
                <w:rFonts w:hint="eastAsia" w:ascii="宋体" w:hAnsi="宋体" w:cs="宋体"/>
                <w:b/>
                <w:bCs/>
                <w:sz w:val="24"/>
              </w:rPr>
              <w:t>相符性分析</w:t>
            </w:r>
          </w:p>
          <w:p>
            <w:pPr>
              <w:keepNext w:val="0"/>
              <w:keepLines w:val="0"/>
              <w:widowControl/>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（1）与《太湖流域管理条例</w:t>
            </w:r>
            <w:r>
              <w:rPr>
                <w:b/>
                <w:sz w:val="24"/>
              </w:rPr>
              <w:t>》</w:t>
            </w:r>
            <w:r>
              <w:rPr>
                <w:rFonts w:hint="eastAsia"/>
                <w:b/>
                <w:sz w:val="24"/>
                <w:lang w:eastAsia="zh-CN"/>
              </w:rPr>
              <w:t>（</w:t>
            </w:r>
            <w:r>
              <w:rPr>
                <w:b/>
                <w:sz w:val="24"/>
              </w:rPr>
              <w:t>国务院令第604号</w:t>
            </w:r>
            <w:r>
              <w:rPr>
                <w:rFonts w:hint="eastAsia"/>
                <w:b/>
                <w:sz w:val="24"/>
                <w:lang w:eastAsia="zh-CN"/>
              </w:rPr>
              <w:t>）</w:t>
            </w:r>
            <w:r>
              <w:rPr>
                <w:b/>
                <w:sz w:val="24"/>
              </w:rPr>
              <w:t>相符性分析</w:t>
            </w:r>
          </w:p>
          <w:p>
            <w:pPr>
              <w:pStyle w:val="2"/>
              <w:keepNext w:val="0"/>
              <w:keepLines w:val="0"/>
              <w:suppressLineNumbers w:val="0"/>
              <w:spacing w:before="0" w:beforeAutospacing="0" w:after="0" w:afterAutospacing="0"/>
              <w:ind w:left="0" w:leftChars="0" w:right="0" w:rightChars="0"/>
              <w:jc w:val="center"/>
              <w:rPr>
                <w:b/>
                <w:bCs/>
                <w:sz w:val="24"/>
              </w:rPr>
            </w:pPr>
            <w:r>
              <w:rPr>
                <w:rFonts w:ascii="Times New Roman"/>
                <w:b/>
                <w:bCs/>
                <w:sz w:val="24"/>
              </w:rPr>
              <w:t>表</w:t>
            </w:r>
            <w:r>
              <w:rPr>
                <w:rFonts w:ascii="Times New Roman" w:hAnsi="Times New Roman"/>
                <w:b/>
                <w:bCs/>
                <w:sz w:val="24"/>
              </w:rPr>
              <w:t xml:space="preserve">1-6 </w:t>
            </w:r>
            <w:r>
              <w:rPr>
                <w:rFonts w:ascii="Times New Roman"/>
                <w:b/>
                <w:bCs/>
                <w:sz w:val="24"/>
              </w:rPr>
              <w:t>与《</w:t>
            </w:r>
            <w:r>
              <w:rPr>
                <w:rFonts w:hint="eastAsia"/>
                <w:b/>
                <w:bCs/>
                <w:sz w:val="24"/>
              </w:rPr>
              <w:t>太湖流域管理条例》的相符性分析</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33"/>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9" w:type="pct"/>
                  <w:vAlign w:val="center"/>
                </w:tcPr>
                <w:p>
                  <w:pPr>
                    <w:keepNext w:val="0"/>
                    <w:keepLines w:val="0"/>
                    <w:suppressLineNumbers w:val="0"/>
                    <w:spacing w:before="0" w:beforeAutospacing="0" w:after="0" w:afterAutospacing="0"/>
                    <w:ind w:left="0" w:right="0"/>
                    <w:jc w:val="center"/>
                    <w:rPr>
                      <w:b/>
                    </w:rPr>
                  </w:pPr>
                  <w:r>
                    <w:rPr>
                      <w:rFonts w:hint="eastAsia"/>
                      <w:b/>
                    </w:rPr>
                    <w:t>要求</w:t>
                  </w:r>
                </w:p>
              </w:tc>
              <w:tc>
                <w:tcPr>
                  <w:tcW w:w="941"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59" w:type="pct"/>
                  <w:tcBorders>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第二十八条：禁止在太湖流域设置不符合国家产业政策和水环境综合治理要求的造纸、制革、酒精、淀粉、冶金、酿造、印染、电镀等排放水污染物的生产项目；</w:t>
                  </w:r>
                </w:p>
              </w:tc>
              <w:tc>
                <w:tcPr>
                  <w:tcW w:w="941" w:type="pct"/>
                  <w:tcBorders>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本项目为</w:t>
                  </w:r>
                  <w:r>
                    <w:rPr>
                      <w:szCs w:val="21"/>
                    </w:rPr>
                    <w:t>C3819</w:t>
                  </w:r>
                  <w:r>
                    <w:rPr>
                      <w:rFonts w:hAnsi="宋体"/>
                      <w:szCs w:val="21"/>
                    </w:rPr>
                    <w:t>其他电机制造</w:t>
                  </w:r>
                  <w:r>
                    <w:rPr>
                      <w:rFonts w:hint="eastAsia"/>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4059" w:type="pct"/>
                  <w:tcBorders>
                    <w:top w:val="single" w:color="auto" w:sz="2" w:space="0"/>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第二十九条：新孟河、望虞河以外的其他主要入太湖河道，自河口1万米上溯至5万米河道岸线内及其岸线两侧各1000米范围内，禁止下列行为：</w:t>
                  </w:r>
                </w:p>
                <w:p>
                  <w:pPr>
                    <w:keepNext w:val="0"/>
                    <w:keepLines w:val="0"/>
                    <w:suppressLineNumbers w:val="0"/>
                    <w:spacing w:before="0" w:beforeAutospacing="0" w:after="0" w:afterAutospacing="0"/>
                    <w:ind w:left="0" w:right="0" w:firstLine="420" w:firstLineChars="200"/>
                  </w:pPr>
                  <w:r>
                    <w:rPr>
                      <w:rFonts w:hint="eastAsia"/>
                    </w:rPr>
                    <w:t>（一）新建、扩建化工、医药生产项目；</w:t>
                  </w:r>
                </w:p>
                <w:p>
                  <w:pPr>
                    <w:keepNext w:val="0"/>
                    <w:keepLines w:val="0"/>
                    <w:suppressLineNumbers w:val="0"/>
                    <w:spacing w:before="0" w:beforeAutospacing="0" w:after="0" w:afterAutospacing="0"/>
                    <w:ind w:left="0" w:right="0" w:firstLine="420" w:firstLineChars="200"/>
                  </w:pPr>
                  <w:r>
                    <w:rPr>
                      <w:rFonts w:hint="eastAsia"/>
                    </w:rPr>
                    <w:t>（二）新建、扩建污水集中处理设施排污口以外的排污口；</w:t>
                  </w:r>
                </w:p>
                <w:p>
                  <w:pPr>
                    <w:keepNext w:val="0"/>
                    <w:keepLines w:val="0"/>
                    <w:suppressLineNumbers w:val="0"/>
                    <w:spacing w:before="0" w:beforeAutospacing="0" w:after="0" w:afterAutospacing="0"/>
                    <w:ind w:left="0" w:right="0" w:firstLine="420" w:firstLineChars="200"/>
                  </w:pPr>
                  <w:r>
                    <w:rPr>
                      <w:rFonts w:hint="eastAsia"/>
                    </w:rPr>
                    <w:t>（三）扩大水产养殖规模。</w:t>
                  </w:r>
                </w:p>
              </w:tc>
              <w:tc>
                <w:tcPr>
                  <w:tcW w:w="941" w:type="pct"/>
                  <w:tcBorders>
                    <w:top w:val="single" w:color="auto" w:sz="2" w:space="0"/>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本项目周边不涉及入太湖河道。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4059" w:type="pct"/>
                  <w:tcBorders>
                    <w:top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本项目不属于上述区域内。</w:t>
                  </w:r>
                </w:p>
              </w:tc>
            </w:tr>
          </w:tbl>
          <w:p>
            <w:pPr>
              <w:keepNext w:val="0"/>
              <w:keepLines w:val="0"/>
              <w:suppressLineNumbers w:val="0"/>
              <w:spacing w:before="0" w:beforeAutospacing="0" w:after="0" w:afterAutospacing="0" w:line="360" w:lineRule="auto"/>
              <w:ind w:left="0" w:right="0" w:firstLine="480" w:firstLineChars="200"/>
              <w:rPr>
                <w:sz w:val="24"/>
              </w:rPr>
            </w:pPr>
            <w:r>
              <w:rPr>
                <w:rFonts w:hint="eastAsia"/>
                <w:sz w:val="24"/>
              </w:rPr>
              <w:t>综上，本项目与《太湖流域管理条例</w:t>
            </w:r>
            <w:r>
              <w:rPr>
                <w:sz w:val="24"/>
              </w:rPr>
              <w:t>》</w:t>
            </w:r>
            <w:r>
              <w:rPr>
                <w:rFonts w:hint="eastAsia"/>
                <w:sz w:val="24"/>
                <w:lang w:eastAsia="zh-CN"/>
              </w:rPr>
              <w:t>（</w:t>
            </w:r>
            <w:r>
              <w:rPr>
                <w:sz w:val="24"/>
              </w:rPr>
              <w:t>国务院令第604号</w:t>
            </w:r>
            <w:r>
              <w:rPr>
                <w:rFonts w:hint="eastAsia"/>
                <w:sz w:val="24"/>
                <w:lang w:eastAsia="zh-CN"/>
              </w:rPr>
              <w:t>）</w:t>
            </w:r>
            <w:r>
              <w:rPr>
                <w:rFonts w:hint="eastAsia"/>
                <w:sz w:val="24"/>
              </w:rPr>
              <w:t>的要求相符。</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jc w:val="left"/>
              <w:rPr>
                <w:b/>
                <w:sz w:val="24"/>
              </w:rPr>
            </w:pPr>
            <w:r>
              <w:rPr>
                <w:rFonts w:hint="eastAsia"/>
                <w:b/>
                <w:sz w:val="24"/>
              </w:rPr>
              <w:t>（2）与</w:t>
            </w:r>
            <w:r>
              <w:rPr>
                <w:rFonts w:hint="eastAsia"/>
                <w:b/>
                <w:sz w:val="24"/>
                <w:highlight w:val="none"/>
              </w:rPr>
              <w:t>《江苏省太湖水污染防治条例》（20</w:t>
            </w:r>
            <w:r>
              <w:rPr>
                <w:rFonts w:hint="eastAsia"/>
                <w:b/>
                <w:sz w:val="24"/>
                <w:highlight w:val="none"/>
                <w:lang w:val="en-US" w:eastAsia="zh-CN"/>
              </w:rPr>
              <w:t>21</w:t>
            </w:r>
            <w:r>
              <w:rPr>
                <w:rFonts w:hint="eastAsia"/>
                <w:b/>
                <w:sz w:val="24"/>
                <w:highlight w:val="none"/>
              </w:rPr>
              <w:t>年</w:t>
            </w:r>
            <w:r>
              <w:rPr>
                <w:rFonts w:hint="eastAsia"/>
                <w:b/>
                <w:sz w:val="24"/>
                <w:highlight w:val="none"/>
                <w:lang w:eastAsia="zh-CN"/>
              </w:rPr>
              <w:t>修订</w:t>
            </w:r>
            <w:r>
              <w:rPr>
                <w:rFonts w:hint="eastAsia"/>
                <w:b/>
                <w:sz w:val="24"/>
                <w:highlight w:val="none"/>
              </w:rPr>
              <w:t>）</w:t>
            </w:r>
            <w:r>
              <w:rPr>
                <w:rFonts w:hint="eastAsia"/>
                <w:b/>
                <w:sz w:val="24"/>
              </w:rPr>
              <w:t>相符性分析</w:t>
            </w:r>
          </w:p>
          <w:p>
            <w:pPr>
              <w:pStyle w:val="2"/>
              <w:keepNext w:val="0"/>
              <w:keepLines w:val="0"/>
              <w:suppressLineNumbers w:val="0"/>
              <w:spacing w:before="0" w:beforeAutospacing="0" w:after="0" w:afterAutospacing="0"/>
              <w:ind w:left="0" w:leftChars="0" w:right="0" w:rightChars="0"/>
              <w:jc w:val="center"/>
              <w:rPr>
                <w:b/>
                <w:bCs/>
                <w:sz w:val="24"/>
              </w:rPr>
            </w:pPr>
            <w:r>
              <w:rPr>
                <w:rFonts w:ascii="Times New Roman"/>
                <w:b/>
                <w:bCs/>
                <w:sz w:val="24"/>
              </w:rPr>
              <w:t>表</w:t>
            </w:r>
            <w:r>
              <w:rPr>
                <w:rFonts w:ascii="Times New Roman" w:hAnsi="Times New Roman"/>
                <w:b/>
                <w:bCs/>
                <w:sz w:val="24"/>
              </w:rPr>
              <w:t>1-</w:t>
            </w:r>
            <w:r>
              <w:rPr>
                <w:rFonts w:hint="eastAsia" w:ascii="Times New Roman" w:hAnsi="Times New Roman"/>
                <w:b/>
                <w:bCs/>
                <w:sz w:val="24"/>
              </w:rPr>
              <w:t>7</w:t>
            </w:r>
            <w:r>
              <w:rPr>
                <w:rFonts w:ascii="Times New Roman" w:hAnsi="Times New Roman"/>
                <w:b/>
                <w:bCs/>
                <w:sz w:val="24"/>
              </w:rPr>
              <w:t xml:space="preserve"> </w:t>
            </w:r>
            <w:r>
              <w:rPr>
                <w:rFonts w:ascii="Times New Roman"/>
                <w:b/>
                <w:bCs/>
                <w:sz w:val="24"/>
              </w:rPr>
              <w:t>与《江苏省太湖水污染</w:t>
            </w:r>
            <w:r>
              <w:rPr>
                <w:rFonts w:hint="eastAsia"/>
                <w:b/>
                <w:bCs/>
                <w:sz w:val="24"/>
              </w:rPr>
              <w:t>防治条例》的相符性分析</w:t>
            </w:r>
          </w:p>
          <w:tbl>
            <w:tblPr>
              <w:tblStyle w:val="2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33"/>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9" w:type="pct"/>
                  <w:vAlign w:val="center"/>
                </w:tcPr>
                <w:p>
                  <w:pPr>
                    <w:keepNext w:val="0"/>
                    <w:keepLines w:val="0"/>
                    <w:suppressLineNumbers w:val="0"/>
                    <w:spacing w:before="0" w:beforeAutospacing="0" w:after="0" w:afterAutospacing="0"/>
                    <w:ind w:left="0" w:right="0"/>
                    <w:jc w:val="center"/>
                    <w:rPr>
                      <w:b/>
                    </w:rPr>
                  </w:pPr>
                  <w:r>
                    <w:rPr>
                      <w:rFonts w:hint="eastAsia"/>
                      <w:b/>
                    </w:rPr>
                    <w:t>要求</w:t>
                  </w:r>
                </w:p>
              </w:tc>
              <w:tc>
                <w:tcPr>
                  <w:tcW w:w="941"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9" w:type="pct"/>
                  <w:vAlign w:val="center"/>
                </w:tcPr>
                <w:p>
                  <w:pPr>
                    <w:keepNext w:val="0"/>
                    <w:keepLines w:val="0"/>
                    <w:suppressLineNumbers w:val="0"/>
                    <w:spacing w:before="0" w:beforeAutospacing="0" w:after="0" w:afterAutospacing="0"/>
                    <w:ind w:left="0" w:right="0" w:firstLine="420" w:firstLineChars="200"/>
                  </w:pPr>
                  <w:r>
                    <w:rPr>
                      <w:rFonts w:hint="eastAsia"/>
                    </w:rPr>
                    <w:t>根据《江苏省太湖水污染防治条例》（2018年修订）：第四十三条：太湖流域一、二、三级保护区禁止下列行为：</w:t>
                  </w:r>
                </w:p>
                <w:p>
                  <w:pPr>
                    <w:keepNext w:val="0"/>
                    <w:keepLines w:val="0"/>
                    <w:suppressLineNumbers w:val="0"/>
                    <w:spacing w:before="0" w:beforeAutospacing="0" w:after="0" w:afterAutospacing="0"/>
                    <w:ind w:left="0" w:right="0" w:firstLine="420" w:firstLineChars="200"/>
                  </w:pPr>
                  <w:r>
                    <w:rPr>
                      <w:rFonts w:hint="eastAsia"/>
                    </w:rPr>
                    <w:t>（一）新建、改建、扩建化学制浆造纸、制革、酿造、染料、印染、电镀以及其他排放含磷、氮等污染物的企业和项目，城镇污水集中处理等环境基础设施项目和第四十六条规定的情形除外；</w:t>
                  </w:r>
                </w:p>
                <w:p>
                  <w:pPr>
                    <w:keepNext w:val="0"/>
                    <w:keepLines w:val="0"/>
                    <w:suppressLineNumbers w:val="0"/>
                    <w:spacing w:before="0" w:beforeAutospacing="0" w:after="0" w:afterAutospacing="0"/>
                    <w:ind w:left="0" w:right="0" w:firstLine="420" w:firstLineChars="200"/>
                  </w:pPr>
                  <w:r>
                    <w:rPr>
                      <w:rFonts w:hint="eastAsia"/>
                    </w:rPr>
                    <w:t>（二）销售、使用含磷洗涤用品；</w:t>
                  </w:r>
                </w:p>
                <w:p>
                  <w:pPr>
                    <w:keepNext w:val="0"/>
                    <w:keepLines w:val="0"/>
                    <w:suppressLineNumbers w:val="0"/>
                    <w:spacing w:before="0" w:beforeAutospacing="0" w:after="0" w:afterAutospacing="0"/>
                    <w:ind w:left="0" w:right="0" w:firstLine="420" w:firstLineChars="200"/>
                  </w:pPr>
                  <w:r>
                    <w:rPr>
                      <w:rFonts w:hint="eastAsia"/>
                    </w:rPr>
                    <w:t>（三）向水体排放或者倾倒油类、酸液、碱液、剧毒废渣废液、含放射性废渣废液、含病原体污水、工业废渣以及其他废弃物；</w:t>
                  </w:r>
                </w:p>
                <w:p>
                  <w:pPr>
                    <w:keepNext w:val="0"/>
                    <w:keepLines w:val="0"/>
                    <w:suppressLineNumbers w:val="0"/>
                    <w:spacing w:before="0" w:beforeAutospacing="0" w:after="0" w:afterAutospacing="0"/>
                    <w:ind w:left="0" w:right="0" w:firstLine="420" w:firstLineChars="200"/>
                  </w:pPr>
                  <w:r>
                    <w:rPr>
                      <w:rFonts w:hint="eastAsia"/>
                    </w:rPr>
                    <w:t>（四）在水体清洗装贮过油类或者有毒有害污染物的车辆、船舶和容器等；</w:t>
                  </w:r>
                </w:p>
                <w:p>
                  <w:pPr>
                    <w:keepNext w:val="0"/>
                    <w:keepLines w:val="0"/>
                    <w:suppressLineNumbers w:val="0"/>
                    <w:spacing w:before="0" w:beforeAutospacing="0" w:after="0" w:afterAutospacing="0"/>
                    <w:ind w:left="0" w:right="0" w:firstLine="420" w:firstLineChars="200"/>
                  </w:pPr>
                  <w:r>
                    <w:rPr>
                      <w:rFonts w:hint="eastAsia"/>
                    </w:rPr>
                    <w:t>（五）使用农药等有毒物毒杀水生生物；</w:t>
                  </w:r>
                </w:p>
                <w:p>
                  <w:pPr>
                    <w:keepNext w:val="0"/>
                    <w:keepLines w:val="0"/>
                    <w:suppressLineNumbers w:val="0"/>
                    <w:spacing w:before="0" w:beforeAutospacing="0" w:after="0" w:afterAutospacing="0"/>
                    <w:ind w:left="0" w:right="0" w:firstLine="420" w:firstLineChars="200"/>
                  </w:pPr>
                  <w:r>
                    <w:rPr>
                      <w:rFonts w:hint="eastAsia"/>
                    </w:rPr>
                    <w:t>（六）向水体直接排放人畜粪便、倾倒垃圾；</w:t>
                  </w:r>
                </w:p>
                <w:p>
                  <w:pPr>
                    <w:keepNext w:val="0"/>
                    <w:keepLines w:val="0"/>
                    <w:suppressLineNumbers w:val="0"/>
                    <w:spacing w:before="0" w:beforeAutospacing="0" w:after="0" w:afterAutospacing="0"/>
                    <w:ind w:left="0" w:right="0" w:firstLine="420" w:firstLineChars="200"/>
                  </w:pPr>
                  <w:r>
                    <w:rPr>
                      <w:rFonts w:hint="eastAsia"/>
                    </w:rPr>
                    <w:t>（七）围湖造地；</w:t>
                  </w:r>
                </w:p>
                <w:p>
                  <w:pPr>
                    <w:keepNext w:val="0"/>
                    <w:keepLines w:val="0"/>
                    <w:suppressLineNumbers w:val="0"/>
                    <w:spacing w:before="0" w:beforeAutospacing="0" w:after="0" w:afterAutospacing="0"/>
                    <w:ind w:left="0" w:right="0" w:firstLine="420" w:firstLineChars="200"/>
                  </w:pPr>
                  <w:r>
                    <w:rPr>
                      <w:rFonts w:hint="eastAsia"/>
                    </w:rPr>
                    <w:t>（八）违法开山采石，或者进行破坏林木、植被、水生生物的活动；</w:t>
                  </w:r>
                </w:p>
                <w:p>
                  <w:pPr>
                    <w:keepNext w:val="0"/>
                    <w:keepLines w:val="0"/>
                    <w:suppressLineNumbers w:val="0"/>
                    <w:spacing w:before="0" w:beforeAutospacing="0" w:after="0" w:afterAutospacing="0"/>
                    <w:ind w:left="0" w:right="0" w:firstLine="420" w:firstLineChars="200"/>
                  </w:pPr>
                  <w:r>
                    <w:rPr>
                      <w:rFonts w:hint="eastAsia"/>
                    </w:rPr>
                    <w:t>（九）法律、法规禁止的其他行为。</w:t>
                  </w:r>
                </w:p>
              </w:tc>
              <w:tc>
                <w:tcPr>
                  <w:tcW w:w="941" w:type="pct"/>
                  <w:vAlign w:val="center"/>
                </w:tcPr>
                <w:p>
                  <w:pPr>
                    <w:keepNext w:val="0"/>
                    <w:keepLines w:val="0"/>
                    <w:suppressLineNumbers w:val="0"/>
                    <w:spacing w:before="0" w:beforeAutospacing="0" w:after="0" w:afterAutospacing="0"/>
                    <w:ind w:left="0" w:right="0" w:firstLine="420" w:firstLineChars="200"/>
                  </w:pPr>
                  <w:r>
                    <w:rPr>
                      <w:rFonts w:hint="eastAsia"/>
                    </w:rPr>
                    <w:t>本项目为</w:t>
                  </w:r>
                  <w:r>
                    <w:rPr>
                      <w:szCs w:val="21"/>
                    </w:rPr>
                    <w:t>C3819</w:t>
                  </w:r>
                  <w:r>
                    <w:rPr>
                      <w:rFonts w:hAnsi="宋体"/>
                      <w:szCs w:val="21"/>
                    </w:rPr>
                    <w:t>其他电机制造</w:t>
                  </w:r>
                  <w:r>
                    <w:rPr>
                      <w:rFonts w:hint="eastAsia"/>
                    </w:rPr>
                    <w:t>，生产过程中无含磷、氮生产废水排放，不属于禁止类项目。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9" w:type="pct"/>
                  <w:vAlign w:val="center"/>
                </w:tcPr>
                <w:p>
                  <w:pPr>
                    <w:keepNext w:val="0"/>
                    <w:keepLines w:val="0"/>
                    <w:suppressLineNumbers w:val="0"/>
                    <w:spacing w:before="0" w:beforeAutospacing="0" w:after="0" w:afterAutospacing="0"/>
                    <w:ind w:left="0" w:right="0" w:firstLine="420" w:firstLineChars="200"/>
                  </w:pPr>
                  <w:r>
                    <w:rPr>
                      <w:rFonts w:hint="eastAsia"/>
                    </w:rPr>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1.1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941" w:type="pct"/>
                  <w:vAlign w:val="center"/>
                </w:tcPr>
                <w:p>
                  <w:pPr>
                    <w:keepNext w:val="0"/>
                    <w:keepLines w:val="0"/>
                    <w:suppressLineNumbers w:val="0"/>
                    <w:spacing w:before="0" w:beforeAutospacing="0" w:after="0" w:afterAutospacing="0"/>
                    <w:ind w:left="0" w:right="0" w:firstLine="420" w:firstLineChars="200"/>
                  </w:pPr>
                  <w:r>
                    <w:rPr>
                      <w:szCs w:val="21"/>
                    </w:rPr>
                    <w:t>本项目位于江苏省常州市武进区洛阳镇新科西路21号</w:t>
                  </w:r>
                  <w:r>
                    <w:rPr>
                      <w:rFonts w:hint="eastAsia"/>
                      <w:szCs w:val="21"/>
                    </w:rPr>
                    <w:t>，属于太湖流域三级保护区，</w:t>
                  </w:r>
                  <w:r>
                    <w:rPr>
                      <w:rFonts w:hint="eastAsia"/>
                    </w:rPr>
                    <w:t>生产过程中无含磷、氮生产废水排放，</w:t>
                  </w:r>
                  <w:r>
                    <w:rPr>
                      <w:rFonts w:hint="eastAsia"/>
                      <w:szCs w:val="21"/>
                    </w:rPr>
                    <w:t>食堂废水经隔油池处理后与</w:t>
                  </w:r>
                  <w:r>
                    <w:rPr>
                      <w:szCs w:val="21"/>
                    </w:rPr>
                    <w:t>生活污水</w:t>
                  </w:r>
                  <w:r>
                    <w:rPr>
                      <w:rFonts w:hint="eastAsia"/>
                    </w:rPr>
                    <w:t>接管至武南污水处理厂。</w:t>
                  </w:r>
                </w:p>
              </w:tc>
            </w:tr>
          </w:tbl>
          <w:p>
            <w:pPr>
              <w:keepNext w:val="0"/>
              <w:keepLines w:val="0"/>
              <w:suppressLineNumbers w:val="0"/>
              <w:spacing w:before="0" w:beforeAutospacing="0" w:after="0" w:afterAutospacing="0" w:line="360" w:lineRule="auto"/>
              <w:ind w:left="0" w:right="0" w:firstLine="480" w:firstLineChars="200"/>
              <w:rPr>
                <w:sz w:val="24"/>
              </w:rPr>
            </w:pPr>
            <w:r>
              <w:rPr>
                <w:rFonts w:hint="eastAsia"/>
                <w:sz w:val="24"/>
              </w:rPr>
              <w:t>综上，本项目与《江苏省太湖水污染防治条例》（2018年本）的要求相符。</w:t>
            </w:r>
          </w:p>
          <w:p>
            <w:pPr>
              <w:keepNext w:val="0"/>
              <w:keepLines w:val="0"/>
              <w:widowControl/>
              <w:suppressLineNumbers w:val="0"/>
              <w:adjustRightInd w:val="0"/>
              <w:snapToGrid w:val="0"/>
              <w:spacing w:before="0" w:beforeAutospacing="0" w:after="0" w:afterAutospacing="0" w:line="360" w:lineRule="auto"/>
              <w:ind w:left="0" w:right="0"/>
              <w:jc w:val="left"/>
              <w:rPr>
                <w:b/>
                <w:bCs/>
                <w:sz w:val="24"/>
              </w:rPr>
            </w:pPr>
            <w:r>
              <w:rPr>
                <w:b/>
                <w:bCs/>
                <w:sz w:val="24"/>
              </w:rPr>
              <w:t>4、与挥发性有机物污染防治相关文件相符性分析</w:t>
            </w:r>
          </w:p>
          <w:p>
            <w:pPr>
              <w:keepNext w:val="0"/>
              <w:keepLines w:val="0"/>
              <w:widowControl/>
              <w:suppressLineNumbers w:val="0"/>
              <w:adjustRightInd w:val="0"/>
              <w:snapToGrid w:val="0"/>
              <w:spacing w:before="0" w:beforeAutospacing="0" w:after="0" w:afterAutospacing="0" w:line="360" w:lineRule="auto"/>
              <w:ind w:left="0" w:right="0" w:firstLine="482" w:firstLineChars="200"/>
              <w:rPr>
                <w:b/>
                <w:bCs/>
                <w:sz w:val="24"/>
              </w:rPr>
            </w:pPr>
            <w:r>
              <w:rPr>
                <w:b/>
                <w:bCs/>
                <w:sz w:val="24"/>
              </w:rPr>
              <w:t>（1）与</w:t>
            </w:r>
            <w:r>
              <w:rPr>
                <w:rFonts w:eastAsiaTheme="minorEastAsia"/>
                <w:b/>
                <w:bCs/>
                <w:sz w:val="24"/>
              </w:rPr>
              <w:t>《江苏省大气污染防治条例》（2018年修正）相符性分</w:t>
            </w:r>
            <w:r>
              <w:rPr>
                <w:rFonts w:hAnsiTheme="minorEastAsia" w:eastAsiaTheme="minorEastAsia"/>
                <w:b/>
                <w:bCs/>
                <w:sz w:val="24"/>
              </w:rPr>
              <w:t>析</w:t>
            </w:r>
          </w:p>
          <w:p>
            <w:pPr>
              <w:pStyle w:val="2"/>
              <w:keepNext w:val="0"/>
              <w:keepLines w:val="0"/>
              <w:suppressLineNumbers w:val="0"/>
              <w:spacing w:before="0" w:beforeAutospacing="0" w:after="0" w:afterAutospacing="0"/>
              <w:ind w:left="0" w:leftChars="0" w:right="0" w:rightChars="0"/>
              <w:jc w:val="center"/>
              <w:rPr>
                <w:rFonts w:ascii="Times New Roman" w:hAnsi="Times New Roman"/>
                <w:b/>
                <w:bCs/>
                <w:sz w:val="24"/>
                <w:szCs w:val="24"/>
              </w:rPr>
            </w:pPr>
            <w:r>
              <w:rPr>
                <w:rFonts w:ascii="Times New Roman" w:hAnsi="Times New Roman"/>
                <w:b/>
                <w:bCs/>
                <w:sz w:val="24"/>
                <w:szCs w:val="24"/>
              </w:rPr>
              <w:t>表1-</w:t>
            </w:r>
            <w:r>
              <w:rPr>
                <w:rFonts w:hint="eastAsia" w:ascii="Times New Roman" w:hAnsi="Times New Roman"/>
                <w:b/>
                <w:bCs/>
                <w:sz w:val="24"/>
                <w:szCs w:val="24"/>
              </w:rPr>
              <w:t>8</w:t>
            </w:r>
            <w:r>
              <w:rPr>
                <w:rFonts w:ascii="Times New Roman" w:hAnsi="Times New Roman"/>
                <w:b/>
                <w:bCs/>
                <w:sz w:val="24"/>
                <w:szCs w:val="24"/>
              </w:rPr>
              <w:t xml:space="preserve"> 与</w:t>
            </w:r>
            <w:r>
              <w:rPr>
                <w:rFonts w:ascii="Times New Roman" w:hAnsiTheme="minorEastAsia" w:eastAsiaTheme="minorEastAsia"/>
                <w:b/>
                <w:bCs/>
                <w:sz w:val="24"/>
                <w:szCs w:val="24"/>
              </w:rPr>
              <w:t>《江苏省大气污染防治条例》（</w:t>
            </w:r>
            <w:r>
              <w:rPr>
                <w:rFonts w:ascii="Times New Roman" w:hAnsi="Times New Roman" w:eastAsiaTheme="minorEastAsia"/>
                <w:b/>
                <w:bCs/>
                <w:sz w:val="24"/>
                <w:szCs w:val="24"/>
              </w:rPr>
              <w:t>2018</w:t>
            </w:r>
            <w:r>
              <w:rPr>
                <w:rFonts w:ascii="Times New Roman" w:hAnsiTheme="minorEastAsia" w:eastAsiaTheme="minorEastAsia"/>
                <w:b/>
                <w:bCs/>
                <w:sz w:val="24"/>
                <w:szCs w:val="24"/>
              </w:rPr>
              <w:t>年修正）</w:t>
            </w:r>
            <w:r>
              <w:rPr>
                <w:rFonts w:ascii="Times New Roman" w:hAnsi="Times New Roman"/>
                <w:b/>
                <w:bCs/>
                <w:sz w:val="24"/>
                <w:szCs w:val="24"/>
              </w:rPr>
              <w:t>相符性分析</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66"/>
              <w:gridCol w:w="26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415" w:type="pct"/>
                  <w:vAlign w:val="center"/>
                </w:tcPr>
                <w:p>
                  <w:pPr>
                    <w:keepNext w:val="0"/>
                    <w:keepLines w:val="0"/>
                    <w:suppressLineNumbers w:val="0"/>
                    <w:spacing w:before="0" w:beforeAutospacing="0" w:after="0" w:afterAutospacing="0"/>
                    <w:ind w:left="0" w:right="0"/>
                    <w:jc w:val="center"/>
                    <w:rPr>
                      <w:b/>
                      <w:szCs w:val="21"/>
                    </w:rPr>
                  </w:pPr>
                  <w:r>
                    <w:rPr>
                      <w:b/>
                      <w:szCs w:val="21"/>
                    </w:rPr>
                    <w:t>要求</w:t>
                  </w:r>
                </w:p>
              </w:tc>
              <w:tc>
                <w:tcPr>
                  <w:tcW w:w="1584" w:type="pct"/>
                  <w:vAlign w:val="center"/>
                </w:tcPr>
                <w:p>
                  <w:pPr>
                    <w:keepNext w:val="0"/>
                    <w:keepLines w:val="0"/>
                    <w:suppressLineNumbers w:val="0"/>
                    <w:spacing w:before="0" w:beforeAutospacing="0" w:after="0" w:afterAutospacing="0"/>
                    <w:ind w:left="0" w:right="0"/>
                    <w:jc w:val="center"/>
                    <w:rPr>
                      <w:b/>
                      <w:szCs w:val="21"/>
                    </w:rPr>
                  </w:pPr>
                  <w:r>
                    <w:rPr>
                      <w:b/>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3415" w:type="pct"/>
                  <w:vAlign w:val="center"/>
                </w:tcPr>
                <w:p>
                  <w:pPr>
                    <w:keepNext w:val="0"/>
                    <w:keepLines w:val="0"/>
                    <w:widowControl/>
                    <w:suppressLineNumbers w:val="0"/>
                    <w:spacing w:before="0" w:beforeAutospacing="0" w:after="0" w:afterAutospacing="0"/>
                    <w:ind w:left="0" w:right="0" w:firstLine="420" w:firstLineChars="200"/>
                    <w:textAlignment w:val="bottom"/>
                    <w:rPr>
                      <w:kern w:val="0"/>
                      <w:szCs w:val="21"/>
                    </w:rPr>
                  </w:pPr>
                  <w:r>
                    <w:rPr>
                      <w:kern w:val="0"/>
                      <w:szCs w:val="21"/>
                    </w:rPr>
                    <w:t>第三十九条  产生挥发性有机物废气的生产经营活动，应当在密闭空间或者设备中进行，并设置废气收集和处理系统等污染防治设施，保持其正常使用；造船等无法在密闭空间进行的生产经营活动，应当采取有效措施，减少挥发性有机物排放量。</w:t>
                  </w:r>
                </w:p>
              </w:tc>
              <w:tc>
                <w:tcPr>
                  <w:tcW w:w="1584" w:type="pct"/>
                  <w:vAlign w:val="center"/>
                </w:tcPr>
                <w:p>
                  <w:pPr>
                    <w:keepNext w:val="0"/>
                    <w:keepLines w:val="0"/>
                    <w:widowControl/>
                    <w:suppressLineNumbers w:val="0"/>
                    <w:spacing w:before="0" w:beforeAutospacing="0" w:after="0" w:afterAutospacing="0"/>
                    <w:ind w:left="0" w:right="0" w:firstLine="420" w:firstLineChars="200"/>
                    <w:textAlignment w:val="bottom"/>
                    <w:rPr>
                      <w:kern w:val="0"/>
                      <w:szCs w:val="21"/>
                    </w:rPr>
                  </w:pPr>
                  <w:r>
                    <w:rPr>
                      <w:kern w:val="0"/>
                      <w:szCs w:val="21"/>
                    </w:rPr>
                    <w:t>本项目注塑成型</w:t>
                  </w:r>
                  <w:r>
                    <w:rPr>
                      <w:rFonts w:hint="eastAsia"/>
                      <w:kern w:val="0"/>
                      <w:szCs w:val="21"/>
                    </w:rPr>
                    <w:t>、固化</w:t>
                  </w:r>
                  <w:r>
                    <w:rPr>
                      <w:kern w:val="0"/>
                      <w:szCs w:val="21"/>
                    </w:rPr>
                    <w:t>工段在注塑机</w:t>
                  </w:r>
                  <w:r>
                    <w:rPr>
                      <w:rFonts w:hint="eastAsia"/>
                      <w:kern w:val="0"/>
                      <w:szCs w:val="21"/>
                    </w:rPr>
                    <w:t>、烘箱</w:t>
                  </w:r>
                  <w:r>
                    <w:rPr>
                      <w:kern w:val="0"/>
                      <w:szCs w:val="21"/>
                    </w:rPr>
                    <w:t>上</w:t>
                  </w:r>
                  <w:r>
                    <w:rPr>
                      <w:rFonts w:hint="eastAsia"/>
                      <w:kern w:val="0"/>
                      <w:szCs w:val="21"/>
                    </w:rPr>
                    <w:t>方</w:t>
                  </w:r>
                  <w:r>
                    <w:rPr>
                      <w:kern w:val="0"/>
                      <w:szCs w:val="21"/>
                    </w:rPr>
                    <w:t>设置集气罩并配备</w:t>
                  </w:r>
                  <w:r>
                    <w:rPr>
                      <w:rFonts w:hint="eastAsia"/>
                      <w:kern w:val="0"/>
                      <w:szCs w:val="21"/>
                    </w:rPr>
                    <w:t>“</w:t>
                  </w:r>
                  <w:r>
                    <w:rPr>
                      <w:kern w:val="0"/>
                      <w:szCs w:val="21"/>
                    </w:rPr>
                    <w:t>二级活性炭吸附装置</w:t>
                  </w:r>
                  <w:r>
                    <w:rPr>
                      <w:rFonts w:hint="eastAsia"/>
                      <w:kern w:val="0"/>
                      <w:szCs w:val="21"/>
                    </w:rPr>
                    <w:t>”</w:t>
                  </w:r>
                  <w:r>
                    <w:rPr>
                      <w:kern w:val="0"/>
                      <w:szCs w:val="21"/>
                    </w:rPr>
                    <w:t>，可有效减少挥发性有机物排放量。</w:t>
                  </w:r>
                </w:p>
              </w:tc>
            </w:tr>
          </w:tbl>
          <w:p>
            <w:pPr>
              <w:keepNext w:val="0"/>
              <w:keepLines w:val="0"/>
              <w:suppressLineNumbers w:val="0"/>
              <w:spacing w:before="0" w:beforeAutospacing="0" w:after="0" w:afterAutospacing="0" w:line="360" w:lineRule="auto"/>
              <w:ind w:left="0" w:right="0" w:firstLine="482" w:firstLineChars="200"/>
              <w:rPr>
                <w:b/>
                <w:sz w:val="24"/>
              </w:rPr>
            </w:pPr>
            <w:r>
              <w:rPr>
                <w:rFonts w:hint="eastAsia"/>
                <w:b/>
                <w:sz w:val="24"/>
              </w:rPr>
              <w:t>（2）与《江苏省重点行业挥发性有机物污染控制指南》（苏环办〔2014〕128号）的相符性分析</w:t>
            </w:r>
          </w:p>
          <w:p>
            <w:pPr>
              <w:pStyle w:val="2"/>
              <w:keepNext w:val="0"/>
              <w:keepLines w:val="0"/>
              <w:suppressLineNumbers w:val="0"/>
              <w:spacing w:before="0" w:beforeAutospacing="0" w:after="0" w:afterAutospacing="0"/>
              <w:ind w:left="0" w:leftChars="0" w:right="0" w:rightChars="0"/>
              <w:jc w:val="center"/>
              <w:rPr>
                <w:rFonts w:ascii="Times New Roman" w:hAnsi="Times New Roman"/>
                <w:b/>
                <w:bCs/>
                <w:sz w:val="24"/>
              </w:rPr>
            </w:pPr>
            <w:r>
              <w:rPr>
                <w:rFonts w:ascii="Times New Roman"/>
                <w:b/>
                <w:bCs/>
                <w:sz w:val="24"/>
              </w:rPr>
              <w:t>表</w:t>
            </w:r>
            <w:r>
              <w:rPr>
                <w:rFonts w:ascii="Times New Roman" w:hAnsi="Times New Roman"/>
                <w:b/>
                <w:bCs/>
                <w:sz w:val="24"/>
              </w:rPr>
              <w:t>1-</w:t>
            </w:r>
            <w:r>
              <w:rPr>
                <w:rFonts w:hint="eastAsia" w:ascii="Times New Roman" w:hAnsi="Times New Roman"/>
                <w:b/>
                <w:bCs/>
                <w:sz w:val="24"/>
              </w:rPr>
              <w:t>9</w:t>
            </w:r>
            <w:r>
              <w:rPr>
                <w:rFonts w:ascii="Times New Roman" w:hAnsi="Times New Roman"/>
                <w:b/>
                <w:bCs/>
                <w:sz w:val="24"/>
              </w:rPr>
              <w:t xml:space="preserve"> </w:t>
            </w:r>
            <w:r>
              <w:rPr>
                <w:rFonts w:ascii="Times New Roman"/>
                <w:b/>
                <w:bCs/>
                <w:sz w:val="24"/>
              </w:rPr>
              <w:t>与苏环办</w:t>
            </w:r>
            <w:r>
              <w:rPr>
                <w:rFonts w:ascii="Times New Roman" w:hAnsi="Times New Roman"/>
                <w:b/>
                <w:bCs/>
                <w:sz w:val="24"/>
              </w:rPr>
              <w:t>[2014]128</w:t>
            </w:r>
            <w:r>
              <w:rPr>
                <w:rFonts w:ascii="Times New Roman"/>
                <w:b/>
                <w:bCs/>
                <w:sz w:val="24"/>
              </w:rPr>
              <w:t>号的相符性分析</w:t>
            </w:r>
          </w:p>
          <w:tbl>
            <w:tblPr>
              <w:tblStyle w:val="2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90"/>
              <w:gridCol w:w="3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9" w:type="pct"/>
                  <w:vAlign w:val="center"/>
                </w:tcPr>
                <w:p>
                  <w:pPr>
                    <w:keepNext w:val="0"/>
                    <w:keepLines w:val="0"/>
                    <w:suppressLineNumbers w:val="0"/>
                    <w:spacing w:before="0" w:beforeAutospacing="0" w:after="0" w:afterAutospacing="0"/>
                    <w:ind w:left="0" w:right="0"/>
                    <w:jc w:val="center"/>
                    <w:rPr>
                      <w:b/>
                    </w:rPr>
                  </w:pPr>
                  <w:r>
                    <w:rPr>
                      <w:rFonts w:hint="eastAsia"/>
                      <w:b/>
                    </w:rPr>
                    <w:t>总体要求</w:t>
                  </w:r>
                </w:p>
              </w:tc>
              <w:tc>
                <w:tcPr>
                  <w:tcW w:w="1871"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9" w:type="pct"/>
                  <w:vAlign w:val="center"/>
                </w:tcPr>
                <w:p>
                  <w:pPr>
                    <w:keepNext w:val="0"/>
                    <w:keepLines w:val="0"/>
                    <w:suppressLineNumbers w:val="0"/>
                    <w:spacing w:before="0" w:beforeAutospacing="0" w:after="0" w:afterAutospacing="0"/>
                    <w:ind w:left="0" w:right="0" w:firstLine="420" w:firstLineChars="200"/>
                  </w:pPr>
                  <w:r>
                    <w:rPr>
                      <w:rFonts w:hint="eastAsia"/>
                    </w:rPr>
                    <w:t>所有产生有机废气污染的企业，应优先采用环保型原辅料、生产工艺和装备，对相应生产单元或设施进行密闭，从源头控制VOCs的产生，减少废气污染物排放。</w:t>
                  </w:r>
                </w:p>
              </w:tc>
              <w:tc>
                <w:tcPr>
                  <w:tcW w:w="1871" w:type="pct"/>
                  <w:vAlign w:val="center"/>
                </w:tcPr>
                <w:p>
                  <w:pPr>
                    <w:keepNext w:val="0"/>
                    <w:keepLines w:val="0"/>
                    <w:suppressLineNumbers w:val="0"/>
                    <w:spacing w:before="0" w:beforeAutospacing="0" w:after="0" w:afterAutospacing="0"/>
                    <w:ind w:left="0" w:right="0" w:firstLine="420" w:firstLineChars="200"/>
                  </w:pPr>
                  <w:r>
                    <w:rPr>
                      <w:rFonts w:hint="eastAsia"/>
                    </w:rPr>
                    <w:t>本项目原辅料均为环保型物料。废气产生单元或设施均密闭，符合要求。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29" w:type="pct"/>
                  <w:vAlign w:val="center"/>
                </w:tcPr>
                <w:p>
                  <w:pPr>
                    <w:keepNext w:val="0"/>
                    <w:keepLines w:val="0"/>
                    <w:suppressLineNumbers w:val="0"/>
                    <w:spacing w:before="0" w:beforeAutospacing="0" w:after="0" w:afterAutospacing="0"/>
                    <w:ind w:left="0" w:right="0" w:firstLine="420" w:firstLineChars="200"/>
                  </w:pPr>
                  <w:r>
                    <w:rPr>
                      <w:rFonts w:hint="eastAsia"/>
                    </w:rPr>
                    <w:t>鼓励对排放的VOCs进行回收利用，并优先在生产系统内回用。对浓度、性状差异较大的废气应分类收集，并采用适宜的方式进行有效处理，确保VOCs总去除率满足管理要求，其中有机化工、医药化工、橡胶和塑料制品（有溶剂浸胶工艺）、溶剂型涂料表面涂装、包装印刷业的VOCs总收集、净化处理率均不低于90%，其他行业原则上不低于75%。</w:t>
                  </w:r>
                </w:p>
              </w:tc>
              <w:tc>
                <w:tcPr>
                  <w:tcW w:w="1871" w:type="pct"/>
                  <w:vAlign w:val="center"/>
                </w:tcPr>
                <w:p>
                  <w:pPr>
                    <w:keepNext w:val="0"/>
                    <w:keepLines w:val="0"/>
                    <w:suppressLineNumbers w:val="0"/>
                    <w:spacing w:before="0" w:beforeAutospacing="0" w:after="0" w:afterAutospacing="0"/>
                    <w:ind w:left="0" w:right="0" w:firstLine="420" w:firstLineChars="200"/>
                  </w:pPr>
                  <w:r>
                    <w:rPr>
                      <w:rFonts w:hint="eastAsia"/>
                    </w:rPr>
                    <w:t>本项目属于</w:t>
                  </w:r>
                  <w:r>
                    <w:rPr>
                      <w:szCs w:val="21"/>
                    </w:rPr>
                    <w:t>C3819</w:t>
                  </w:r>
                  <w:r>
                    <w:rPr>
                      <w:rFonts w:hAnsi="宋体"/>
                      <w:szCs w:val="21"/>
                    </w:rPr>
                    <w:t>其他电机制造</w:t>
                  </w:r>
                  <w:r>
                    <w:rPr>
                      <w:rFonts w:hint="eastAsia"/>
                    </w:rPr>
                    <w:t>，产生的VOCs经二级活性炭吸附处理后高空排放，废气处理装置收集效率90%、净化效率80%。</w:t>
                  </w:r>
                </w:p>
              </w:tc>
            </w:tr>
          </w:tbl>
          <w:p>
            <w:pPr>
              <w:keepNext w:val="0"/>
              <w:keepLines w:val="0"/>
              <w:widowControl/>
              <w:suppressLineNumbers w:val="0"/>
              <w:adjustRightInd w:val="0"/>
              <w:snapToGrid w:val="0"/>
              <w:spacing w:before="0" w:beforeAutospacing="0" w:after="0" w:afterAutospacing="0" w:line="360" w:lineRule="auto"/>
              <w:ind w:left="0" w:right="0" w:firstLine="480" w:firstLineChars="200"/>
              <w:rPr>
                <w:sz w:val="24"/>
              </w:rPr>
            </w:pPr>
            <w:r>
              <w:rPr>
                <w:rFonts w:hint="eastAsia"/>
                <w:sz w:val="24"/>
              </w:rPr>
              <w:t>综上，本项目建设与《江苏省重点行业挥发性有机物污染控制指南》（苏环办〔2014〕128号）相符。</w:t>
            </w:r>
          </w:p>
          <w:p>
            <w:pPr>
              <w:keepNext w:val="0"/>
              <w:keepLines w:val="0"/>
              <w:widowControl/>
              <w:suppressLineNumbers w:val="0"/>
              <w:adjustRightInd w:val="0"/>
              <w:snapToGrid w:val="0"/>
              <w:spacing w:before="0" w:beforeAutospacing="0" w:after="0" w:afterAutospacing="0" w:line="360" w:lineRule="auto"/>
              <w:ind w:left="0" w:right="0" w:firstLine="482" w:firstLineChars="200"/>
              <w:rPr>
                <w:b/>
                <w:sz w:val="24"/>
              </w:rPr>
            </w:pPr>
            <w:r>
              <w:rPr>
                <w:b/>
                <w:bCs/>
                <w:sz w:val="24"/>
              </w:rPr>
              <w:t>（</w:t>
            </w:r>
            <w:r>
              <w:rPr>
                <w:rFonts w:hint="eastAsia"/>
                <w:b/>
                <w:bCs/>
                <w:sz w:val="24"/>
              </w:rPr>
              <w:t>3</w:t>
            </w:r>
            <w:r>
              <w:rPr>
                <w:b/>
                <w:bCs/>
                <w:sz w:val="24"/>
              </w:rPr>
              <w:t>）与《江苏省挥发性有机物污染物防治管理办法》（省政府令第119号）相符性分析</w:t>
            </w:r>
          </w:p>
          <w:p>
            <w:pPr>
              <w:pStyle w:val="2"/>
              <w:keepNext w:val="0"/>
              <w:keepLines w:val="0"/>
              <w:suppressLineNumbers w:val="0"/>
              <w:spacing w:before="0" w:beforeAutospacing="0" w:after="0" w:afterAutospacing="0"/>
              <w:ind w:left="0" w:leftChars="0" w:right="0" w:rightChars="0"/>
              <w:jc w:val="center"/>
              <w:rPr>
                <w:rFonts w:ascii="Times New Roman" w:hAnsi="Times New Roman"/>
                <w:b/>
                <w:bCs/>
                <w:sz w:val="24"/>
                <w:szCs w:val="24"/>
              </w:rPr>
            </w:pPr>
            <w:r>
              <w:rPr>
                <w:rFonts w:hint="eastAsia" w:ascii="Times New Roman" w:hAnsi="Times New Roman"/>
                <w:b/>
                <w:bCs/>
                <w:sz w:val="24"/>
                <w:szCs w:val="24"/>
              </w:rPr>
              <w:t>表1-10 与省政府令第119号的相符性分析</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33"/>
              <w:gridCol w:w="19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18" w:type="pct"/>
                  <w:vAlign w:val="center"/>
                </w:tcPr>
                <w:p>
                  <w:pPr>
                    <w:keepNext w:val="0"/>
                    <w:keepLines w:val="0"/>
                    <w:suppressLineNumbers w:val="0"/>
                    <w:spacing w:before="0" w:beforeAutospacing="0" w:after="0" w:afterAutospacing="0"/>
                    <w:ind w:left="0" w:right="0"/>
                    <w:jc w:val="center"/>
                    <w:rPr>
                      <w:b/>
                    </w:rPr>
                  </w:pPr>
                  <w:r>
                    <w:rPr>
                      <w:rFonts w:hint="eastAsia"/>
                      <w:b/>
                    </w:rPr>
                    <w:t>要求</w:t>
                  </w:r>
                </w:p>
              </w:tc>
              <w:tc>
                <w:tcPr>
                  <w:tcW w:w="1182"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18" w:type="pct"/>
                  <w:tcBorders>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根据《江苏省挥发性有机物污染物防治管理办法》：</w:t>
                  </w:r>
                </w:p>
                <w:p>
                  <w:pPr>
                    <w:keepNext w:val="0"/>
                    <w:keepLines w:val="0"/>
                    <w:suppressLineNumbers w:val="0"/>
                    <w:spacing w:before="0" w:beforeAutospacing="0" w:after="0" w:afterAutospacing="0"/>
                    <w:ind w:left="0" w:right="0" w:firstLine="420" w:firstLineChars="200"/>
                  </w:pPr>
                  <w:r>
                    <w:rPr>
                      <w:rFonts w:hint="eastAsia"/>
                    </w:rPr>
                    <w:t>第十三条：新建、改建、扩建排放挥发性有机物的建设项目，应当依法进行环境影响评价。新增挥发性有机物排放总量指标的不足部分，可以依照有关规定通过排污权交易取得。</w:t>
                  </w:r>
                </w:p>
                <w:p>
                  <w:pPr>
                    <w:keepNext w:val="0"/>
                    <w:keepLines w:val="0"/>
                    <w:suppressLineNumbers w:val="0"/>
                    <w:spacing w:before="0" w:beforeAutospacing="0" w:after="0" w:afterAutospacing="0"/>
                    <w:ind w:left="0" w:right="0" w:firstLine="420" w:firstLineChars="200"/>
                  </w:pPr>
                  <w:r>
                    <w:rPr>
                      <w:rFonts w:hint="eastAsia"/>
                    </w:rPr>
                    <w:t>建设项目的环境影响评价文件未经审查或者审查后未予批准的，建设单位不得开工建设。</w:t>
                  </w:r>
                </w:p>
              </w:tc>
              <w:tc>
                <w:tcPr>
                  <w:tcW w:w="1182" w:type="pct"/>
                  <w:tcBorders>
                    <w:bottom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本项目建设性质为迁建，正在进行环境影响评价流程，在环评审批前将严格落实主要污染物排放总量指标控制制度，取得主要污染物排放总量的控制指标和平衡方案，故符合文件要求。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3818" w:type="pct"/>
                  <w:tcBorders>
                    <w:top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pPr>
                    <w:keepNext w:val="0"/>
                    <w:keepLines w:val="0"/>
                    <w:suppressLineNumbers w:val="0"/>
                    <w:spacing w:before="0" w:beforeAutospacing="0" w:after="0" w:afterAutospacing="0"/>
                    <w:ind w:left="0" w:right="0" w:firstLine="420" w:firstLineChars="200"/>
                  </w:pPr>
                  <w:r>
                    <w:rPr>
                      <w:rFonts w:hint="eastAsia"/>
                    </w:rPr>
                    <w:t>无法在密闭空间进行的生产经营活动应当采取有效措施，减少挥发性有机物排放量。</w:t>
                  </w:r>
                </w:p>
              </w:tc>
              <w:tc>
                <w:tcPr>
                  <w:tcW w:w="1182" w:type="pct"/>
                  <w:tcBorders>
                    <w:top w:val="single" w:color="auto" w:sz="2" w:space="0"/>
                  </w:tcBorders>
                  <w:vAlign w:val="center"/>
                </w:tcPr>
                <w:p>
                  <w:pPr>
                    <w:keepNext w:val="0"/>
                    <w:keepLines w:val="0"/>
                    <w:suppressLineNumbers w:val="0"/>
                    <w:spacing w:before="0" w:beforeAutospacing="0" w:after="0" w:afterAutospacing="0"/>
                    <w:ind w:left="0" w:right="0" w:firstLine="420" w:firstLineChars="200"/>
                  </w:pPr>
                  <w:r>
                    <w:rPr>
                      <w:rFonts w:hint="eastAsia"/>
                    </w:rPr>
                    <w:t>本项目生产过程中产生的有机废气经集气罩收集进入二级活性炭吸附装置处理，最后通过15m高排气筒排放，符合相关要求。</w:t>
                  </w:r>
                </w:p>
              </w:tc>
            </w:tr>
          </w:tbl>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sz w:val="24"/>
              </w:rPr>
            </w:pPr>
            <w:r>
              <w:rPr>
                <w:rFonts w:hint="eastAsia"/>
                <w:sz w:val="24"/>
              </w:rPr>
              <w:t>综上，本项目与</w:t>
            </w:r>
            <w:r>
              <w:rPr>
                <w:bCs/>
                <w:sz w:val="24"/>
              </w:rPr>
              <w:t>《江苏省挥发性有机物污染物防治管理办法》（省政府令第119号）</w:t>
            </w:r>
            <w:r>
              <w:rPr>
                <w:rFonts w:hint="eastAsia"/>
                <w:sz w:val="24"/>
              </w:rPr>
              <w:t>的要求相符。</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bCs/>
                <w:sz w:val="24"/>
              </w:rPr>
            </w:pPr>
            <w:r>
              <w:rPr>
                <w:b/>
                <w:sz w:val="24"/>
              </w:rPr>
              <w:t>（</w:t>
            </w:r>
            <w:r>
              <w:rPr>
                <w:rFonts w:hint="eastAsia"/>
                <w:b/>
                <w:sz w:val="24"/>
              </w:rPr>
              <w:t>4</w:t>
            </w:r>
            <w:r>
              <w:rPr>
                <w:b/>
                <w:sz w:val="24"/>
              </w:rPr>
              <w:t>）与《重点行业挥发性有机物综合治理方案》（环大气[2019]53号）相符性分析</w:t>
            </w:r>
          </w:p>
          <w:p>
            <w:pPr>
              <w:keepNext w:val="0"/>
              <w:keepLines w:val="0"/>
              <w:suppressLineNumbers w:val="0"/>
              <w:autoSpaceDE w:val="0"/>
              <w:autoSpaceDN w:val="0"/>
              <w:adjustRightInd w:val="0"/>
              <w:snapToGrid w:val="0"/>
              <w:spacing w:before="0" w:beforeAutospacing="0" w:after="0" w:afterAutospacing="0"/>
              <w:ind w:left="0" w:right="0" w:firstLine="361" w:firstLineChars="150"/>
              <w:jc w:val="center"/>
              <w:rPr>
                <w:b/>
                <w:bCs/>
                <w:sz w:val="24"/>
              </w:rPr>
            </w:pPr>
            <w:r>
              <w:rPr>
                <w:rFonts w:hint="eastAsia"/>
                <w:b/>
                <w:bCs/>
                <w:sz w:val="24"/>
              </w:rPr>
              <w:t>表1-11 与环大气[2019]53号相符性分析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5101"/>
              <w:gridCol w:w="1312"/>
              <w:gridCol w:w="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18" w:type="pct"/>
                  <w:gridSpan w:val="2"/>
                  <w:vAlign w:val="center"/>
                </w:tcPr>
                <w:p>
                  <w:pPr>
                    <w:keepNext w:val="0"/>
                    <w:keepLines w:val="0"/>
                    <w:suppressLineNumbers w:val="0"/>
                    <w:spacing w:before="0" w:beforeAutospacing="0" w:after="0" w:afterAutospacing="0"/>
                    <w:ind w:left="0" w:right="0"/>
                    <w:jc w:val="center"/>
                    <w:rPr>
                      <w:b/>
                    </w:rPr>
                  </w:pPr>
                  <w:r>
                    <w:rPr>
                      <w:rFonts w:hint="eastAsia"/>
                      <w:b/>
                    </w:rPr>
                    <w:t>控制思路和要求</w:t>
                  </w:r>
                </w:p>
              </w:tc>
              <w:tc>
                <w:tcPr>
                  <w:tcW w:w="791" w:type="pct"/>
                  <w:vAlign w:val="center"/>
                </w:tcPr>
                <w:p>
                  <w:pPr>
                    <w:keepNext w:val="0"/>
                    <w:keepLines w:val="0"/>
                    <w:suppressLineNumbers w:val="0"/>
                    <w:spacing w:before="0" w:beforeAutospacing="0" w:after="0" w:afterAutospacing="0"/>
                    <w:ind w:left="0" w:right="0"/>
                    <w:jc w:val="center"/>
                    <w:rPr>
                      <w:b/>
                    </w:rPr>
                  </w:pPr>
                  <w:r>
                    <w:rPr>
                      <w:rFonts w:hint="eastAsia"/>
                      <w:b/>
                    </w:rPr>
                    <w:t>本项目情况</w:t>
                  </w:r>
                </w:p>
              </w:tc>
              <w:tc>
                <w:tcPr>
                  <w:tcW w:w="590"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4" w:type="pct"/>
                  <w:vAlign w:val="center"/>
                </w:tcPr>
                <w:p>
                  <w:pPr>
                    <w:keepNext w:val="0"/>
                    <w:keepLines w:val="0"/>
                    <w:suppressLineNumbers w:val="0"/>
                    <w:spacing w:before="0" w:beforeAutospacing="0" w:after="0" w:afterAutospacing="0"/>
                    <w:ind w:left="0" w:right="0"/>
                    <w:jc w:val="center"/>
                  </w:pPr>
                  <w:r>
                    <w:rPr>
                      <w:rFonts w:hint="eastAsia"/>
                    </w:rPr>
                    <w:t>大力推进源头替代</w:t>
                  </w: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油墨、胶粘剂、清洗剂等，从源头减少VOCs产生。在技术成熟的行业，推广使用低VOCs含量油墨和胶粘剂，重点区域到2020年年底前基本完成。</w:t>
                  </w:r>
                </w:p>
              </w:tc>
              <w:tc>
                <w:tcPr>
                  <w:tcW w:w="791" w:type="pct"/>
                  <w:vAlign w:val="center"/>
                </w:tcPr>
                <w:p>
                  <w:pPr>
                    <w:keepNext w:val="0"/>
                    <w:keepLines w:val="0"/>
                    <w:suppressLineNumbers w:val="0"/>
                    <w:spacing w:before="0" w:beforeAutospacing="0" w:after="0" w:afterAutospacing="0"/>
                    <w:ind w:left="0" w:right="0" w:firstLine="420" w:firstLineChars="200"/>
                  </w:pPr>
                  <w:r>
                    <w:rPr>
                      <w:rFonts w:hint="eastAsia"/>
                    </w:rPr>
                    <w:t>本项目不涉及溶剂型涂料、油墨、胶粘剂、清洗剂等。</w:t>
                  </w:r>
                </w:p>
              </w:tc>
              <w:tc>
                <w:tcPr>
                  <w:tcW w:w="590" w:type="pct"/>
                  <w:vAlign w:val="center"/>
                </w:tcPr>
                <w:p>
                  <w:pPr>
                    <w:keepNext w:val="0"/>
                    <w:keepLines w:val="0"/>
                    <w:suppressLineNumbers w:val="0"/>
                    <w:spacing w:before="0" w:beforeAutospacing="0" w:after="0" w:afterAutospacing="0"/>
                    <w:ind w:left="0" w:right="0"/>
                    <w:jc w:val="center"/>
                  </w:pPr>
                  <w:r>
                    <w:rPr>
                      <w:rFonts w:hint="eastAsi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restart"/>
                  <w:vAlign w:val="center"/>
                </w:tcPr>
                <w:p>
                  <w:pPr>
                    <w:keepNext w:val="0"/>
                    <w:keepLines w:val="0"/>
                    <w:suppressLineNumbers w:val="0"/>
                    <w:spacing w:before="0" w:beforeAutospacing="0" w:after="0" w:afterAutospacing="0"/>
                    <w:ind w:left="0" w:right="0"/>
                    <w:jc w:val="center"/>
                  </w:pPr>
                  <w:r>
                    <w:rPr>
                      <w:rFonts w:hint="eastAsia"/>
                    </w:rPr>
                    <w:t>全面加强无组织排放控制</w:t>
                  </w: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791" w:type="pct"/>
                  <w:vMerge w:val="restart"/>
                  <w:vAlign w:val="center"/>
                </w:tcPr>
                <w:p>
                  <w:pPr>
                    <w:keepNext w:val="0"/>
                    <w:keepLines w:val="0"/>
                    <w:suppressLineNumbers w:val="0"/>
                    <w:spacing w:before="0" w:beforeAutospacing="0" w:after="0" w:afterAutospacing="0"/>
                    <w:ind w:left="0" w:right="0" w:firstLine="420" w:firstLineChars="200"/>
                  </w:pPr>
                  <w:r>
                    <w:rPr>
                      <w:rFonts w:hint="eastAsia"/>
                    </w:rPr>
                    <w:t>本项目产生的有机废气经集气罩收集后，通过二级活性炭吸附装置处理，最后通过1根15米高排气筒排放，废气捕集率为90%。</w:t>
                  </w:r>
                </w:p>
              </w:tc>
              <w:tc>
                <w:tcPr>
                  <w:tcW w:w="590" w:type="pct"/>
                  <w:vMerge w:val="restart"/>
                  <w:vAlign w:val="center"/>
                </w:tcPr>
                <w:p>
                  <w:pPr>
                    <w:keepNext w:val="0"/>
                    <w:keepLines w:val="0"/>
                    <w:suppressLineNumbers w:val="0"/>
                    <w:spacing w:before="0" w:beforeAutospacing="0" w:after="0" w:afterAutospacing="0"/>
                    <w:ind w:left="0" w:right="0"/>
                    <w:jc w:val="center"/>
                  </w:pPr>
                  <w:r>
                    <w:rPr>
                      <w:rFonts w:hint="eastAsia"/>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vAlign w:val="center"/>
                </w:tcPr>
                <w:p>
                  <w:pPr>
                    <w:keepNext w:val="0"/>
                    <w:keepLines w:val="0"/>
                    <w:suppressLineNumbers w:val="0"/>
                    <w:spacing w:before="0" w:beforeAutospacing="0" w:after="0" w:afterAutospacing="0"/>
                    <w:ind w:left="0" w:right="0"/>
                    <w:jc w:val="center"/>
                  </w:pP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加强设备与场所密闭管理。含VOCs物料应储存于密闭容器、包装袋，高效密封储罐，封闭式储库、料仓等。含VOCs物料转移和输送，应采用密闭管道或密闭容器、罐车等。高VOCs含量废水（废水液面上方100毫米处VOCs检测浓度超过200ppm，其中，重点区域超过100ppm，以碳计）的集输、储存和处理过程，应加盖密闭。含VOCs物料生产和使用过程，应采取有效收集措施或在密闭空间中操作。</w:t>
                  </w:r>
                </w:p>
              </w:tc>
              <w:tc>
                <w:tcPr>
                  <w:tcW w:w="791" w:type="pct"/>
                  <w:vMerge w:val="continue"/>
                  <w:vAlign w:val="center"/>
                </w:tcPr>
                <w:p>
                  <w:pPr>
                    <w:keepNext w:val="0"/>
                    <w:keepLines w:val="0"/>
                    <w:suppressLineNumbers w:val="0"/>
                    <w:spacing w:before="0" w:beforeAutospacing="0" w:after="0" w:afterAutospacing="0"/>
                    <w:ind w:left="0" w:right="0" w:firstLine="420" w:firstLineChars="200"/>
                  </w:pPr>
                </w:p>
              </w:tc>
              <w:tc>
                <w:tcPr>
                  <w:tcW w:w="590" w:type="pct"/>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vAlign w:val="center"/>
                </w:tcPr>
                <w:p>
                  <w:pPr>
                    <w:keepNext w:val="0"/>
                    <w:keepLines w:val="0"/>
                    <w:suppressLineNumbers w:val="0"/>
                    <w:spacing w:before="0" w:beforeAutospacing="0" w:after="0" w:afterAutospacing="0"/>
                    <w:ind w:left="0" w:right="0"/>
                    <w:jc w:val="center"/>
                  </w:pP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推进使用先进生产工艺。通过采用全密闭、连续化、自动化等生产技术，以及高效工艺与设备等，减少工艺过程无组织排放。</w:t>
                  </w:r>
                </w:p>
              </w:tc>
              <w:tc>
                <w:tcPr>
                  <w:tcW w:w="791" w:type="pct"/>
                  <w:vMerge w:val="continue"/>
                  <w:vAlign w:val="center"/>
                </w:tcPr>
                <w:p>
                  <w:pPr>
                    <w:keepNext w:val="0"/>
                    <w:keepLines w:val="0"/>
                    <w:suppressLineNumbers w:val="0"/>
                    <w:spacing w:before="0" w:beforeAutospacing="0" w:after="0" w:afterAutospacing="0"/>
                    <w:ind w:left="0" w:right="0" w:firstLine="420" w:firstLineChars="200"/>
                  </w:pPr>
                </w:p>
              </w:tc>
              <w:tc>
                <w:tcPr>
                  <w:tcW w:w="590" w:type="pct"/>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Merge w:val="continue"/>
                  <w:vAlign w:val="center"/>
                </w:tcPr>
                <w:p>
                  <w:pPr>
                    <w:keepNext w:val="0"/>
                    <w:keepLines w:val="0"/>
                    <w:suppressLineNumbers w:val="0"/>
                    <w:spacing w:before="0" w:beforeAutospacing="0" w:after="0" w:afterAutospacing="0"/>
                    <w:ind w:left="0" w:right="0"/>
                    <w:jc w:val="center"/>
                  </w:pP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VOCs无组织排放位置，控制风速应不低于0.3米/秒，有行业要求的按相关规定执行。</w:t>
                  </w:r>
                </w:p>
              </w:tc>
              <w:tc>
                <w:tcPr>
                  <w:tcW w:w="791" w:type="pct"/>
                  <w:vMerge w:val="continue"/>
                  <w:vAlign w:val="center"/>
                </w:tcPr>
                <w:p>
                  <w:pPr>
                    <w:keepNext w:val="0"/>
                    <w:keepLines w:val="0"/>
                    <w:suppressLineNumbers w:val="0"/>
                    <w:spacing w:before="0" w:beforeAutospacing="0" w:after="0" w:afterAutospacing="0"/>
                    <w:ind w:left="0" w:right="0" w:firstLine="420" w:firstLineChars="200"/>
                  </w:pPr>
                </w:p>
              </w:tc>
              <w:tc>
                <w:tcPr>
                  <w:tcW w:w="590" w:type="pct"/>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44" w:type="pct"/>
                  <w:vAlign w:val="center"/>
                </w:tcPr>
                <w:p>
                  <w:pPr>
                    <w:keepNext w:val="0"/>
                    <w:keepLines w:val="0"/>
                    <w:suppressLineNumbers w:val="0"/>
                    <w:spacing w:before="0" w:beforeAutospacing="0" w:after="0" w:afterAutospacing="0"/>
                    <w:ind w:left="0" w:right="0"/>
                    <w:jc w:val="center"/>
                  </w:pPr>
                  <w:r>
                    <w:rPr>
                      <w:rFonts w:hint="eastAsia"/>
                    </w:rPr>
                    <w:t>推进建设适宜高效的治污设施</w:t>
                  </w:r>
                </w:p>
              </w:tc>
              <w:tc>
                <w:tcPr>
                  <w:tcW w:w="3075" w:type="pct"/>
                  <w:vAlign w:val="center"/>
                </w:tcPr>
                <w:p>
                  <w:pPr>
                    <w:keepNext w:val="0"/>
                    <w:keepLines w:val="0"/>
                    <w:suppressLineNumbers w:val="0"/>
                    <w:spacing w:before="0" w:beforeAutospacing="0" w:after="0" w:afterAutospacing="0"/>
                    <w:ind w:left="0" w:right="0" w:firstLine="420" w:firstLineChars="200"/>
                  </w:pPr>
                  <w:r>
                    <w:rPr>
                      <w:rFonts w:hint="eastAsia"/>
                    </w:rPr>
                    <w:t>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w:t>
                  </w:r>
                </w:p>
              </w:tc>
              <w:tc>
                <w:tcPr>
                  <w:tcW w:w="791" w:type="pct"/>
                  <w:vAlign w:val="center"/>
                </w:tcPr>
                <w:p>
                  <w:pPr>
                    <w:keepNext w:val="0"/>
                    <w:keepLines w:val="0"/>
                    <w:suppressLineNumbers w:val="0"/>
                    <w:spacing w:before="0" w:beforeAutospacing="0" w:after="0" w:afterAutospacing="0"/>
                    <w:ind w:left="0" w:right="0" w:firstLine="420" w:firstLineChars="200"/>
                  </w:pPr>
                  <w:r>
                    <w:rPr>
                      <w:rFonts w:hint="eastAsia"/>
                    </w:rPr>
                    <w:t>本项目产生的有机废气采用二级活性炭吸附装置处理，对废活性炭定期更换，废活性炭委托有资质单位处置。</w:t>
                  </w:r>
                </w:p>
              </w:tc>
              <w:tc>
                <w:tcPr>
                  <w:tcW w:w="590" w:type="pct"/>
                  <w:vAlign w:val="center"/>
                </w:tcPr>
                <w:p>
                  <w:pPr>
                    <w:keepNext w:val="0"/>
                    <w:keepLines w:val="0"/>
                    <w:suppressLineNumbers w:val="0"/>
                    <w:spacing w:before="0" w:beforeAutospacing="0" w:after="0" w:afterAutospacing="0"/>
                    <w:ind w:left="0" w:right="0"/>
                    <w:jc w:val="center"/>
                  </w:pPr>
                  <w:r>
                    <w:rPr>
                      <w:rFonts w:hint="eastAsia"/>
                    </w:rPr>
                    <w:t>相符</w:t>
                  </w:r>
                </w:p>
              </w:tc>
            </w:tr>
          </w:tbl>
          <w:p>
            <w:pPr>
              <w:keepNext w:val="0"/>
              <w:keepLines w:val="0"/>
              <w:suppressLineNumbers w:val="0"/>
              <w:autoSpaceDE w:val="0"/>
              <w:autoSpaceDN w:val="0"/>
              <w:snapToGrid w:val="0"/>
              <w:spacing w:before="0" w:beforeAutospacing="0" w:after="0" w:afterAutospacing="0" w:line="360" w:lineRule="auto"/>
              <w:ind w:left="0" w:right="0" w:firstLine="480" w:firstLineChars="200"/>
              <w:rPr>
                <w:sz w:val="24"/>
              </w:rPr>
            </w:pPr>
            <w:r>
              <w:rPr>
                <w:rFonts w:hint="eastAsia"/>
                <w:sz w:val="24"/>
              </w:rPr>
              <w:t>综上，本项目与《重点行业挥发性有机物综合治理方案》（环大气[2019]53号）的要求相符。</w:t>
            </w:r>
          </w:p>
          <w:p>
            <w:pPr>
              <w:keepNext w:val="0"/>
              <w:keepLines w:val="0"/>
              <w:suppressLineNumbers w:val="0"/>
              <w:autoSpaceDE w:val="0"/>
              <w:autoSpaceDN w:val="0"/>
              <w:snapToGrid w:val="0"/>
              <w:spacing w:before="0" w:beforeAutospacing="0" w:after="0" w:afterAutospacing="0" w:line="360" w:lineRule="auto"/>
              <w:ind w:left="0" w:right="0" w:firstLine="482" w:firstLineChars="200"/>
              <w:rPr>
                <w:b/>
                <w:sz w:val="24"/>
              </w:rPr>
            </w:pPr>
            <w:r>
              <w:rPr>
                <w:b/>
                <w:sz w:val="24"/>
              </w:rPr>
              <w:t>（</w:t>
            </w:r>
            <w:r>
              <w:rPr>
                <w:rFonts w:hint="eastAsia"/>
                <w:b/>
                <w:sz w:val="24"/>
              </w:rPr>
              <w:t>5</w:t>
            </w:r>
            <w:r>
              <w:rPr>
                <w:b/>
                <w:sz w:val="24"/>
              </w:rPr>
              <w:t>）</w:t>
            </w:r>
            <w:r>
              <w:rPr>
                <w:rFonts w:hint="eastAsia"/>
                <w:b/>
                <w:sz w:val="24"/>
              </w:rPr>
              <w:t>与</w:t>
            </w:r>
            <w:r>
              <w:rPr>
                <w:b/>
                <w:sz w:val="24"/>
              </w:rPr>
              <w:t>关于印发《2020年挥发性有机物治理攻坚方案》的通知</w:t>
            </w:r>
            <w:r>
              <w:rPr>
                <w:rFonts w:hint="eastAsia"/>
                <w:b/>
                <w:sz w:val="24"/>
              </w:rPr>
              <w:t>（</w:t>
            </w:r>
            <w:r>
              <w:rPr>
                <w:b/>
                <w:sz w:val="24"/>
              </w:rPr>
              <w:t>环大气〔2020〕33号</w:t>
            </w:r>
            <w:r>
              <w:rPr>
                <w:rFonts w:hint="eastAsia"/>
                <w:b/>
                <w:sz w:val="24"/>
              </w:rPr>
              <w:t>）</w:t>
            </w:r>
            <w:r>
              <w:rPr>
                <w:b/>
                <w:sz w:val="24"/>
              </w:rPr>
              <w:t>相符性分析</w:t>
            </w:r>
          </w:p>
          <w:p>
            <w:pPr>
              <w:pStyle w:val="27"/>
              <w:keepNext w:val="0"/>
              <w:keepLines w:val="0"/>
              <w:suppressLineNumbers w:val="0"/>
              <w:ind w:left="-84" w:firstLine="560"/>
            </w:pPr>
          </w:p>
          <w:p>
            <w:pPr>
              <w:pStyle w:val="27"/>
              <w:keepNext w:val="0"/>
              <w:keepLines w:val="0"/>
              <w:suppressLineNumbers w:val="0"/>
              <w:ind w:left="-84" w:firstLine="560"/>
            </w:pPr>
          </w:p>
          <w:p>
            <w:pPr>
              <w:keepNext w:val="0"/>
              <w:keepLines w:val="0"/>
              <w:suppressLineNumbers w:val="0"/>
              <w:autoSpaceDE w:val="0"/>
              <w:autoSpaceDN w:val="0"/>
              <w:adjustRightInd w:val="0"/>
              <w:snapToGrid w:val="0"/>
              <w:spacing w:before="0" w:beforeAutospacing="0" w:after="0" w:afterAutospacing="0"/>
              <w:ind w:left="0" w:right="0" w:firstLine="482" w:firstLineChars="200"/>
              <w:jc w:val="center"/>
              <w:rPr>
                <w:rFonts w:ascii="宋体" w:hAnsi="宋体"/>
                <w:sz w:val="24"/>
              </w:rPr>
            </w:pPr>
            <w:r>
              <w:rPr>
                <w:rFonts w:hint="eastAsia"/>
                <w:b/>
                <w:bCs/>
                <w:sz w:val="24"/>
              </w:rPr>
              <w:t>表1-12 与环大气[2020]33号相符性分析</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33"/>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9" w:type="pct"/>
                  <w:vAlign w:val="center"/>
                </w:tcPr>
                <w:p>
                  <w:pPr>
                    <w:keepNext w:val="0"/>
                    <w:keepLines w:val="0"/>
                    <w:suppressLineNumbers w:val="0"/>
                    <w:spacing w:before="0" w:beforeAutospacing="0" w:after="0" w:afterAutospacing="0"/>
                    <w:ind w:left="0" w:right="0"/>
                    <w:jc w:val="center"/>
                    <w:rPr>
                      <w:b/>
                    </w:rPr>
                  </w:pPr>
                  <w:r>
                    <w:rPr>
                      <w:rFonts w:hint="eastAsia"/>
                      <w:b/>
                    </w:rPr>
                    <w:t>要求</w:t>
                  </w:r>
                </w:p>
              </w:tc>
              <w:tc>
                <w:tcPr>
                  <w:tcW w:w="941" w:type="pct"/>
                  <w:vAlign w:val="center"/>
                </w:tcPr>
                <w:p>
                  <w:pPr>
                    <w:keepNext w:val="0"/>
                    <w:keepLines w:val="0"/>
                    <w:suppressLineNumbers w:val="0"/>
                    <w:spacing w:before="0" w:beforeAutospacing="0" w:after="0" w:afterAutospacing="0"/>
                    <w:ind w:left="0" w:right="0"/>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4059" w:type="pct"/>
                  <w:vAlign w:val="center"/>
                </w:tcPr>
                <w:p>
                  <w:pPr>
                    <w:keepNext w:val="0"/>
                    <w:keepLines w:val="0"/>
                    <w:suppressLineNumbers w:val="0"/>
                    <w:spacing w:before="0" w:beforeAutospacing="0" w:after="0" w:afterAutospacing="0"/>
                    <w:ind w:left="0" w:right="0" w:firstLine="420" w:firstLineChars="200"/>
                  </w:pPr>
                  <w:r>
                    <w:rPr>
                      <w:rFonts w:hint="eastAsia"/>
                    </w:rPr>
                    <w:t>（三）聚焦治污设施“三率”，提升综合治理效率</w:t>
                  </w:r>
                </w:p>
                <w:p>
                  <w:pPr>
                    <w:keepNext w:val="0"/>
                    <w:keepLines w:val="0"/>
                    <w:suppressLineNumbers w:val="0"/>
                    <w:spacing w:before="0" w:beforeAutospacing="0" w:after="0" w:afterAutospacing="0"/>
                    <w:ind w:left="0" w:right="0" w:firstLine="420" w:firstLineChars="200"/>
                  </w:pPr>
                  <w:r>
                    <w:rPr>
                      <w:rFonts w:hint="eastAsia"/>
                    </w:rPr>
                    <w:t>组织企业对现有VOCs废气收集率、治理设施同步运行率和去除率开展自查，重点关注单一采用光氧化、光催化、低温等离子、一次性活性炭吸附、喷淋吸收等工艺的治理设施，7月15日前完成。对达不到要求的VOCs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941" w:type="pct"/>
                  <w:vAlign w:val="center"/>
                </w:tcPr>
                <w:p>
                  <w:pPr>
                    <w:keepNext w:val="0"/>
                    <w:keepLines w:val="0"/>
                    <w:suppressLineNumbers w:val="0"/>
                    <w:spacing w:before="0" w:beforeAutospacing="0" w:after="0" w:afterAutospacing="0"/>
                    <w:ind w:left="0" w:right="0" w:firstLine="420" w:firstLineChars="200"/>
                  </w:pPr>
                  <w:r>
                    <w:rPr>
                      <w:rFonts w:hint="eastAsia"/>
                    </w:rPr>
                    <w:t>本项目生产过程中产生有机废气，根据有机废气种类及性质采取二级活性炭吸附装置进行处理，处理后通过15m高排气筒排放，与上述内容相符。</w:t>
                  </w:r>
                </w:p>
              </w:tc>
            </w:tr>
          </w:tbl>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jc w:val="left"/>
              <w:rPr>
                <w:sz w:val="24"/>
              </w:rPr>
            </w:pPr>
            <w:r>
              <w:rPr>
                <w:rFonts w:hint="eastAsia"/>
                <w:sz w:val="24"/>
              </w:rPr>
              <w:t>综上，本项目与</w:t>
            </w:r>
            <w:r>
              <w:rPr>
                <w:sz w:val="24"/>
              </w:rPr>
              <w:t>《2020年挥发性有机物治理攻坚方案》的通知</w:t>
            </w:r>
            <w:r>
              <w:rPr>
                <w:rFonts w:hint="eastAsia"/>
                <w:sz w:val="24"/>
              </w:rPr>
              <w:t>（</w:t>
            </w:r>
            <w:r>
              <w:rPr>
                <w:sz w:val="24"/>
              </w:rPr>
              <w:t>环大气〔2020〕33号</w:t>
            </w:r>
            <w:r>
              <w:rPr>
                <w:rFonts w:hint="eastAsia"/>
                <w:sz w:val="24"/>
              </w:rPr>
              <w:t>）的要求相符。</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jc w:val="left"/>
              <w:rPr>
                <w:b/>
                <w:bCs/>
                <w:sz w:val="24"/>
              </w:rPr>
            </w:pPr>
            <w:r>
              <w:rPr>
                <w:rFonts w:hint="eastAsia"/>
                <w:b/>
                <w:sz w:val="24"/>
              </w:rPr>
              <w:t>5、</w:t>
            </w:r>
            <w:r>
              <w:rPr>
                <w:b/>
                <w:bCs/>
                <w:sz w:val="24"/>
              </w:rPr>
              <w:t>与其他环境保护管理要求的相符性分析</w:t>
            </w:r>
          </w:p>
          <w:p>
            <w:pPr>
              <w:keepNext w:val="0"/>
              <w:keepLines w:val="0"/>
              <w:suppressLineNumbers w:val="0"/>
              <w:autoSpaceDE w:val="0"/>
              <w:autoSpaceDN w:val="0"/>
              <w:snapToGrid w:val="0"/>
              <w:spacing w:before="0" w:beforeAutospacing="0" w:after="0" w:afterAutospacing="0" w:line="360" w:lineRule="auto"/>
              <w:ind w:left="0" w:right="0" w:firstLine="482" w:firstLineChars="200"/>
              <w:jc w:val="left"/>
              <w:rPr>
                <w:b/>
                <w:sz w:val="24"/>
              </w:rPr>
            </w:pPr>
            <w:r>
              <w:rPr>
                <w:rFonts w:hint="eastAsia"/>
                <w:b/>
                <w:bCs/>
                <w:sz w:val="24"/>
              </w:rPr>
              <w:t>（1）</w:t>
            </w:r>
            <w:r>
              <w:rPr>
                <w:b/>
                <w:bCs/>
                <w:sz w:val="24"/>
              </w:rPr>
              <w:t>与</w:t>
            </w:r>
            <w:r>
              <w:rPr>
                <w:b/>
                <w:sz w:val="24"/>
                <w:lang w:val="zh-CN"/>
              </w:rPr>
              <w:t>《省生态环境厅关于进一步做好建设项目环评审批工作的通知》（苏环办[2019]36号）相符性分析</w:t>
            </w:r>
          </w:p>
          <w:p>
            <w:pPr>
              <w:keepNext w:val="0"/>
              <w:keepLines w:val="0"/>
              <w:suppressLineNumbers w:val="0"/>
              <w:autoSpaceDE w:val="0"/>
              <w:autoSpaceDN w:val="0"/>
              <w:adjustRightInd w:val="0"/>
              <w:snapToGrid w:val="0"/>
              <w:spacing w:before="0" w:beforeAutospacing="0" w:after="0" w:afterAutospacing="0"/>
              <w:ind w:left="0" w:right="0" w:firstLine="361" w:firstLineChars="150"/>
              <w:jc w:val="center"/>
              <w:rPr>
                <w:b/>
                <w:bCs/>
                <w:sz w:val="24"/>
                <w:lang w:val="zh-CN"/>
              </w:rPr>
            </w:pPr>
            <w:r>
              <w:rPr>
                <w:b/>
                <w:bCs/>
                <w:sz w:val="24"/>
                <w:lang w:val="zh-CN"/>
              </w:rPr>
              <w:t>表</w:t>
            </w:r>
            <w:r>
              <w:rPr>
                <w:b/>
                <w:bCs/>
                <w:sz w:val="24"/>
              </w:rPr>
              <w:t>1-</w:t>
            </w:r>
            <w:r>
              <w:rPr>
                <w:rFonts w:hint="eastAsia"/>
                <w:b/>
                <w:bCs/>
                <w:sz w:val="24"/>
              </w:rPr>
              <w:t>13</w:t>
            </w:r>
            <w:r>
              <w:rPr>
                <w:b/>
                <w:bCs/>
                <w:sz w:val="24"/>
                <w:lang w:val="zh-CN"/>
              </w:rPr>
              <w:t xml:space="preserve"> 与苏环办[2019]36号文对照分析</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3743"/>
              <w:gridCol w:w="2331"/>
              <w:gridCol w:w="8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5"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b/>
                      <w:bCs/>
                      <w:szCs w:val="21"/>
                    </w:rPr>
                  </w:pPr>
                  <w:r>
                    <w:rPr>
                      <w:b/>
                      <w:bCs/>
                      <w:szCs w:val="21"/>
                    </w:rPr>
                    <w:t>类别</w:t>
                  </w:r>
                </w:p>
              </w:tc>
              <w:tc>
                <w:tcPr>
                  <w:tcW w:w="2257"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b/>
                      <w:bCs/>
                      <w:szCs w:val="21"/>
                    </w:rPr>
                  </w:pPr>
                  <w:r>
                    <w:rPr>
                      <w:b/>
                      <w:bCs/>
                      <w:szCs w:val="21"/>
                    </w:rPr>
                    <w:t>文件要求（建设项目环评审批要点）</w:t>
                  </w:r>
                </w:p>
              </w:tc>
              <w:tc>
                <w:tcPr>
                  <w:tcW w:w="1406"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b/>
                      <w:bCs/>
                      <w:szCs w:val="21"/>
                    </w:rPr>
                  </w:pPr>
                  <w:r>
                    <w:rPr>
                      <w:b/>
                      <w:bCs/>
                      <w:szCs w:val="21"/>
                    </w:rPr>
                    <w:t>本项目</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b/>
                      <w:bCs/>
                      <w:szCs w:val="21"/>
                    </w:rPr>
                  </w:pPr>
                  <w:r>
                    <w:rPr>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5"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《建设项目环境保护管理条例》</w:t>
                  </w:r>
                </w:p>
              </w:tc>
              <w:tc>
                <w:tcPr>
                  <w:tcW w:w="2257"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w:t>
                  </w:r>
                  <w:r>
                    <w:rPr>
                      <w:rFonts w:hint="eastAsia"/>
                      <w:szCs w:val="21"/>
                      <w:lang w:eastAsia="zh-CN"/>
                    </w:rPr>
                    <w:t>治</w:t>
                  </w:r>
                  <w:r>
                    <w:rPr>
                      <w:szCs w:val="21"/>
                    </w:rPr>
                    <w:t>措施；（5）建设项目的环境影响报告书、环境影响报告表的基础资料数据明显不实，内容存在重大缺陷、遗漏，或者环境影响评价结论不明确、不合理。</w:t>
                  </w:r>
                </w:p>
              </w:tc>
              <w:tc>
                <w:tcPr>
                  <w:tcW w:w="1406"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①本项目位于江苏省常州市武进区洛阳镇新科西路21号，选址、布局、规模符合环境保护法律法规和相关法定规划要求；②项目所在区域环境控制质量不达标，本项目采取的措施有效可行，确保污染物稳定达标，区域已经制定限期达标规划，项目建设满足区域环境质量改善目标管理要求；③项目污染物经处理后可稳定达到国家和地方排放标准；④本项目基础数据真实有效，评价结论合理可信，本项目不存在不予批准的情形</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35"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《农用地土壤环境管理办法（试行）》</w:t>
                  </w:r>
                </w:p>
              </w:tc>
              <w:tc>
                <w:tcPr>
                  <w:tcW w:w="2257"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6"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本项目位于江苏省常州市武进区洛阳镇新科西路21号，用地性质为工业用地</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rFonts w:hint="eastAsia"/>
                      <w:szCs w:val="21"/>
                    </w:rPr>
                    <w:t>《关于印发&lt;建设项目主要污染物排放总量指标审核及管理暂行办法&gt;的通知》（环发〔2014〕197号）</w:t>
                  </w:r>
                </w:p>
              </w:tc>
              <w:tc>
                <w:tcPr>
                  <w:tcW w:w="2257"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406"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本项目拟在环境影响评价文件审批前，取得主要污染物排放总量指标</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int="eastAsia"/>
                      <w:szCs w:val="21"/>
                    </w:rPr>
                    <w:t>《关于以改善环境质量为核心加强环境影响评价管理的通知》（环环评〔2016〕150号）</w:t>
                  </w:r>
                </w:p>
              </w:tc>
              <w:tc>
                <w:tcPr>
                  <w:tcW w:w="2257"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1）规划环评要作为规划所包含项目环评的重要依据，对于不符合规划环评结论及审查意见的项目环评，依法不予审批。（2）对于现有同类型项目环境污染或生态破坏严重、环境违法违规现象多发，致使环境容量接近或超过承载能力的地区，在现有问题整改到位前，依法暂停审批该地区同类行业的项目环评文件。（3）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406"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（1）本项目建设内容符合所在区域定位，且不在生态保护红线范围内</w:t>
                  </w:r>
                </w:p>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（2）项目所在地为</w:t>
                  </w:r>
                  <w:r>
                    <w:rPr>
                      <w:rFonts w:hint="eastAsia"/>
                      <w:szCs w:val="21"/>
                      <w:lang w:eastAsia="zh-CN"/>
                    </w:rPr>
                    <w:t>非</w:t>
                  </w:r>
                  <w:r>
                    <w:rPr>
                      <w:rFonts w:hint="eastAsia"/>
                      <w:szCs w:val="21"/>
                    </w:rPr>
                    <w:t>达标区，本项目各废气因子排放量较小，对周围保护目标影响均较小，均未超过各因子的环境质量标准。因此，项目排放的大气污染物对周围空气环境影响较小</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35"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int="eastAsia"/>
                      <w:szCs w:val="21"/>
                    </w:rPr>
                    <w:t>《关于全面加强生态环境保护坚决打好污染防治攻坚战的实施意见》（苏发〔2018〕24号）</w:t>
                  </w:r>
                </w:p>
              </w:tc>
              <w:tc>
                <w:tcPr>
                  <w:tcW w:w="2257"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严禁在长江干流及主要支流岸线1公里范围内新建布局化工园区和化工企业。严格化工项目环评审批，提高准入门槛，新建化工项目原则上投资额不得低于10亿元，不得新建、改建、扩建三类中间体项目。</w:t>
                  </w:r>
                </w:p>
              </w:tc>
              <w:tc>
                <w:tcPr>
                  <w:tcW w:w="1406"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本项目不属于化工企业</w:t>
                  </w:r>
                </w:p>
              </w:tc>
              <w:tc>
                <w:tcPr>
                  <w:tcW w:w="502" w:type="pct"/>
                  <w:vAlign w:val="center"/>
                </w:tcPr>
                <w:p>
                  <w:pPr>
                    <w:keepNext w:val="0"/>
                    <w:keepLines w:val="0"/>
                    <w:suppressLineNumbers w:val="0"/>
                    <w:autoSpaceDE w:val="0"/>
                    <w:autoSpaceDN w:val="0"/>
                    <w:snapToGrid w:val="0"/>
                    <w:spacing w:before="0" w:beforeAutospacing="0" w:after="0" w:afterAutospacing="0"/>
                    <w:ind w:left="0" w:right="0"/>
                    <w:jc w:val="left"/>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5"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《省政府关于印发江苏省国家级生态保护红线规划的通知》</w:t>
                  </w:r>
                </w:p>
              </w:tc>
              <w:tc>
                <w:tcPr>
                  <w:tcW w:w="2257"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生态保护红线原则上按禁止开发区域的要求进行管理，严禁不符合主体功能定位的各类开发活动，严禁任意改变用途。</w:t>
                  </w:r>
                </w:p>
              </w:tc>
              <w:tc>
                <w:tcPr>
                  <w:tcW w:w="1406" w:type="pct"/>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szCs w:val="21"/>
                    </w:rPr>
                  </w:pPr>
                  <w:r>
                    <w:rPr>
                      <w:szCs w:val="21"/>
                    </w:rPr>
                    <w:t>本项目不在生态保护红线内</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5" w:type="pct"/>
                  <w:vAlign w:val="center"/>
                </w:tcPr>
                <w:p>
                  <w:pPr>
                    <w:keepNext w:val="0"/>
                    <w:keepLines w:val="0"/>
                    <w:suppressLineNumbers w:val="0"/>
                    <w:autoSpaceDE w:val="0"/>
                    <w:autoSpaceDN w:val="0"/>
                    <w:snapToGrid w:val="0"/>
                    <w:spacing w:before="0" w:beforeAutospacing="0" w:after="0" w:afterAutospacing="0"/>
                    <w:ind w:left="0" w:right="0"/>
                    <w:jc w:val="center"/>
                    <w:rPr>
                      <w:szCs w:val="21"/>
                    </w:rPr>
                  </w:pPr>
                  <w:r>
                    <w:rPr>
                      <w:rFonts w:hint="eastAsia"/>
                      <w:szCs w:val="21"/>
                    </w:rPr>
                    <w:t>《省政府办公厅关于加强危险废物污染防治工作的意见》（苏政办发〔2018〕91号）</w:t>
                  </w:r>
                </w:p>
              </w:tc>
              <w:tc>
                <w:tcPr>
                  <w:tcW w:w="2257"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禁止审批无法落实危险废物利用、处置途径的项目，从严审批危险废物产生量大、本地无配套利用处置能力且需设区市统筹解决的项目。</w:t>
                  </w:r>
                </w:p>
              </w:tc>
              <w:tc>
                <w:tcPr>
                  <w:tcW w:w="1406" w:type="pct"/>
                  <w:vAlign w:val="center"/>
                </w:tcPr>
                <w:p>
                  <w:pPr>
                    <w:keepNext w:val="0"/>
                    <w:keepLines w:val="0"/>
                    <w:suppressLineNumbers w:val="0"/>
                    <w:autoSpaceDE w:val="0"/>
                    <w:autoSpaceDN w:val="0"/>
                    <w:snapToGrid w:val="0"/>
                    <w:spacing w:before="0" w:beforeAutospacing="0" w:after="0" w:afterAutospacing="0"/>
                    <w:ind w:left="0" w:right="0" w:firstLine="420" w:firstLineChars="200"/>
                    <w:jc w:val="left"/>
                    <w:rPr>
                      <w:szCs w:val="21"/>
                    </w:rPr>
                  </w:pPr>
                  <w:r>
                    <w:rPr>
                      <w:rFonts w:hint="eastAsia"/>
                      <w:szCs w:val="21"/>
                    </w:rPr>
                    <w:t>本项目危险废物合理合法利用、处置。固废处置率100%</w:t>
                  </w:r>
                </w:p>
              </w:tc>
              <w:tc>
                <w:tcPr>
                  <w:tcW w:w="502" w:type="pct"/>
                  <w:vAlign w:val="center"/>
                </w:tcPr>
                <w:p>
                  <w:pPr>
                    <w:keepNext w:val="0"/>
                    <w:keepLines w:val="0"/>
                    <w:suppressLineNumbers w:val="0"/>
                    <w:autoSpaceDE w:val="0"/>
                    <w:autoSpaceDN w:val="0"/>
                    <w:snapToGrid w:val="0"/>
                    <w:spacing w:before="0" w:beforeAutospacing="0" w:after="0" w:afterAutospacing="0"/>
                    <w:ind w:left="0" w:right="0"/>
                    <w:jc w:val="left"/>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5" w:type="pct"/>
                  <w:vAlign w:val="center"/>
                </w:tcPr>
                <w:p>
                  <w:pPr>
                    <w:keepNext w:val="0"/>
                    <w:keepLines w:val="0"/>
                    <w:suppressLineNumbers w:val="0"/>
                    <w:autoSpaceDE w:val="0"/>
                    <w:autoSpaceDN w:val="0"/>
                    <w:snapToGrid w:val="0"/>
                    <w:spacing w:before="0" w:beforeAutospacing="0" w:after="0" w:afterAutospacing="0"/>
                    <w:ind w:left="0" w:right="0"/>
                    <w:jc w:val="left"/>
                    <w:rPr>
                      <w:szCs w:val="21"/>
                    </w:rPr>
                  </w:pPr>
                  <w:r>
                    <w:rPr>
                      <w:szCs w:val="21"/>
                    </w:rPr>
                    <w:t>推动长江经济带发展领导小组办公室关于印发《长江经济带发展负面清单指南（试行，2022年版）》的通知（长江办〔2022〕7号）</w:t>
                  </w:r>
                </w:p>
              </w:tc>
              <w:tc>
                <w:tcPr>
                  <w:tcW w:w="2257" w:type="pct"/>
                  <w:vAlign w:val="center"/>
                </w:tcPr>
                <w:p>
                  <w:pPr>
                    <w:keepNext w:val="0"/>
                    <w:keepLines w:val="0"/>
                    <w:suppressLineNumbers w:val="0"/>
                    <w:autoSpaceDE w:val="0"/>
                    <w:autoSpaceDN w:val="0"/>
                    <w:snapToGrid w:val="0"/>
                    <w:spacing w:before="0" w:beforeAutospacing="0" w:after="0" w:afterAutospacing="0"/>
                    <w:ind w:left="0" w:right="0"/>
                    <w:jc w:val="left"/>
                    <w:rPr>
                      <w:szCs w:val="21"/>
                    </w:rPr>
                  </w:pPr>
                  <w:r>
                    <w:rPr>
                      <w:szCs w:val="21"/>
                    </w:rPr>
                    <w:t>1.禁止建设不符合全国和省级港口布局规划以及港口总体规划的码头项目，禁止建设不符合《长江干线过江通道布局规划》的过长江通道项目。2.禁止在自然保护区核心区、缓冲区的岸线和河段范围内投资建设旅游和生产经营项目。禁止在风景名胜区核心景区的岸线和河段范围内投资建设与风景名胜资源保护无关的项目。3.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4.禁止在水产种质资源保护区的岸线和河段范围内新建围湖造田、</w:t>
                  </w:r>
                  <w:r>
                    <w:rPr>
                      <w:rFonts w:hint="eastAsia"/>
                      <w:szCs w:val="21"/>
                      <w:lang w:eastAsia="zh-CN"/>
                    </w:rPr>
                    <w:t>围</w:t>
                  </w:r>
                  <w:r>
                    <w:rPr>
                      <w:szCs w:val="21"/>
                    </w:rPr>
                    <w:t>海造地或围填海等投资建设项目。禁止在国家湿地公园的岸线和河段范围内挖沙、采矿，以及任何不符合主体功能定位的投资建设项目。5.禁止违法利用、占用</w:t>
                  </w:r>
                  <w:r>
                    <w:rPr>
                      <w:rFonts w:hint="eastAsia"/>
                      <w:szCs w:val="21"/>
                      <w:lang w:eastAsia="zh-CN"/>
                    </w:rPr>
                    <w:t>长江流域</w:t>
                  </w:r>
                  <w:r>
                    <w:rPr>
                      <w:szCs w:val="21"/>
                    </w:rPr>
                    <w:t>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油水功能区划》划定的河段及湖泊保护区、保留区内投资建设不利于水资源及自然生态保护的项目。6．禁止未经许可在长江千支流及湖泊新设、改设或扩大排污口。7．禁止在“一江一口两湖七河”和332个水生生物保护区开展生产性捕捞。8.禁止在长江于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9.禁止在合规园区外新建、扩建钢铁、石化、化工、焦化、建材、有色、制浆造纸等高污染项目。10.禁止新建、扩建不符合国家石化、现代煤化工等产业布局规划的项目。11.禁止新建、扩建法律法规和相关政策明令禁止的落后产能项目。禁止新建、扩建不符合国家产能置换要求的严重过剩产能行业的项目。禁止新建、扩建不符合要求的高耗能高排放项目。12，法律法规及相关政策文件有更加严格规定的从其规定。</w:t>
                  </w:r>
                </w:p>
              </w:tc>
              <w:tc>
                <w:tcPr>
                  <w:tcW w:w="1406" w:type="pct"/>
                  <w:vAlign w:val="center"/>
                </w:tcPr>
                <w:p>
                  <w:pPr>
                    <w:keepNext w:val="0"/>
                    <w:keepLines w:val="0"/>
                    <w:pageBreakBefore w:val="0"/>
                    <w:widowControl w:val="0"/>
                    <w:suppressLineNumbers w:val="0"/>
                    <w:kinsoku/>
                    <w:wordWrap/>
                    <w:overflowPunct/>
                    <w:topLinePunct w:val="0"/>
                    <w:autoSpaceDE w:val="0"/>
                    <w:autoSpaceDN w:val="0"/>
                    <w:bidi w:val="0"/>
                    <w:adjustRightInd/>
                    <w:snapToGrid w:val="0"/>
                    <w:spacing w:before="0" w:beforeAutospacing="0" w:after="0" w:afterAutospacing="0"/>
                    <w:ind w:left="0" w:right="0" w:firstLine="420" w:firstLineChars="200"/>
                    <w:jc w:val="left"/>
                    <w:textAlignment w:val="auto"/>
                    <w:rPr>
                      <w:szCs w:val="21"/>
                    </w:rPr>
                  </w:pPr>
                  <w:r>
                    <w:rPr>
                      <w:rFonts w:hint="eastAsia"/>
                      <w:szCs w:val="21"/>
                    </w:rPr>
                    <w:t>本</w:t>
                  </w:r>
                  <w:r>
                    <w:rPr>
                      <w:szCs w:val="21"/>
                    </w:rPr>
                    <w:t>项目不属于禁止建设项目</w:t>
                  </w:r>
                </w:p>
              </w:tc>
              <w:tc>
                <w:tcPr>
                  <w:tcW w:w="502" w:type="pct"/>
                  <w:vAlign w:val="center"/>
                </w:tcPr>
                <w:p>
                  <w:pPr>
                    <w:keepNext w:val="0"/>
                    <w:keepLines w:val="0"/>
                    <w:suppressLineNumbers w:val="0"/>
                    <w:autoSpaceDE w:val="0"/>
                    <w:autoSpaceDN w:val="0"/>
                    <w:adjustRightInd w:val="0"/>
                    <w:snapToGrid w:val="0"/>
                    <w:spacing w:before="0" w:beforeAutospacing="0" w:after="0" w:afterAutospacing="0"/>
                    <w:ind w:left="0" w:right="0"/>
                    <w:jc w:val="center"/>
                    <w:rPr>
                      <w:szCs w:val="21"/>
                    </w:rPr>
                  </w:pPr>
                  <w:r>
                    <w:rPr>
                      <w:szCs w:val="21"/>
                    </w:rPr>
                    <w:t>符合</w:t>
                  </w:r>
                </w:p>
              </w:tc>
            </w:tr>
          </w:tbl>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bCs/>
                <w:sz w:val="24"/>
              </w:rPr>
            </w:pPr>
            <w:r>
              <w:rPr>
                <w:rFonts w:hint="eastAsia"/>
                <w:b/>
                <w:bCs/>
                <w:sz w:val="24"/>
              </w:rPr>
              <w:t>（2）</w:t>
            </w:r>
            <w:r>
              <w:rPr>
                <w:b/>
                <w:bCs/>
                <w:sz w:val="24"/>
              </w:rPr>
              <w:t>与《关于加强高耗能、高排放建设项目生态环境源头防控的指导意见》（环环评【2021】45号）相符性分析</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sz w:val="24"/>
              </w:rPr>
            </w:pPr>
            <w:r>
              <w:rPr>
                <w:sz w:val="24"/>
              </w:rPr>
              <w:t>二、严格“两高”项目环评审批</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sz w:val="24"/>
              </w:rPr>
            </w:pPr>
            <w:r>
              <w:rPr>
                <w:sz w:val="24"/>
              </w:rPr>
              <w:t>（三）严把建设项目环境准入关。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关，对于不符合相关法律法规的，依法不予审批。</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sz w:val="24"/>
              </w:rPr>
            </w:pPr>
            <w:r>
              <w:rPr>
                <w:sz w:val="24"/>
              </w:rPr>
              <w:t>本项目</w:t>
            </w:r>
            <w:r>
              <w:rPr>
                <w:rFonts w:hint="eastAsia"/>
                <w:sz w:val="24"/>
                <w:lang w:eastAsia="zh-CN"/>
              </w:rPr>
              <w:t>建设性质为迁建，</w:t>
            </w:r>
            <w:r>
              <w:rPr>
                <w:sz w:val="24"/>
              </w:rPr>
              <w:t>主要从事</w:t>
            </w:r>
            <w:r>
              <w:rPr>
                <w:rFonts w:hint="eastAsia"/>
                <w:sz w:val="24"/>
              </w:rPr>
              <w:t>电机铁芯和电机机壳</w:t>
            </w:r>
            <w:r>
              <w:rPr>
                <w:sz w:val="24"/>
              </w:rPr>
              <w:t>制造</w:t>
            </w:r>
            <w:r>
              <w:rPr>
                <w:rFonts w:hint="eastAsia"/>
                <w:sz w:val="24"/>
              </w:rPr>
              <w:t>，不属于“两高”项目</w:t>
            </w:r>
            <w:r>
              <w:rPr>
                <w:sz w:val="24"/>
              </w:rPr>
              <w:t>，不属于上述管控行业，与《关于加强高耗能、高排放建设项目生态环境源头防控的指导意见》相符。</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rPr>
                <w:b/>
                <w:bCs/>
                <w:sz w:val="24"/>
              </w:rPr>
            </w:pPr>
            <w:r>
              <w:rPr>
                <w:rFonts w:hint="eastAsia"/>
                <w:b/>
                <w:bCs/>
                <w:sz w:val="24"/>
              </w:rPr>
              <w:t>（3）</w:t>
            </w:r>
            <w:r>
              <w:rPr>
                <w:b/>
                <w:bCs/>
                <w:sz w:val="24"/>
              </w:rPr>
              <w:t>根据《市生态环境局关于建设项目的审批指导意见（试行）》（常州市生态环境局，2021年4月7日）分析</w:t>
            </w:r>
          </w:p>
          <w:p>
            <w:pPr>
              <w:keepNext w:val="0"/>
              <w:keepLines w:val="0"/>
              <w:suppressLineNumbers w:val="0"/>
              <w:snapToGrid w:val="0"/>
              <w:spacing w:before="0" w:beforeAutospacing="0" w:after="0" w:afterAutospacing="0" w:line="360" w:lineRule="auto"/>
              <w:ind w:left="0" w:right="0" w:firstLine="480" w:firstLineChars="200"/>
              <w:rPr>
                <w:sz w:val="24"/>
                <w:highlight w:val="yellow"/>
              </w:rPr>
            </w:pPr>
            <w:r>
              <w:rPr>
                <w:sz w:val="24"/>
              </w:rPr>
              <w:t>本项目位于江苏省常州市武进区洛阳镇新科西路21号，对照常州市大气质量国控站点，</w:t>
            </w:r>
            <w:r>
              <w:rPr>
                <w:rFonts w:hint="eastAsia"/>
                <w:bCs/>
                <w:sz w:val="24"/>
              </w:rPr>
              <w:t>常州市武进生态环境局位于本项目西北侧13.5km，星韵学校位于本项目西北侧20.5km</w:t>
            </w:r>
            <w:r>
              <w:rPr>
                <w:sz w:val="24"/>
              </w:rPr>
              <w:t>；本项目从事</w:t>
            </w:r>
            <w:r>
              <w:rPr>
                <w:rFonts w:hint="eastAsia"/>
                <w:sz w:val="24"/>
              </w:rPr>
              <w:t>电机铁芯和电机机壳</w:t>
            </w:r>
            <w:r>
              <w:rPr>
                <w:sz w:val="24"/>
              </w:rPr>
              <w:t>制造，不属于高能耗项目。</w:t>
            </w:r>
          </w:p>
          <w:p>
            <w:pPr>
              <w:keepNext w:val="0"/>
              <w:keepLines w:val="0"/>
              <w:suppressLineNumbers w:val="0"/>
              <w:autoSpaceDE w:val="0"/>
              <w:autoSpaceDN w:val="0"/>
              <w:adjustRightInd w:val="0"/>
              <w:snapToGrid w:val="0"/>
              <w:spacing w:before="0" w:beforeAutospacing="0" w:after="0" w:afterAutospacing="0" w:line="360" w:lineRule="auto"/>
              <w:ind w:left="0" w:right="0" w:firstLine="482" w:firstLineChars="200"/>
              <w:jc w:val="left"/>
              <w:rPr>
                <w:b/>
                <w:bCs/>
                <w:sz w:val="24"/>
              </w:rPr>
            </w:pPr>
            <w:r>
              <w:rPr>
                <w:b/>
                <w:bCs/>
                <w:sz w:val="24"/>
              </w:rPr>
              <w:t>（</w:t>
            </w:r>
            <w:r>
              <w:rPr>
                <w:rFonts w:hint="eastAsia"/>
                <w:b/>
                <w:bCs/>
                <w:sz w:val="24"/>
              </w:rPr>
              <w:t>4</w:t>
            </w:r>
            <w:r>
              <w:rPr>
                <w:b/>
                <w:bCs/>
                <w:sz w:val="24"/>
              </w:rPr>
              <w:t>）《长江经济带发展负面清单指南</w:t>
            </w:r>
            <w:r>
              <w:rPr>
                <w:rFonts w:hint="eastAsia"/>
                <w:b/>
                <w:bCs/>
                <w:sz w:val="24"/>
                <w:lang w:eastAsia="zh-CN"/>
              </w:rPr>
              <w:t>－</w:t>
            </w:r>
            <w:r>
              <w:rPr>
                <w:b/>
                <w:bCs/>
                <w:sz w:val="24"/>
              </w:rPr>
              <w:t>江苏省实施细则（试行）》（苏长江办发〔2019〕136号）相符性分析</w:t>
            </w:r>
          </w:p>
          <w:p>
            <w:pPr>
              <w:pStyle w:val="2"/>
              <w:keepNext w:val="0"/>
              <w:keepLines w:val="0"/>
              <w:suppressLineNumbers w:val="0"/>
              <w:spacing w:before="0" w:beforeAutospacing="0" w:after="0" w:afterAutospacing="0"/>
              <w:ind w:left="0" w:leftChars="0" w:right="0" w:rightChars="0"/>
              <w:jc w:val="center"/>
              <w:rPr>
                <w:rFonts w:ascii="Times New Roman" w:hAnsi="Times New Roman"/>
                <w:b/>
                <w:bCs/>
                <w:sz w:val="24"/>
                <w:szCs w:val="24"/>
              </w:rPr>
            </w:pPr>
          </w:p>
          <w:p>
            <w:pPr>
              <w:pStyle w:val="2"/>
              <w:keepNext w:val="0"/>
              <w:keepLines w:val="0"/>
              <w:suppressLineNumbers w:val="0"/>
              <w:spacing w:before="0" w:beforeAutospacing="0" w:after="0" w:afterAutospacing="0"/>
              <w:ind w:left="0" w:leftChars="0" w:right="0" w:rightChars="0"/>
              <w:jc w:val="center"/>
              <w:rPr>
                <w:rFonts w:ascii="Times New Roman" w:hAnsi="Times New Roman"/>
                <w:b/>
                <w:bCs/>
                <w:sz w:val="24"/>
                <w:szCs w:val="24"/>
              </w:rPr>
            </w:pPr>
            <w:r>
              <w:rPr>
                <w:rFonts w:ascii="Times New Roman" w:hAnsi="Times New Roman"/>
                <w:b/>
                <w:bCs/>
                <w:sz w:val="24"/>
                <w:szCs w:val="24"/>
              </w:rPr>
              <w:t>表1-</w:t>
            </w:r>
            <w:r>
              <w:rPr>
                <w:rFonts w:hint="eastAsia" w:ascii="Times New Roman" w:hAnsi="Times New Roman"/>
                <w:b/>
                <w:bCs/>
                <w:sz w:val="24"/>
                <w:szCs w:val="24"/>
              </w:rPr>
              <w:t>14</w:t>
            </w:r>
            <w:r>
              <w:rPr>
                <w:rFonts w:ascii="Times New Roman" w:hAnsi="Times New Roman"/>
                <w:b/>
                <w:bCs/>
                <w:sz w:val="24"/>
                <w:szCs w:val="24"/>
              </w:rPr>
              <w:t xml:space="preserve"> </w:t>
            </w:r>
            <w:r>
              <w:rPr>
                <w:rFonts w:hint="eastAsia" w:ascii="Times New Roman" w:hAnsi="Times New Roman"/>
                <w:b/>
                <w:bCs/>
                <w:sz w:val="24"/>
                <w:szCs w:val="24"/>
              </w:rPr>
              <w:t>与</w:t>
            </w:r>
            <w:r>
              <w:rPr>
                <w:rFonts w:ascii="Times New Roman" w:hAnsi="Times New Roman"/>
                <w:b/>
                <w:bCs/>
                <w:sz w:val="24"/>
                <w:szCs w:val="24"/>
              </w:rPr>
              <w:t>苏长江办发〔2019〕136号相符性分析</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62"/>
              <w:gridCol w:w="2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5" w:type="pct"/>
                  <w:vAlign w:val="center"/>
                </w:tcPr>
                <w:p>
                  <w:pPr>
                    <w:keepNext w:val="0"/>
                    <w:keepLines w:val="0"/>
                    <w:suppressLineNumbers w:val="0"/>
                    <w:spacing w:before="0" w:beforeAutospacing="0" w:after="0" w:afterAutospacing="0"/>
                    <w:ind w:left="0" w:right="0"/>
                    <w:jc w:val="center"/>
                    <w:rPr>
                      <w:b/>
                    </w:rPr>
                  </w:pPr>
                  <w:r>
                    <w:rPr>
                      <w:b/>
                    </w:rPr>
                    <w:t>要求</w:t>
                  </w:r>
                </w:p>
              </w:tc>
              <w:tc>
                <w:tcPr>
                  <w:tcW w:w="1225" w:type="pct"/>
                  <w:vAlign w:val="center"/>
                </w:tcPr>
                <w:p>
                  <w:pPr>
                    <w:keepNext w:val="0"/>
                    <w:keepLines w:val="0"/>
                    <w:suppressLineNumbers w:val="0"/>
                    <w:spacing w:before="0" w:beforeAutospacing="0" w:after="0" w:afterAutospacing="0"/>
                    <w:ind w:left="0" w:right="0"/>
                    <w:jc w:val="center"/>
                    <w:rPr>
                      <w:b/>
                    </w:rPr>
                  </w:pPr>
                  <w:r>
                    <w:rPr>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1）禁止建设不符合全国和省级港口布局规划以及港口</w:t>
                  </w:r>
                  <w:r>
                    <w:rPr>
                      <w:rFonts w:hint="eastAsia"/>
                      <w:lang w:eastAsia="zh-CN"/>
                    </w:rPr>
                    <w:t>总体规划</w:t>
                  </w:r>
                  <w:r>
                    <w:t>的码头项目，禁止建设不符合《长江干线过江通道布局规划》的过长江通道项目。</w:t>
                  </w:r>
                </w:p>
              </w:tc>
              <w:tc>
                <w:tcPr>
                  <w:tcW w:w="1225" w:type="pct"/>
                  <w:vAlign w:val="center"/>
                </w:tcPr>
                <w:p>
                  <w:pPr>
                    <w:keepNext w:val="0"/>
                    <w:keepLines w:val="0"/>
                    <w:suppressLineNumbers w:val="0"/>
                    <w:spacing w:before="0" w:beforeAutospacing="0" w:after="0" w:afterAutospacing="0"/>
                    <w:ind w:left="0" w:right="0" w:firstLine="420" w:firstLineChars="200"/>
                    <w:jc w:val="left"/>
                  </w:pPr>
                  <w:r>
                    <w:t>本项目不属于码头和通道项目。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2）禁止在自然保护区核心区、缓冲区的岸线和河段范围内投资建设旅游和生产经营项目。禁止在风景名胜区核心景区的岸线和河段范围内投资建设与风景名胜资源保护无关的项目。</w:t>
                  </w:r>
                </w:p>
              </w:tc>
              <w:tc>
                <w:tcPr>
                  <w:tcW w:w="1225" w:type="pct"/>
                  <w:vMerge w:val="restart"/>
                  <w:vAlign w:val="center"/>
                </w:tcPr>
                <w:p>
                  <w:pPr>
                    <w:keepNext w:val="0"/>
                    <w:keepLines w:val="0"/>
                    <w:suppressLineNumbers w:val="0"/>
                    <w:spacing w:before="0" w:beforeAutospacing="0" w:after="0" w:afterAutospacing="0"/>
                    <w:ind w:left="0" w:right="0" w:firstLine="420" w:firstLineChars="200"/>
                    <w:jc w:val="left"/>
                  </w:pPr>
                  <w:r>
                    <w:rPr>
                      <w:szCs w:val="21"/>
                    </w:rPr>
                    <w:t>本项目不属于</w:t>
                  </w:r>
                  <w:r>
                    <w:t>上述区域范围内。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225" w:type="pct"/>
                  <w:vMerge w:val="continue"/>
                  <w:vAlign w:val="center"/>
                </w:tcPr>
                <w:p>
                  <w:pPr>
                    <w:keepNext w:val="0"/>
                    <w:keepLines w:val="0"/>
                    <w:suppressLineNumbers w:val="0"/>
                    <w:spacing w:before="0" w:beforeAutospacing="0" w:after="0" w:afterAutospacing="0"/>
                    <w:ind w:left="0" w:right="0"/>
                    <w:jc w:val="left"/>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4）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1225" w:type="pct"/>
                  <w:vMerge w:val="continue"/>
                  <w:vAlign w:val="center"/>
                </w:tcPr>
                <w:p>
                  <w:pPr>
                    <w:keepNext w:val="0"/>
                    <w:keepLines w:val="0"/>
                    <w:suppressLineNumbers w:val="0"/>
                    <w:spacing w:before="0" w:beforeAutospacing="0" w:after="0" w:afterAutospacing="0"/>
                    <w:ind w:left="0" w:right="0" w:firstLine="420" w:firstLineChars="200"/>
                    <w:jc w:val="left"/>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5）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1225" w:type="pct"/>
                  <w:vAlign w:val="center"/>
                </w:tcPr>
                <w:p>
                  <w:pPr>
                    <w:keepNext w:val="0"/>
                    <w:keepLines w:val="0"/>
                    <w:suppressLineNumbers w:val="0"/>
                    <w:spacing w:before="0" w:beforeAutospacing="0" w:after="0" w:afterAutospacing="0"/>
                    <w:ind w:left="0" w:right="0" w:firstLine="420" w:firstLineChars="200"/>
                    <w:jc w:val="left"/>
                  </w:pPr>
                  <w:r>
                    <w:t>本项目不属于划定的岸线保护区、河段保护区、保留区内。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6）禁止在生态保护红线和永久基本农田范围内投资建设除国家重大战略资源勘查项目、生态保护修复和环境治理项目、重大基础设施项目、军事国防项目以及农牧民基本生产生活等必要的民生项目以外的项目。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1225" w:type="pct"/>
                  <w:vAlign w:val="center"/>
                </w:tcPr>
                <w:p>
                  <w:pPr>
                    <w:keepNext w:val="0"/>
                    <w:keepLines w:val="0"/>
                    <w:suppressLineNumbers w:val="0"/>
                    <w:spacing w:before="0" w:beforeAutospacing="0" w:after="0" w:afterAutospacing="0"/>
                    <w:ind w:left="0" w:right="0" w:firstLine="420" w:firstLineChars="200"/>
                    <w:jc w:val="left"/>
                  </w:pPr>
                  <w:r>
                    <w:t>本项目不在生态保护红线和永久基本农田范围内。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7）禁止在长江干支流1公里范围内新建、扩建化工园区和化工项目。禁止在合规园区外新建、扩建钢铁、石化、化工、焦化、建材、有色等高污染项目。</w:t>
                  </w:r>
                </w:p>
              </w:tc>
              <w:tc>
                <w:tcPr>
                  <w:tcW w:w="1225" w:type="pct"/>
                  <w:vAlign w:val="center"/>
                </w:tcPr>
                <w:p>
                  <w:pPr>
                    <w:keepNext w:val="0"/>
                    <w:keepLines w:val="0"/>
                    <w:suppressLineNumbers w:val="0"/>
                    <w:spacing w:before="0" w:beforeAutospacing="0" w:after="0" w:afterAutospacing="0"/>
                    <w:ind w:left="0" w:right="0" w:firstLine="420" w:firstLineChars="200"/>
                    <w:jc w:val="left"/>
                  </w:pPr>
                  <w:r>
                    <w:t>本项目不在长江干流和主要支流岸线1公里范围内。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8）禁止新建、扩建不符合国家石化、现代煤化工等产业布局规划的项目。</w:t>
                  </w:r>
                </w:p>
              </w:tc>
              <w:tc>
                <w:tcPr>
                  <w:tcW w:w="1225" w:type="pct"/>
                  <w:vMerge w:val="restart"/>
                  <w:vAlign w:val="center"/>
                </w:tcPr>
                <w:p>
                  <w:pPr>
                    <w:keepNext w:val="0"/>
                    <w:keepLines w:val="0"/>
                    <w:suppressLineNumbers w:val="0"/>
                    <w:spacing w:before="0" w:beforeAutospacing="0" w:after="0" w:afterAutospacing="0"/>
                    <w:ind w:left="0" w:right="0" w:firstLine="420" w:firstLineChars="200"/>
                    <w:jc w:val="left"/>
                  </w:pPr>
                  <w:r>
                    <w:t>本项目不属于落后产能和严重过剩产能行业项目。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9）禁止新建、扩建法律法规和相关政策明令禁止的落后产能项目。</w:t>
                  </w:r>
                </w:p>
              </w:tc>
              <w:tc>
                <w:tcPr>
                  <w:tcW w:w="1225" w:type="pct"/>
                  <w:vMerge w:val="continue"/>
                  <w:vAlign w:val="center"/>
                </w:tcPr>
                <w:p>
                  <w:pPr>
                    <w:keepNext w:val="0"/>
                    <w:keepLines w:val="0"/>
                    <w:suppressLineNumbers w:val="0"/>
                    <w:spacing w:before="0" w:beforeAutospacing="0" w:after="0" w:afterAutospacing="0"/>
                    <w:ind w:left="0" w:right="0" w:firstLine="420" w:firstLineChars="20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5" w:type="pct"/>
                  <w:vAlign w:val="center"/>
                </w:tcPr>
                <w:p>
                  <w:pPr>
                    <w:keepNext w:val="0"/>
                    <w:keepLines w:val="0"/>
                    <w:suppressLineNumbers w:val="0"/>
                    <w:spacing w:before="0" w:beforeAutospacing="0" w:after="0" w:afterAutospacing="0"/>
                    <w:ind w:left="0" w:right="0" w:firstLine="420" w:firstLineChars="200"/>
                  </w:pPr>
                  <w:r>
                    <w:t>10）禁止新建、扩建不符合国家产能置换要求的严重过剩产能行业的项目。</w:t>
                  </w:r>
                </w:p>
              </w:tc>
              <w:tc>
                <w:tcPr>
                  <w:tcW w:w="1225" w:type="pct"/>
                  <w:vMerge w:val="continue"/>
                  <w:vAlign w:val="center"/>
                </w:tcPr>
                <w:p>
                  <w:pPr>
                    <w:keepNext w:val="0"/>
                    <w:keepLines w:val="0"/>
                    <w:suppressLineNumbers w:val="0"/>
                    <w:spacing w:before="0" w:beforeAutospacing="0" w:after="0" w:afterAutospacing="0"/>
                    <w:ind w:left="0" w:right="0" w:firstLine="420" w:firstLineChars="200"/>
                  </w:pPr>
                </w:p>
              </w:tc>
            </w:tr>
          </w:tbl>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0" w:leftChars="0" w:firstLine="383" w:firstLineChars="137"/>
              <w:rPr>
                <w:rFonts w:eastAsiaTheme="minorEastAsia"/>
              </w:rPr>
            </w:pPr>
          </w:p>
        </w:tc>
      </w:tr>
    </w:tbl>
    <w:p>
      <w:pPr>
        <w:spacing w:line="360" w:lineRule="auto"/>
        <w:outlineLvl w:val="9"/>
        <w:rPr>
          <w:rFonts w:eastAsia="黑体"/>
          <w:sz w:val="30"/>
        </w:rPr>
        <w:sectPr>
          <w:footerReference r:id="rId6" w:type="default"/>
          <w:pgSz w:w="11906" w:h="16838"/>
          <w:pgMar w:top="1701" w:right="1531" w:bottom="1701" w:left="1531" w:header="851" w:footer="1077" w:gutter="0"/>
          <w:pgNumType w:start="1"/>
          <w:cols w:space="720" w:num="1"/>
          <w:docGrid w:linePitch="312" w:charSpace="0"/>
        </w:sectPr>
      </w:pPr>
    </w:p>
    <w:p>
      <w:pPr>
        <w:pStyle w:val="18"/>
        <w:spacing w:before="0" w:beforeAutospacing="0" w:after="0" w:afterAutospacing="0"/>
        <w:jc w:val="center"/>
        <w:outlineLvl w:val="0"/>
        <w:rPr>
          <w:rFonts w:ascii="黑体" w:hAnsi="黑体" w:eastAsia="黑体"/>
          <w:snapToGrid w:val="0"/>
          <w:sz w:val="30"/>
          <w:szCs w:val="30"/>
        </w:rPr>
      </w:pPr>
      <w:bookmarkStart w:id="3" w:name="_Toc28123"/>
      <w:r>
        <w:rPr>
          <w:rFonts w:hint="eastAsia" w:ascii="黑体" w:hAnsi="黑体" w:eastAsia="黑体"/>
          <w:snapToGrid w:val="0"/>
          <w:sz w:val="30"/>
          <w:szCs w:val="30"/>
        </w:rPr>
        <w:t>二、建设项目工程分析</w:t>
      </w:r>
      <w:bookmarkEnd w:id="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dxa"/>
            <w:vAlign w:val="center"/>
          </w:tcPr>
          <w:p>
            <w:pPr>
              <w:pStyle w:val="18"/>
              <w:keepNext w:val="0"/>
              <w:keepLines w:val="0"/>
              <w:suppressLineNumbers w:val="0"/>
              <w:adjustRightInd w:val="0"/>
              <w:snapToGrid w:val="0"/>
              <w:spacing w:before="0" w:beforeAutospacing="0" w:after="0" w:afterAutospacing="0"/>
              <w:ind w:left="0" w:right="0"/>
              <w:jc w:val="center"/>
              <w:rPr>
                <w:rFonts w:cs="宋体"/>
                <w:sz w:val="21"/>
                <w:szCs w:val="21"/>
              </w:rPr>
            </w:pPr>
            <w:r>
              <w:rPr>
                <w:rFonts w:hint="eastAsia" w:cs="宋体"/>
                <w:sz w:val="21"/>
                <w:szCs w:val="21"/>
              </w:rPr>
              <w:t>建设内容</w:t>
            </w:r>
          </w:p>
        </w:tc>
        <w:tc>
          <w:tcPr>
            <w:tcW w:w="8668" w:type="dxa"/>
          </w:tcPr>
          <w:p>
            <w:pPr>
              <w:keepNext w:val="0"/>
              <w:keepLines w:val="0"/>
              <w:suppressLineNumbers w:val="0"/>
              <w:snapToGrid w:val="0"/>
              <w:spacing w:before="0" w:beforeAutospacing="0" w:after="0" w:afterAutospacing="0" w:line="360" w:lineRule="auto"/>
              <w:ind w:left="0" w:right="0"/>
              <w:rPr>
                <w:b/>
                <w:sz w:val="24"/>
              </w:rPr>
            </w:pPr>
            <w:r>
              <w:rPr>
                <w:b/>
                <w:sz w:val="24"/>
              </w:rPr>
              <w:t>1、项目</w:t>
            </w:r>
            <w:r>
              <w:rPr>
                <w:rFonts w:hint="eastAsia"/>
                <w:b/>
                <w:sz w:val="24"/>
              </w:rPr>
              <w:t>由来</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常州宝捷冲片有限公司成立于2003年09月25日，注册资本1000万元，原</w:t>
            </w:r>
            <w:r>
              <w:rPr>
                <w:rFonts w:hAnsi="宋体"/>
                <w:sz w:val="24"/>
              </w:rPr>
              <w:t>位于常州市东方东路</w:t>
            </w:r>
            <w:r>
              <w:rPr>
                <w:sz w:val="24"/>
              </w:rPr>
              <w:t>161</w:t>
            </w:r>
            <w:r>
              <w:rPr>
                <w:rFonts w:hAnsi="宋体"/>
                <w:sz w:val="24"/>
              </w:rPr>
              <w:t>号，经营范围为：</w:t>
            </w:r>
            <w:r>
              <w:rPr>
                <w:sz w:val="24"/>
              </w:rPr>
              <w:t>金属冲片、橡塑制品的制造、加工及销售；五金、交电的销售；货物进出口业务；铝压铸件的加工及销售；道路普通货物运输。（依法须经批准的项目，经相关部门批准后方可开展经营活动）一般项目：金属材料销售（除依法须经批准的项目外，凭营业执照依法自主开展经营活动）。</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常州宝捷冲片有限公司“新建金属冲片生产厂房项目环境影响评价报告表”于2007年4月9日取得了常州市戚墅堰区环境保护局的环评批复，并于2019年9月3日通过常州市生态环境局环保竣工验收（常环经开验【2019】66号）；“新建金属纵剪及冲压车间项目环境影响报告表”于2015年6月2日取得了常州市戚墅堰区环境保护局的环评批复，批复文号：戚环管表【2015】5号，并于2019年9月3日通过常州市生态环境局环保竣工验收（常环经开验【2019】66号）；“废气治理设施提升改造项目环境影响登记表”于2019年7月1日完成备案，备案号：20193204000100000659；“中小电机铁芯项目环境影响报告表”于2018年1月2日取得了江苏常州经济开发区管理委员会的环评批复，批复文号：常经审建【2017】364号。</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由于</w:t>
            </w:r>
            <w:r>
              <w:rPr>
                <w:rFonts w:hint="eastAsia" w:hAnsi="宋体"/>
                <w:sz w:val="24"/>
                <w:lang w:eastAsia="zh-CN"/>
              </w:rPr>
              <w:t>市场经济发展，</w:t>
            </w:r>
            <w:r>
              <w:rPr>
                <w:rFonts w:hAnsi="宋体"/>
                <w:sz w:val="24"/>
              </w:rPr>
              <w:t>城镇规划</w:t>
            </w:r>
            <w:r>
              <w:rPr>
                <w:rFonts w:hint="eastAsia" w:hAnsi="宋体"/>
                <w:sz w:val="24"/>
                <w:lang w:eastAsia="zh-CN"/>
              </w:rPr>
              <w:t>调整</w:t>
            </w:r>
            <w:r>
              <w:rPr>
                <w:rFonts w:hAnsi="宋体"/>
                <w:sz w:val="24"/>
              </w:rPr>
              <w:t>，企业原厂址拟拆迁，常州宝捷冲片有限公司购买</w:t>
            </w:r>
            <w:r>
              <w:rPr>
                <w:rFonts w:hint="eastAsia" w:hAnsi="宋体"/>
                <w:sz w:val="24"/>
                <w:lang w:eastAsia="zh-CN"/>
              </w:rPr>
              <w:t>常州武进武新资产经营有限公司</w:t>
            </w:r>
            <w:r>
              <w:rPr>
                <w:rFonts w:hAnsi="宋体"/>
                <w:sz w:val="24"/>
              </w:rPr>
              <w:t>存量土地</w:t>
            </w:r>
            <w:r>
              <w:rPr>
                <w:sz w:val="24"/>
              </w:rPr>
              <w:t>68</w:t>
            </w:r>
            <w:r>
              <w:rPr>
                <w:rFonts w:hAnsi="宋体"/>
                <w:sz w:val="24"/>
              </w:rPr>
              <w:t>亩、存量厂房</w:t>
            </w:r>
            <w:r>
              <w:rPr>
                <w:sz w:val="24"/>
              </w:rPr>
              <w:t>26541.73</w:t>
            </w:r>
            <w:r>
              <w:rPr>
                <w:rFonts w:hAnsi="宋体"/>
                <w:sz w:val="24"/>
              </w:rPr>
              <w:t>平方米，并进行厂房改造，拟将生产项目</w:t>
            </w:r>
            <w:r>
              <w:rPr>
                <w:rFonts w:hint="eastAsia" w:hAnsi="宋体"/>
                <w:sz w:val="24"/>
                <w:lang w:eastAsia="zh-CN"/>
              </w:rPr>
              <w:t>整体</w:t>
            </w:r>
            <w:r>
              <w:rPr>
                <w:rFonts w:hAnsi="宋体"/>
                <w:sz w:val="24"/>
              </w:rPr>
              <w:t>搬迁</w:t>
            </w:r>
            <w:r>
              <w:rPr>
                <w:rFonts w:hint="eastAsia" w:hAnsi="宋体"/>
                <w:sz w:val="24"/>
                <w:lang w:eastAsia="zh-CN"/>
              </w:rPr>
              <w:t>至</w:t>
            </w:r>
            <w:r>
              <w:rPr>
                <w:rFonts w:hAnsi="宋体"/>
                <w:sz w:val="24"/>
              </w:rPr>
              <w:t>江苏省常州市武进区洛阳镇新科西路</w:t>
            </w:r>
            <w:r>
              <w:rPr>
                <w:sz w:val="24"/>
              </w:rPr>
              <w:t>21</w:t>
            </w:r>
            <w:r>
              <w:rPr>
                <w:rFonts w:hAnsi="宋体"/>
                <w:sz w:val="24"/>
              </w:rPr>
              <w:t>号。</w:t>
            </w:r>
          </w:p>
          <w:p>
            <w:pPr>
              <w:keepNext w:val="0"/>
              <w:keepLines w:val="0"/>
              <w:suppressLineNumbers w:val="0"/>
              <w:adjustRightInd w:val="0"/>
              <w:snapToGrid w:val="0"/>
              <w:spacing w:before="0" w:beforeAutospacing="0" w:after="0" w:afterAutospacing="0" w:line="360" w:lineRule="auto"/>
              <w:ind w:left="0" w:right="0" w:firstLine="480" w:firstLineChars="200"/>
              <w:rPr>
                <w:rFonts w:hAnsi="宋体"/>
                <w:sz w:val="24"/>
              </w:rPr>
            </w:pPr>
            <w:r>
              <w:rPr>
                <w:rFonts w:hAnsi="宋体"/>
                <w:sz w:val="24"/>
              </w:rPr>
              <w:t>本项目投资</w:t>
            </w:r>
            <w:r>
              <w:rPr>
                <w:sz w:val="24"/>
              </w:rPr>
              <w:t>3</w:t>
            </w:r>
            <w:r>
              <w:rPr>
                <w:rFonts w:hint="eastAsia"/>
                <w:sz w:val="24"/>
              </w:rPr>
              <w:t>05</w:t>
            </w:r>
            <w:r>
              <w:rPr>
                <w:sz w:val="24"/>
              </w:rPr>
              <w:t>00</w:t>
            </w:r>
            <w:r>
              <w:rPr>
                <w:rFonts w:hAnsi="宋体"/>
                <w:sz w:val="24"/>
              </w:rPr>
              <w:t>万元，购置高速冲床、</w:t>
            </w:r>
            <w:r>
              <w:rPr>
                <w:rFonts w:hint="eastAsia" w:hAnsi="宋体"/>
                <w:sz w:val="24"/>
              </w:rPr>
              <w:t>机壳精冲机、液压机、金属纵剪机</w:t>
            </w:r>
            <w:r>
              <w:rPr>
                <w:rFonts w:hAnsi="宋体"/>
                <w:sz w:val="24"/>
              </w:rPr>
              <w:t>等设备</w:t>
            </w:r>
            <w:r>
              <w:rPr>
                <w:sz w:val="24"/>
              </w:rPr>
              <w:t>1</w:t>
            </w:r>
            <w:r>
              <w:rPr>
                <w:rFonts w:hint="eastAsia"/>
                <w:sz w:val="24"/>
              </w:rPr>
              <w:t>03</w:t>
            </w:r>
            <w:r>
              <w:rPr>
                <w:rFonts w:hint="eastAsia"/>
                <w:sz w:val="24"/>
                <w:lang w:val="en-US" w:eastAsia="zh-CN"/>
              </w:rPr>
              <w:t>4</w:t>
            </w:r>
            <w:r>
              <w:rPr>
                <w:rFonts w:hAnsi="宋体"/>
                <w:sz w:val="24"/>
              </w:rPr>
              <w:t>台（套），项目建成后可形成年产电机</w:t>
            </w:r>
            <w:r>
              <w:rPr>
                <w:rFonts w:hint="eastAsia" w:hAnsi="宋体"/>
                <w:sz w:val="24"/>
              </w:rPr>
              <w:t>铁芯</w:t>
            </w:r>
            <w:r>
              <w:rPr>
                <w:sz w:val="24"/>
              </w:rPr>
              <w:t>3000</w:t>
            </w:r>
            <w:r>
              <w:rPr>
                <w:rFonts w:hAnsi="宋体"/>
                <w:sz w:val="24"/>
              </w:rPr>
              <w:t>万套、电机机壳</w:t>
            </w:r>
            <w:r>
              <w:rPr>
                <w:sz w:val="24"/>
              </w:rPr>
              <w:t>2000</w:t>
            </w:r>
            <w:r>
              <w:rPr>
                <w:rFonts w:hAnsi="宋体"/>
                <w:sz w:val="24"/>
              </w:rPr>
              <w:t>万只的生产能力。</w:t>
            </w:r>
            <w:r>
              <w:rPr>
                <w:rFonts w:hint="eastAsia" w:hAnsi="宋体"/>
                <w:sz w:val="24"/>
              </w:rPr>
              <w:t>企业目前处于项目前期准备阶段，预计于</w:t>
            </w:r>
            <w:r>
              <w:rPr>
                <w:rFonts w:hint="eastAsia" w:hAnsi="宋体"/>
                <w:sz w:val="24"/>
                <w:lang w:val="en-US" w:eastAsia="zh-CN"/>
              </w:rPr>
              <w:t>9</w:t>
            </w:r>
            <w:r>
              <w:rPr>
                <w:rFonts w:hint="eastAsia" w:hAnsi="宋体"/>
                <w:sz w:val="24"/>
              </w:rPr>
              <w:t>月可建成投产。</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该项目于</w:t>
            </w:r>
            <w:r>
              <w:rPr>
                <w:sz w:val="24"/>
              </w:rPr>
              <w:t>202</w:t>
            </w:r>
            <w:r>
              <w:rPr>
                <w:rFonts w:hint="eastAsia"/>
                <w:sz w:val="24"/>
              </w:rPr>
              <w:t>2</w:t>
            </w:r>
            <w:r>
              <w:rPr>
                <w:rFonts w:hAnsi="宋体"/>
                <w:sz w:val="24"/>
              </w:rPr>
              <w:t>年</w:t>
            </w:r>
            <w:r>
              <w:rPr>
                <w:rFonts w:hint="eastAsia"/>
                <w:sz w:val="24"/>
              </w:rPr>
              <w:t>3</w:t>
            </w:r>
            <w:r>
              <w:rPr>
                <w:rFonts w:hAnsi="宋体"/>
                <w:sz w:val="24"/>
              </w:rPr>
              <w:t>月</w:t>
            </w:r>
            <w:r>
              <w:rPr>
                <w:rFonts w:hint="eastAsia"/>
                <w:sz w:val="24"/>
              </w:rPr>
              <w:t>4</w:t>
            </w:r>
            <w:r>
              <w:rPr>
                <w:rFonts w:hAnsi="宋体"/>
                <w:sz w:val="24"/>
              </w:rPr>
              <w:t>日取得了常州市武进区行政审批局的项目备案证明，备案证号：武行审备【</w:t>
            </w:r>
            <w:r>
              <w:rPr>
                <w:sz w:val="24"/>
              </w:rPr>
              <w:t>202</w:t>
            </w:r>
            <w:r>
              <w:rPr>
                <w:rFonts w:hint="eastAsia"/>
                <w:sz w:val="24"/>
              </w:rPr>
              <w:t>2</w:t>
            </w:r>
            <w:r>
              <w:rPr>
                <w:rFonts w:hAnsi="宋体"/>
                <w:sz w:val="24"/>
              </w:rPr>
              <w:t>】</w:t>
            </w:r>
            <w:r>
              <w:rPr>
                <w:rFonts w:hint="eastAsia"/>
                <w:sz w:val="24"/>
              </w:rPr>
              <w:t>57</w:t>
            </w:r>
            <w:r>
              <w:rPr>
                <w:rFonts w:hAnsi="宋体"/>
                <w:sz w:val="24"/>
              </w:rPr>
              <w:t>号，项目代码：</w:t>
            </w:r>
            <w:r>
              <w:rPr>
                <w:sz w:val="24"/>
              </w:rPr>
              <w:t>2</w:t>
            </w:r>
            <w:r>
              <w:rPr>
                <w:rFonts w:hint="eastAsia"/>
                <w:sz w:val="24"/>
              </w:rPr>
              <w:t>203</w:t>
            </w:r>
            <w:r>
              <w:rPr>
                <w:sz w:val="24"/>
              </w:rPr>
              <w:t>-320412-89-01-</w:t>
            </w:r>
            <w:r>
              <w:rPr>
                <w:rFonts w:hint="eastAsia"/>
                <w:sz w:val="24"/>
              </w:rPr>
              <w:t>219787</w:t>
            </w:r>
            <w:r>
              <w:rPr>
                <w:rFonts w:hAnsi="宋体"/>
                <w:sz w:val="24"/>
              </w:rPr>
              <w:t>。</w:t>
            </w:r>
          </w:p>
          <w:p>
            <w:pPr>
              <w:pStyle w:val="27"/>
              <w:keepNext w:val="0"/>
              <w:keepLines w:val="0"/>
              <w:suppressLineNumbers w:val="0"/>
              <w:spacing w:before="0" w:beforeAutospacing="0" w:after="0" w:afterAutospacing="0" w:line="360" w:lineRule="auto"/>
              <w:ind w:left="0" w:leftChars="0" w:right="0" w:firstLine="480"/>
              <w:rPr>
                <w:rFonts w:ascii="Times New Roman" w:hAnsi="Times New Roman" w:eastAsia="宋体"/>
                <w:sz w:val="24"/>
              </w:rPr>
            </w:pPr>
            <w:r>
              <w:rPr>
                <w:rFonts w:ascii="Times New Roman" w:eastAsia="宋体"/>
                <w:sz w:val="24"/>
              </w:rPr>
              <w:t>根据《中华人民共和国环境保护法》（</w:t>
            </w:r>
            <w:r>
              <w:rPr>
                <w:rFonts w:ascii="Times New Roman" w:hAnsi="Times New Roman" w:eastAsia="宋体"/>
                <w:sz w:val="24"/>
              </w:rPr>
              <w:t>2014</w:t>
            </w:r>
            <w:r>
              <w:rPr>
                <w:rFonts w:ascii="Times New Roman" w:eastAsia="宋体"/>
                <w:sz w:val="24"/>
              </w:rPr>
              <w:t>年修订）、《中华人民共和国环境影响评价法》（</w:t>
            </w:r>
            <w:r>
              <w:rPr>
                <w:rFonts w:ascii="Times New Roman" w:hAnsi="Times New Roman" w:eastAsia="宋体"/>
                <w:sz w:val="24"/>
              </w:rPr>
              <w:t>2018</w:t>
            </w:r>
            <w:r>
              <w:rPr>
                <w:rFonts w:ascii="Times New Roman" w:eastAsia="宋体"/>
                <w:sz w:val="24"/>
              </w:rPr>
              <w:t>年修订）和《建设项目环境影响评价分类管理名录》（</w:t>
            </w:r>
            <w:r>
              <w:rPr>
                <w:rFonts w:ascii="Times New Roman" w:hAnsi="Times New Roman" w:eastAsia="宋体"/>
                <w:sz w:val="24"/>
              </w:rPr>
              <w:t>2021</w:t>
            </w:r>
            <w:r>
              <w:rPr>
                <w:rFonts w:ascii="Times New Roman" w:eastAsia="宋体"/>
                <w:sz w:val="24"/>
              </w:rPr>
              <w:t>年）的有关规定，本项目应进行环境影响评价。根据《建设项目环境影响评价分类管理名录》（</w:t>
            </w:r>
            <w:r>
              <w:rPr>
                <w:rFonts w:ascii="Times New Roman" w:hAnsi="Times New Roman" w:eastAsia="宋体"/>
                <w:sz w:val="24"/>
              </w:rPr>
              <w:t>2021</w:t>
            </w:r>
            <w:r>
              <w:rPr>
                <w:rFonts w:ascii="Times New Roman" w:eastAsia="宋体"/>
                <w:sz w:val="24"/>
              </w:rPr>
              <w:t>年）相关规定，本项目归于</w:t>
            </w:r>
            <w:r>
              <w:rPr>
                <w:rFonts w:ascii="Times New Roman" w:hAnsi="Times New Roman" w:eastAsia="宋体"/>
                <w:sz w:val="24"/>
              </w:rPr>
              <w:t>“</w:t>
            </w:r>
            <w:r>
              <w:rPr>
                <w:rFonts w:ascii="Times New Roman" w:eastAsia="宋体"/>
                <w:sz w:val="24"/>
              </w:rPr>
              <w:t>三十五、电气机械和器材制造业</w:t>
            </w:r>
            <w:r>
              <w:rPr>
                <w:rFonts w:ascii="Times New Roman" w:hAnsi="Times New Roman" w:eastAsia="宋体"/>
                <w:sz w:val="24"/>
              </w:rPr>
              <w:t>”</w:t>
            </w:r>
            <w:r>
              <w:rPr>
                <w:rFonts w:ascii="Times New Roman" w:eastAsia="宋体"/>
                <w:sz w:val="24"/>
              </w:rPr>
              <w:t>大类中的</w:t>
            </w:r>
            <w:r>
              <w:rPr>
                <w:rFonts w:ascii="Times New Roman" w:hAnsi="Times New Roman" w:eastAsia="宋体"/>
                <w:sz w:val="24"/>
              </w:rPr>
              <w:t>“77</w:t>
            </w:r>
            <w:r>
              <w:rPr>
                <w:rFonts w:ascii="Times New Roman" w:eastAsia="宋体"/>
                <w:sz w:val="24"/>
              </w:rPr>
              <w:t>电机制造</w:t>
            </w:r>
            <w:r>
              <w:rPr>
                <w:rFonts w:ascii="Times New Roman" w:hAnsi="Times New Roman" w:eastAsia="宋体"/>
                <w:sz w:val="24"/>
              </w:rPr>
              <w:t>381</w:t>
            </w:r>
            <w:r>
              <w:rPr>
                <w:rFonts w:hint="eastAsia" w:ascii="Times New Roman" w:hAnsi="Times New Roman" w:eastAsia="宋体"/>
                <w:sz w:val="24"/>
              </w:rPr>
              <w:t>”</w:t>
            </w:r>
            <w:r>
              <w:rPr>
                <w:rFonts w:ascii="Times New Roman" w:eastAsia="宋体"/>
                <w:sz w:val="24"/>
              </w:rPr>
              <w:t>中</w:t>
            </w:r>
            <w:r>
              <w:rPr>
                <w:rFonts w:hint="eastAsia" w:ascii="Times New Roman" w:eastAsia="宋体"/>
                <w:sz w:val="24"/>
              </w:rPr>
              <w:t>“</w:t>
            </w:r>
            <w:r>
              <w:rPr>
                <w:rFonts w:ascii="Times New Roman" w:eastAsia="宋体"/>
                <w:sz w:val="24"/>
              </w:rPr>
              <w:t>其他（仅分割、焊接、组装的除外；年用非溶剂型低</w:t>
            </w:r>
            <w:r>
              <w:rPr>
                <w:rFonts w:ascii="Times New Roman" w:hAnsi="Times New Roman" w:eastAsia="宋体"/>
                <w:sz w:val="24"/>
              </w:rPr>
              <w:t>VOCs</w:t>
            </w:r>
            <w:r>
              <w:rPr>
                <w:rFonts w:ascii="Times New Roman" w:eastAsia="宋体"/>
                <w:sz w:val="24"/>
              </w:rPr>
              <w:t>含量涂料</w:t>
            </w:r>
            <w:r>
              <w:rPr>
                <w:rFonts w:ascii="Times New Roman" w:hAnsi="Times New Roman" w:eastAsia="宋体"/>
                <w:sz w:val="24"/>
              </w:rPr>
              <w:t>10</w:t>
            </w:r>
            <w:r>
              <w:rPr>
                <w:rFonts w:ascii="Times New Roman" w:eastAsia="宋体"/>
                <w:sz w:val="24"/>
              </w:rPr>
              <w:t>吨以下的除外）</w:t>
            </w:r>
            <w:r>
              <w:rPr>
                <w:rFonts w:ascii="Times New Roman" w:hAnsi="Times New Roman" w:eastAsia="宋体"/>
                <w:sz w:val="24"/>
              </w:rPr>
              <w:t>”</w:t>
            </w:r>
            <w:r>
              <w:rPr>
                <w:rFonts w:ascii="Times New Roman" w:eastAsia="宋体"/>
                <w:sz w:val="24"/>
              </w:rPr>
              <w:t>类别，应编制环境影响评价报告表。为此，常州宝捷冲片有限公司委托江苏晶昱宝环境科技有限公司承担该项目环境影响评价报告表的编制工作，作为环保审批部门的审批依据。</w:t>
            </w:r>
          </w:p>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2</w:t>
            </w:r>
            <w:r>
              <w:rPr>
                <w:b/>
                <w:sz w:val="24"/>
              </w:rPr>
              <w:t>、</w:t>
            </w:r>
            <w:r>
              <w:rPr>
                <w:rFonts w:hint="eastAsia"/>
                <w:b/>
                <w:sz w:val="24"/>
              </w:rPr>
              <w:t>主体工程</w:t>
            </w:r>
          </w:p>
          <w:p>
            <w:pPr>
              <w:keepNext w:val="0"/>
              <w:keepLines w:val="0"/>
              <w:suppressLineNumbers w:val="0"/>
              <w:spacing w:before="0" w:beforeAutospacing="0" w:after="0" w:afterAutospacing="0"/>
              <w:ind w:left="0" w:right="0"/>
              <w:jc w:val="center"/>
              <w:rPr>
                <w:b/>
                <w:bCs/>
                <w:sz w:val="24"/>
              </w:rPr>
            </w:pPr>
            <w:r>
              <w:rPr>
                <w:rFonts w:hint="eastAsia"/>
                <w:b/>
                <w:bCs/>
                <w:sz w:val="24"/>
              </w:rPr>
              <w:t>表2-1  主体工程一览表</w:t>
            </w:r>
          </w:p>
          <w:tbl>
            <w:tblPr>
              <w:tblStyle w:val="21"/>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227"/>
              <w:gridCol w:w="1630"/>
              <w:gridCol w:w="1788"/>
              <w:gridCol w:w="1050"/>
              <w:gridCol w:w="275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b/>
                      <w:bCs/>
                      <w:szCs w:val="21"/>
                    </w:rPr>
                  </w:pPr>
                  <w:r>
                    <w:rPr>
                      <w:b/>
                      <w:kern w:val="0"/>
                      <w:szCs w:val="21"/>
                    </w:rPr>
                    <w:t>名称</w:t>
                  </w:r>
                </w:p>
              </w:tc>
              <w:tc>
                <w:tcPr>
                  <w:tcW w:w="964" w:type="pct"/>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b/>
                      <w:bCs/>
                      <w:szCs w:val="21"/>
                    </w:rPr>
                  </w:pPr>
                  <w:r>
                    <w:rPr>
                      <w:b/>
                      <w:kern w:val="0"/>
                      <w:szCs w:val="21"/>
                    </w:rPr>
                    <w:t>基底面积</w:t>
                  </w:r>
                  <w:r>
                    <w:rPr>
                      <w:rFonts w:hint="eastAsia"/>
                      <w:b/>
                      <w:kern w:val="0"/>
                      <w:szCs w:val="21"/>
                    </w:rPr>
                    <w:t>/m</w:t>
                  </w:r>
                  <w:r>
                    <w:rPr>
                      <w:b/>
                      <w:kern w:val="0"/>
                      <w:szCs w:val="21"/>
                      <w:vertAlign w:val="superscript"/>
                    </w:rPr>
                    <w:t>2</w:t>
                  </w:r>
                </w:p>
              </w:tc>
              <w:tc>
                <w:tcPr>
                  <w:tcW w:w="1058" w:type="pct"/>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b/>
                      <w:bCs/>
                      <w:szCs w:val="21"/>
                    </w:rPr>
                  </w:pPr>
                  <w:r>
                    <w:rPr>
                      <w:b/>
                      <w:kern w:val="0"/>
                      <w:szCs w:val="21"/>
                    </w:rPr>
                    <w:t>建筑面积</w:t>
                  </w:r>
                  <w:r>
                    <w:rPr>
                      <w:rFonts w:hint="eastAsia"/>
                      <w:b/>
                      <w:kern w:val="0"/>
                      <w:szCs w:val="21"/>
                    </w:rPr>
                    <w:t>/m</w:t>
                  </w:r>
                  <w:r>
                    <w:rPr>
                      <w:b/>
                      <w:kern w:val="0"/>
                      <w:szCs w:val="21"/>
                      <w:vertAlign w:val="superscript"/>
                    </w:rPr>
                    <w:t>2</w:t>
                  </w:r>
                </w:p>
              </w:tc>
              <w:tc>
                <w:tcPr>
                  <w:tcW w:w="621" w:type="pct"/>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b/>
                      <w:kern w:val="0"/>
                      <w:szCs w:val="21"/>
                    </w:rPr>
                  </w:pPr>
                  <w:r>
                    <w:rPr>
                      <w:rFonts w:hint="eastAsia"/>
                      <w:b/>
                      <w:kern w:val="0"/>
                      <w:szCs w:val="21"/>
                    </w:rPr>
                    <w:t>层数</w:t>
                  </w:r>
                </w:p>
              </w:tc>
              <w:tc>
                <w:tcPr>
                  <w:tcW w:w="1631" w:type="pct"/>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sz w:val="22"/>
                      <w:szCs w:val="22"/>
                    </w:rPr>
                  </w:pPr>
                  <w:r>
                    <w:rPr>
                      <w:rFonts w:hint="eastAsia"/>
                      <w:b/>
                      <w:kern w:val="0"/>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vAlign w:val="center"/>
                </w:tcPr>
                <w:p>
                  <w:pPr>
                    <w:pStyle w:val="48"/>
                    <w:keepNext w:val="0"/>
                    <w:keepLines w:val="0"/>
                    <w:suppressLineNumbers w:val="0"/>
                    <w:spacing w:before="8" w:beforeAutospacing="0" w:after="0" w:afterAutospacing="0" w:line="255" w:lineRule="exact"/>
                    <w:ind w:left="133" w:right="120"/>
                    <w:jc w:val="center"/>
                    <w:rPr>
                      <w:rFonts w:ascii="Times New Roman" w:hAnsi="Times New Roman"/>
                      <w:sz w:val="21"/>
                      <w:szCs w:val="21"/>
                    </w:rPr>
                  </w:pPr>
                  <w:r>
                    <w:rPr>
                      <w:rFonts w:hint="eastAsia" w:ascii="Times New Roman" w:hAnsi="Times New Roman"/>
                      <w:sz w:val="21"/>
                      <w:szCs w:val="21"/>
                    </w:rPr>
                    <w:t>生产车间1</w:t>
                  </w:r>
                </w:p>
              </w:tc>
              <w:tc>
                <w:tcPr>
                  <w:tcW w:w="964"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4500</w:t>
                  </w:r>
                </w:p>
              </w:tc>
              <w:tc>
                <w:tcPr>
                  <w:tcW w:w="1058"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4500</w:t>
                  </w:r>
                </w:p>
              </w:tc>
              <w:tc>
                <w:tcPr>
                  <w:tcW w:w="62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1</w:t>
                  </w:r>
                </w:p>
              </w:tc>
              <w:tc>
                <w:tcPr>
                  <w:tcW w:w="163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冲压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vAlign w:val="center"/>
                </w:tcPr>
                <w:p>
                  <w:pPr>
                    <w:pStyle w:val="48"/>
                    <w:keepNext w:val="0"/>
                    <w:keepLines w:val="0"/>
                    <w:suppressLineNumbers w:val="0"/>
                    <w:spacing w:before="8" w:beforeAutospacing="0" w:after="0" w:afterAutospacing="0" w:line="255" w:lineRule="exact"/>
                    <w:ind w:left="133" w:right="120"/>
                    <w:jc w:val="center"/>
                    <w:rPr>
                      <w:rFonts w:ascii="Times New Roman" w:hAnsi="Times New Roman"/>
                      <w:sz w:val="21"/>
                      <w:szCs w:val="21"/>
                    </w:rPr>
                  </w:pPr>
                  <w:r>
                    <w:rPr>
                      <w:rFonts w:hint="eastAsia" w:ascii="Times New Roman" w:hAnsi="Times New Roman"/>
                      <w:sz w:val="21"/>
                      <w:szCs w:val="21"/>
                    </w:rPr>
                    <w:t>生产车间2</w:t>
                  </w:r>
                </w:p>
              </w:tc>
              <w:tc>
                <w:tcPr>
                  <w:tcW w:w="964"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4600</w:t>
                  </w:r>
                </w:p>
              </w:tc>
              <w:tc>
                <w:tcPr>
                  <w:tcW w:w="1058"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6900</w:t>
                  </w:r>
                </w:p>
              </w:tc>
              <w:tc>
                <w:tcPr>
                  <w:tcW w:w="62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1</w:t>
                  </w:r>
                  <w:r>
                    <w:rPr>
                      <w:szCs w:val="21"/>
                    </w:rPr>
                    <w:t>（2）</w:t>
                  </w:r>
                </w:p>
              </w:tc>
              <w:tc>
                <w:tcPr>
                  <w:tcW w:w="163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lang w:eastAsia="zh-CN"/>
                    </w:rPr>
                    <w:t>闲置</w:t>
                  </w:r>
                  <w:r>
                    <w:rPr>
                      <w:rFonts w:hint="eastAsia"/>
                      <w:szCs w:val="21"/>
                    </w:rPr>
                    <w:t>，部分区域</w:t>
                  </w:r>
                  <w:r>
                    <w:rPr>
                      <w:szCs w:val="21"/>
                    </w:rPr>
                    <w:t>为</w:t>
                  </w:r>
                  <w:r>
                    <w:rPr>
                      <w:rFonts w:hint="eastAsia"/>
                      <w:szCs w:val="21"/>
                    </w:rPr>
                    <w:t>一</w:t>
                  </w:r>
                  <w:r>
                    <w:rPr>
                      <w:szCs w:val="21"/>
                    </w:rPr>
                    <w:t>层，部分为</w:t>
                  </w:r>
                  <w:r>
                    <w:rPr>
                      <w:rFonts w:hint="eastAsia"/>
                      <w:szCs w:val="21"/>
                    </w:rPr>
                    <w:t>二</w:t>
                  </w:r>
                  <w:r>
                    <w:rPr>
                      <w:szCs w:val="21"/>
                    </w:rPr>
                    <w:t>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vAlign w:val="center"/>
                </w:tcPr>
                <w:p>
                  <w:pPr>
                    <w:pStyle w:val="48"/>
                    <w:keepNext w:val="0"/>
                    <w:keepLines w:val="0"/>
                    <w:suppressLineNumbers w:val="0"/>
                    <w:spacing w:before="8" w:beforeAutospacing="0" w:after="0" w:afterAutospacing="0" w:line="255" w:lineRule="exact"/>
                    <w:ind w:left="133" w:right="120"/>
                    <w:jc w:val="center"/>
                    <w:rPr>
                      <w:rFonts w:ascii="Times New Roman" w:hAnsi="Times New Roman"/>
                      <w:sz w:val="21"/>
                      <w:szCs w:val="21"/>
                    </w:rPr>
                  </w:pPr>
                  <w:r>
                    <w:rPr>
                      <w:rFonts w:hint="eastAsia" w:ascii="Times New Roman" w:hAnsi="Times New Roman"/>
                      <w:sz w:val="21"/>
                      <w:szCs w:val="21"/>
                    </w:rPr>
                    <w:t>生产车间3</w:t>
                  </w:r>
                </w:p>
              </w:tc>
              <w:tc>
                <w:tcPr>
                  <w:tcW w:w="964"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3500</w:t>
                  </w:r>
                </w:p>
              </w:tc>
              <w:tc>
                <w:tcPr>
                  <w:tcW w:w="1058"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3500</w:t>
                  </w:r>
                </w:p>
              </w:tc>
              <w:tc>
                <w:tcPr>
                  <w:tcW w:w="62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1</w:t>
                  </w:r>
                </w:p>
              </w:tc>
              <w:tc>
                <w:tcPr>
                  <w:tcW w:w="163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冲压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vAlign w:val="center"/>
                </w:tcPr>
                <w:p>
                  <w:pPr>
                    <w:pStyle w:val="48"/>
                    <w:keepNext w:val="0"/>
                    <w:keepLines w:val="0"/>
                    <w:suppressLineNumbers w:val="0"/>
                    <w:spacing w:before="8" w:beforeAutospacing="0" w:after="0" w:afterAutospacing="0" w:line="255" w:lineRule="exact"/>
                    <w:ind w:left="133" w:right="120"/>
                    <w:jc w:val="center"/>
                    <w:rPr>
                      <w:rFonts w:ascii="Times New Roman" w:hAnsi="Times New Roman"/>
                      <w:sz w:val="21"/>
                      <w:szCs w:val="21"/>
                    </w:rPr>
                  </w:pPr>
                  <w:r>
                    <w:rPr>
                      <w:rFonts w:hint="eastAsia" w:ascii="Times New Roman" w:hAnsi="Times New Roman"/>
                      <w:sz w:val="21"/>
                      <w:szCs w:val="21"/>
                    </w:rPr>
                    <w:t>生产车间4</w:t>
                  </w:r>
                </w:p>
              </w:tc>
              <w:tc>
                <w:tcPr>
                  <w:tcW w:w="964"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3750</w:t>
                  </w:r>
                </w:p>
              </w:tc>
              <w:tc>
                <w:tcPr>
                  <w:tcW w:w="1058" w:type="pct"/>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3750</w:t>
                  </w:r>
                </w:p>
              </w:tc>
              <w:tc>
                <w:tcPr>
                  <w:tcW w:w="62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1</w:t>
                  </w:r>
                </w:p>
              </w:tc>
              <w:tc>
                <w:tcPr>
                  <w:tcW w:w="1631" w:type="pct"/>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纵剪、储存</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26" w:type="pct"/>
                  <w:tcBorders>
                    <w:bottom w:val="single" w:color="auto" w:sz="12" w:space="0"/>
                  </w:tcBorders>
                  <w:vAlign w:val="center"/>
                </w:tcPr>
                <w:p>
                  <w:pPr>
                    <w:pStyle w:val="48"/>
                    <w:keepNext w:val="0"/>
                    <w:keepLines w:val="0"/>
                    <w:suppressLineNumbers w:val="0"/>
                    <w:spacing w:before="8" w:beforeAutospacing="0" w:after="0" w:afterAutospacing="0" w:line="255" w:lineRule="exact"/>
                    <w:ind w:left="133" w:right="120"/>
                    <w:jc w:val="center"/>
                    <w:rPr>
                      <w:rFonts w:ascii="Times New Roman" w:hAnsi="Times New Roman"/>
                      <w:sz w:val="21"/>
                      <w:szCs w:val="21"/>
                    </w:rPr>
                  </w:pPr>
                  <w:r>
                    <w:rPr>
                      <w:rFonts w:hint="eastAsia" w:ascii="Times New Roman" w:hAnsi="Times New Roman"/>
                      <w:sz w:val="21"/>
                      <w:szCs w:val="21"/>
                    </w:rPr>
                    <w:t>生产车间5</w:t>
                  </w:r>
                </w:p>
              </w:tc>
              <w:tc>
                <w:tcPr>
                  <w:tcW w:w="964" w:type="pct"/>
                  <w:tcBorders>
                    <w:bottom w:val="single" w:color="auto" w:sz="12" w:space="0"/>
                  </w:tcBorders>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3500</w:t>
                  </w:r>
                </w:p>
              </w:tc>
              <w:tc>
                <w:tcPr>
                  <w:tcW w:w="1058" w:type="pct"/>
                  <w:tcBorders>
                    <w:bottom w:val="single" w:color="auto" w:sz="12" w:space="0"/>
                  </w:tcBorders>
                  <w:vAlign w:val="center"/>
                </w:tcPr>
                <w:p>
                  <w:pPr>
                    <w:pStyle w:val="48"/>
                    <w:keepNext w:val="0"/>
                    <w:keepLines w:val="0"/>
                    <w:suppressLineNumbers w:val="0"/>
                    <w:spacing w:before="15" w:beforeAutospacing="0" w:after="0" w:afterAutospacing="0"/>
                    <w:ind w:left="83" w:right="68"/>
                    <w:jc w:val="center"/>
                    <w:rPr>
                      <w:rFonts w:ascii="Times New Roman" w:hAnsi="Times New Roman"/>
                      <w:sz w:val="21"/>
                      <w:szCs w:val="21"/>
                    </w:rPr>
                  </w:pPr>
                  <w:r>
                    <w:rPr>
                      <w:rFonts w:hint="eastAsia" w:ascii="Times New Roman" w:hAnsi="Times New Roman"/>
                      <w:sz w:val="21"/>
                      <w:szCs w:val="21"/>
                    </w:rPr>
                    <w:t>3500</w:t>
                  </w:r>
                </w:p>
              </w:tc>
              <w:tc>
                <w:tcPr>
                  <w:tcW w:w="621" w:type="pct"/>
                  <w:tcBorders>
                    <w:bottom w:val="single" w:color="auto" w:sz="12" w:space="0"/>
                  </w:tcBorders>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1</w:t>
                  </w:r>
                </w:p>
              </w:tc>
              <w:tc>
                <w:tcPr>
                  <w:tcW w:w="1631" w:type="pct"/>
                  <w:tcBorders>
                    <w:bottom w:val="single" w:color="auto" w:sz="12" w:space="0"/>
                  </w:tcBorders>
                  <w:vAlign w:val="center"/>
                </w:tcPr>
                <w:p>
                  <w:pPr>
                    <w:keepNext w:val="0"/>
                    <w:keepLines w:val="0"/>
                    <w:suppressLineNumbers w:val="0"/>
                    <w:spacing w:before="8" w:beforeAutospacing="0" w:after="0" w:afterAutospacing="0" w:line="255" w:lineRule="exact"/>
                    <w:ind w:left="207" w:right="183"/>
                    <w:jc w:val="center"/>
                    <w:rPr>
                      <w:szCs w:val="21"/>
                    </w:rPr>
                  </w:pPr>
                  <w:r>
                    <w:rPr>
                      <w:rFonts w:hint="eastAsia"/>
                      <w:szCs w:val="21"/>
                    </w:rPr>
                    <w:t>机加工、攻丝加工等，内设涂</w:t>
                  </w:r>
                  <w:r>
                    <w:rPr>
                      <w:rFonts w:hint="eastAsia"/>
                      <w:szCs w:val="21"/>
                      <w:lang w:eastAsia="zh-CN"/>
                    </w:rPr>
                    <w:t>敷</w:t>
                  </w:r>
                  <w:r>
                    <w:rPr>
                      <w:rFonts w:hint="eastAsia"/>
                      <w:szCs w:val="21"/>
                    </w:rPr>
                    <w:t>注塑车间</w:t>
                  </w:r>
                  <w:r>
                    <w:rPr>
                      <w:rFonts w:hint="eastAsia"/>
                      <w:szCs w:val="21"/>
                      <w:lang w:eastAsia="zh-CN"/>
                    </w:rPr>
                    <w:t>（</w:t>
                  </w:r>
                  <w:r>
                    <w:rPr>
                      <w:rFonts w:hint="eastAsia"/>
                      <w:szCs w:val="21"/>
                      <w:lang w:val="en-US" w:eastAsia="zh-CN"/>
                    </w:rPr>
                    <w:t>900m</w:t>
                  </w:r>
                  <w:r>
                    <w:rPr>
                      <w:rFonts w:hint="eastAsia"/>
                      <w:szCs w:val="21"/>
                      <w:vertAlign w:val="superscript"/>
                      <w:lang w:val="en-US" w:eastAsia="zh-CN"/>
                    </w:rPr>
                    <w:t>2</w:t>
                  </w:r>
                  <w:r>
                    <w:rPr>
                      <w:rFonts w:hint="eastAsia"/>
                      <w:szCs w:val="21"/>
                      <w:lang w:eastAsia="zh-CN"/>
                    </w:rPr>
                    <w:t>）</w:t>
                  </w:r>
                  <w:r>
                    <w:rPr>
                      <w:rFonts w:hint="eastAsia"/>
                      <w:szCs w:val="21"/>
                    </w:rPr>
                    <w:t>，主要用于涂</w:t>
                  </w:r>
                  <w:r>
                    <w:rPr>
                      <w:rFonts w:hint="eastAsia"/>
                      <w:szCs w:val="21"/>
                      <w:lang w:eastAsia="zh-CN"/>
                    </w:rPr>
                    <w:t>敷</w:t>
                  </w:r>
                  <w:r>
                    <w:rPr>
                      <w:rFonts w:hint="eastAsia"/>
                      <w:szCs w:val="21"/>
                    </w:rPr>
                    <w:t>固化、注塑成型和焊接</w:t>
                  </w:r>
                </w:p>
              </w:tc>
            </w:tr>
          </w:tbl>
          <w:p>
            <w:pPr>
              <w:keepNext w:val="0"/>
              <w:keepLines w:val="0"/>
              <w:suppressLineNumbers w:val="0"/>
              <w:adjustRightInd w:val="0"/>
              <w:snapToGrid w:val="0"/>
              <w:spacing w:before="0" w:beforeLines="20" w:beforeAutospacing="0" w:after="0" w:afterAutospacing="0" w:line="360" w:lineRule="auto"/>
              <w:ind w:left="0" w:right="0"/>
              <w:rPr>
                <w:b/>
                <w:sz w:val="24"/>
              </w:rPr>
            </w:pPr>
            <w:r>
              <w:rPr>
                <w:rFonts w:hint="eastAsia"/>
                <w:b/>
                <w:sz w:val="24"/>
              </w:rPr>
              <w:t>3</w:t>
            </w:r>
            <w:r>
              <w:rPr>
                <w:b/>
                <w:sz w:val="24"/>
              </w:rPr>
              <w:t>、公</w:t>
            </w:r>
            <w:r>
              <w:rPr>
                <w:rFonts w:hint="eastAsia"/>
                <w:b/>
                <w:sz w:val="24"/>
              </w:rPr>
              <w:t>用、辅助、环保、储运及依托工程概况</w:t>
            </w: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2</w:t>
            </w:r>
            <w:r>
              <w:rPr>
                <w:b/>
                <w:bCs/>
                <w:sz w:val="24"/>
              </w:rPr>
              <w:t>-</w:t>
            </w:r>
            <w:r>
              <w:rPr>
                <w:rFonts w:hint="eastAsia"/>
                <w:b/>
                <w:bCs/>
                <w:sz w:val="24"/>
              </w:rPr>
              <w:t>2</w:t>
            </w:r>
            <w:r>
              <w:rPr>
                <w:b/>
                <w:bCs/>
                <w:sz w:val="24"/>
              </w:rPr>
              <w:t xml:space="preserve"> </w:t>
            </w:r>
            <w:r>
              <w:rPr>
                <w:rFonts w:hint="eastAsia"/>
                <w:b/>
                <w:bCs/>
                <w:sz w:val="24"/>
              </w:rPr>
              <w:t xml:space="preserve"> </w:t>
            </w:r>
            <w:r>
              <w:rPr>
                <w:b/>
                <w:sz w:val="24"/>
              </w:rPr>
              <w:t>公</w:t>
            </w:r>
            <w:r>
              <w:rPr>
                <w:rFonts w:hint="eastAsia"/>
                <w:b/>
                <w:sz w:val="24"/>
              </w:rPr>
              <w:t>用、辅助、环保、储运及依托工程概况</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558"/>
              <w:gridCol w:w="1152"/>
              <w:gridCol w:w="129"/>
              <w:gridCol w:w="783"/>
              <w:gridCol w:w="2782"/>
              <w:gridCol w:w="1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tcBorders>
                    <w:top w:val="single" w:color="auto" w:sz="12" w:space="0"/>
                    <w:left w:val="nil"/>
                    <w:bottom w:val="single" w:color="auto" w:sz="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szCs w:val="21"/>
                    </w:rPr>
                  </w:pPr>
                  <w:r>
                    <w:rPr>
                      <w:b/>
                      <w:bCs/>
                    </w:rPr>
                    <w:t>类别</w:t>
                  </w:r>
                </w:p>
              </w:tc>
              <w:tc>
                <w:tcPr>
                  <w:tcW w:w="921" w:type="pct"/>
                  <w:tcBorders>
                    <w:top w:val="single" w:color="auto" w:sz="12" w:space="0"/>
                    <w:left w:val="single" w:color="auto" w:sz="4" w:space="0"/>
                    <w:bottom w:val="single" w:color="auto" w:sz="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szCs w:val="21"/>
                    </w:rPr>
                  </w:pPr>
                  <w:r>
                    <w:rPr>
                      <w:b/>
                      <w:bCs/>
                    </w:rPr>
                    <w:t>建设名称</w:t>
                  </w:r>
                </w:p>
              </w:tc>
              <w:tc>
                <w:tcPr>
                  <w:tcW w:w="1220" w:type="pct"/>
                  <w:gridSpan w:val="3"/>
                  <w:tcBorders>
                    <w:top w:val="single" w:color="auto" w:sz="12" w:space="0"/>
                    <w:left w:val="single" w:color="auto" w:sz="4" w:space="0"/>
                    <w:bottom w:val="single" w:color="auto" w:sz="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b/>
                      <w:bCs/>
                      <w:szCs w:val="21"/>
                    </w:rPr>
                  </w:pPr>
                  <w:r>
                    <w:rPr>
                      <w:rFonts w:hint="eastAsia"/>
                      <w:b/>
                      <w:bCs/>
                    </w:rPr>
                    <w:t>设计能力</w:t>
                  </w:r>
                </w:p>
              </w:tc>
              <w:tc>
                <w:tcPr>
                  <w:tcW w:w="1645" w:type="pct"/>
                  <w:tcBorders>
                    <w:top w:val="single" w:color="auto" w:sz="12" w:space="0"/>
                    <w:left w:val="single" w:color="auto" w:sz="4" w:space="0"/>
                    <w:bottom w:val="single" w:color="auto" w:sz="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r>
                    <w:rPr>
                      <w:rFonts w:hint="eastAsia"/>
                      <w:b/>
                      <w:bCs/>
                    </w:rPr>
                    <w:t>备注</w:t>
                  </w:r>
                </w:p>
              </w:tc>
              <w:tc>
                <w:tcPr>
                  <w:tcW w:w="789" w:type="pct"/>
                  <w:tcBorders>
                    <w:top w:val="single" w:color="auto" w:sz="12" w:space="0"/>
                    <w:left w:val="single" w:color="auto" w:sz="4" w:space="0"/>
                    <w:bottom w:val="single" w:color="auto" w:sz="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b/>
                      <w:bCs/>
                    </w:rPr>
                  </w:pPr>
                  <w:r>
                    <w:rPr>
                      <w:rFonts w:hint="eastAsia"/>
                      <w:b/>
                      <w:bCs/>
                    </w:rPr>
                    <w:t>依托可行性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restart"/>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rPr>
                    <w:t>公辅</w:t>
                  </w:r>
                </w:p>
                <w:p>
                  <w:pPr>
                    <w:keepNext w:val="0"/>
                    <w:keepLines w:val="0"/>
                    <w:widowControl/>
                    <w:suppressLineNumbers w:val="0"/>
                    <w:adjustRightInd w:val="0"/>
                    <w:snapToGrid w:val="0"/>
                    <w:spacing w:before="0" w:beforeAutospacing="0" w:after="0" w:afterAutospacing="0"/>
                    <w:ind w:left="0" w:right="0"/>
                    <w:jc w:val="center"/>
                    <w:rPr>
                      <w:b/>
                      <w:bCs/>
                    </w:rPr>
                  </w:pPr>
                  <w:r>
                    <w:rPr>
                      <w:rFonts w:hint="eastAsia"/>
                    </w:rPr>
                    <w:t>工程</w:t>
                  </w:r>
                </w:p>
              </w:tc>
              <w:tc>
                <w:tcPr>
                  <w:tcW w:w="921" w:type="pct"/>
                  <w:vMerge w:val="restar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供水</w:t>
                  </w:r>
                </w:p>
              </w:tc>
              <w:tc>
                <w:tcPr>
                  <w:tcW w:w="681" w:type="pct"/>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生活用水</w:t>
                  </w:r>
                </w:p>
              </w:tc>
              <w:tc>
                <w:tcPr>
                  <w:tcW w:w="538" w:type="pct"/>
                  <w:gridSpan w:val="2"/>
                  <w:tcBorders>
                    <w:top w:val="single" w:color="auto" w:sz="2" w:space="0"/>
                    <w:left w:val="single" w:color="auto" w:sz="2"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szCs w:val="21"/>
                    </w:rPr>
                    <w:t>3600</w:t>
                  </w:r>
                  <w:r>
                    <w:rPr>
                      <w:szCs w:val="21"/>
                    </w:rPr>
                    <w:t>t/a</w:t>
                  </w:r>
                </w:p>
              </w:tc>
              <w:tc>
                <w:tcPr>
                  <w:tcW w:w="1645" w:type="pct"/>
                  <w:vMerge w:val="restar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hAnsi="宋体" w:cs="宋体"/>
                      <w:szCs w:val="21"/>
                    </w:rPr>
                    <w:t>依托区域自来水管网提供</w:t>
                  </w:r>
                </w:p>
              </w:tc>
              <w:tc>
                <w:tcPr>
                  <w:tcW w:w="789" w:type="pct"/>
                  <w:vMerge w:val="restar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hAnsi="宋体" w:cs="宋体"/>
                      <w:szCs w:val="21"/>
                    </w:rPr>
                  </w:pPr>
                  <w:r>
                    <w:rPr>
                      <w:rFonts w:hint="eastAsia" w:hAnsi="宋体" w:cs="宋体"/>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p>
              </w:tc>
              <w:tc>
                <w:tcPr>
                  <w:tcW w:w="921" w:type="pct"/>
                  <w:vMerge w:val="continue"/>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681" w:type="pct"/>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食堂用水</w:t>
                  </w:r>
                </w:p>
              </w:tc>
              <w:tc>
                <w:tcPr>
                  <w:tcW w:w="538" w:type="pct"/>
                  <w:gridSpan w:val="2"/>
                  <w:tcBorders>
                    <w:top w:val="single" w:color="auto" w:sz="2" w:space="0"/>
                    <w:left w:val="single" w:color="auto" w:sz="2"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lang w:val="en-US" w:eastAsia="zh-CN"/>
                    </w:rPr>
                    <w:t>720</w:t>
                  </w:r>
                  <w:r>
                    <w:rPr>
                      <w:rFonts w:hint="eastAsia"/>
                      <w:szCs w:val="21"/>
                    </w:rPr>
                    <w:t>t/a</w:t>
                  </w:r>
                </w:p>
              </w:tc>
              <w:tc>
                <w:tcPr>
                  <w:tcW w:w="1645" w:type="pct"/>
                  <w:vMerge w:val="continue"/>
                  <w:tcBorders>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Ansi="宋体" w:cs="宋体"/>
                      <w:szCs w:val="21"/>
                    </w:rPr>
                  </w:pPr>
                </w:p>
              </w:tc>
              <w:tc>
                <w:tcPr>
                  <w:tcW w:w="789" w:type="pct"/>
                  <w:vMerge w:val="continue"/>
                  <w:tcBorders>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Ansi="宋体" w:cs="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681" w:type="pct"/>
                  <w:tcBorders>
                    <w:top w:val="single" w:color="auto" w:sz="2" w:space="0"/>
                    <w:left w:val="single" w:color="auto" w:sz="4" w:space="0"/>
                    <w:bottom w:val="single" w:color="auto" w:sz="2"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生产用水</w:t>
                  </w:r>
                </w:p>
              </w:tc>
              <w:tc>
                <w:tcPr>
                  <w:tcW w:w="538" w:type="pct"/>
                  <w:gridSpan w:val="2"/>
                  <w:tcBorders>
                    <w:top w:val="single" w:color="auto" w:sz="2" w:space="0"/>
                    <w:left w:val="single" w:color="auto" w:sz="2"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w:t>
                  </w:r>
                  <w:r>
                    <w:rPr>
                      <w:rFonts w:hint="eastAsia"/>
                      <w:szCs w:val="21"/>
                      <w:lang w:val="en-US" w:eastAsia="zh-CN"/>
                    </w:rPr>
                    <w:t>05</w:t>
                  </w:r>
                  <w:r>
                    <w:rPr>
                      <w:rFonts w:hint="eastAsia"/>
                      <w:szCs w:val="21"/>
                    </w:rPr>
                    <w:t>t/a</w:t>
                  </w:r>
                </w:p>
              </w:tc>
              <w:tc>
                <w:tcPr>
                  <w:tcW w:w="1645" w:type="pct"/>
                  <w:vMerge w:val="continue"/>
                  <w:tcBorders>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Ansi="宋体" w:cs="宋体"/>
                      <w:szCs w:val="21"/>
                    </w:rPr>
                  </w:pPr>
                </w:p>
              </w:tc>
              <w:tc>
                <w:tcPr>
                  <w:tcW w:w="789" w:type="pct"/>
                  <w:vMerge w:val="continue"/>
                  <w:tcBorders>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Ansi="宋体" w:cs="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vMerge w:val="restar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排水</w:t>
                  </w:r>
                </w:p>
              </w:tc>
              <w:tc>
                <w:tcPr>
                  <w:tcW w:w="681" w:type="pct"/>
                  <w:tcBorders>
                    <w:top w:val="single" w:color="auto" w:sz="2" w:space="0"/>
                    <w:left w:val="single" w:color="auto" w:sz="4"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生活污水</w:t>
                  </w:r>
                </w:p>
              </w:tc>
              <w:tc>
                <w:tcPr>
                  <w:tcW w:w="538" w:type="pct"/>
                  <w:gridSpan w:val="2"/>
                  <w:tcBorders>
                    <w:top w:val="single" w:color="auto" w:sz="2" w:space="0"/>
                    <w:left w:val="single" w:color="auto" w:sz="2" w:space="0"/>
                    <w:right w:val="nil"/>
                  </w:tcBorders>
                  <w:vAlign w:val="center"/>
                </w:tcPr>
                <w:p>
                  <w:pPr>
                    <w:keepNext w:val="0"/>
                    <w:keepLines w:val="0"/>
                    <w:suppressLineNumbers w:val="0"/>
                    <w:adjustRightInd w:val="0"/>
                    <w:snapToGrid w:val="0"/>
                    <w:spacing w:before="0" w:beforeAutospacing="0" w:after="0" w:afterAutospacing="0"/>
                    <w:ind w:left="0" w:right="0"/>
                    <w:jc w:val="center"/>
                    <w:rPr>
                      <w:highlight w:val="yellow"/>
                    </w:rPr>
                  </w:pPr>
                  <w:r>
                    <w:rPr>
                      <w:rFonts w:hint="eastAsia"/>
                      <w:szCs w:val="21"/>
                    </w:rPr>
                    <w:t>2880</w:t>
                  </w:r>
                  <w:r>
                    <w:rPr>
                      <w:szCs w:val="21"/>
                    </w:rPr>
                    <w:t>t/a</w:t>
                  </w:r>
                </w:p>
              </w:tc>
              <w:tc>
                <w:tcPr>
                  <w:tcW w:w="1645" w:type="pct"/>
                  <w:vMerge w:val="restart"/>
                  <w:tcBorders>
                    <w:top w:val="single" w:color="auto" w:sz="2" w:space="0"/>
                    <w:left w:val="single" w:color="auto" w:sz="4" w:space="0"/>
                    <w:right w:val="nil"/>
                  </w:tcBorders>
                  <w:vAlign w:val="center"/>
                </w:tcPr>
                <w:p>
                  <w:pPr>
                    <w:keepNext w:val="0"/>
                    <w:keepLines w:val="0"/>
                    <w:suppressLineNumbers w:val="0"/>
                    <w:spacing w:before="0" w:beforeAutospacing="0" w:after="0" w:afterAutospacing="0"/>
                    <w:ind w:left="0" w:right="0"/>
                    <w:jc w:val="center"/>
                  </w:pPr>
                  <w:r>
                    <w:t>厂区实</w:t>
                  </w:r>
                  <w:r>
                    <w:rPr>
                      <w:rFonts w:ascii="宋体" w:hAnsi="宋体"/>
                    </w:rPr>
                    <w:t>行“雨污分流”</w:t>
                  </w:r>
                  <w:r>
                    <w:t>，</w:t>
                  </w:r>
                  <w:r>
                    <w:rPr>
                      <w:szCs w:val="21"/>
                    </w:rPr>
                    <w:t>食堂废水经隔油池处理后与生活污水接入武南污水处理厂，处理达标后排放</w:t>
                  </w:r>
                  <w:r>
                    <w:rPr>
                      <w:rFonts w:hint="eastAsia"/>
                    </w:rPr>
                    <w:t>，尾水排入武南河</w:t>
                  </w:r>
                  <w:r>
                    <w:t>。</w:t>
                  </w:r>
                  <w:r>
                    <w:rPr>
                      <w:rFonts w:hint="eastAsia"/>
                    </w:rPr>
                    <w:t>依托区域污水管网排放</w:t>
                  </w:r>
                </w:p>
              </w:tc>
              <w:tc>
                <w:tcPr>
                  <w:tcW w:w="789" w:type="pct"/>
                  <w:vMerge w:val="restart"/>
                  <w:tcBorders>
                    <w:top w:val="single" w:color="auto" w:sz="2" w:space="0"/>
                    <w:left w:val="single" w:color="auto" w:sz="4" w:space="0"/>
                    <w:right w:val="nil"/>
                  </w:tcBorders>
                  <w:vAlign w:val="center"/>
                </w:tcPr>
                <w:p>
                  <w:pPr>
                    <w:keepNext w:val="0"/>
                    <w:keepLines w:val="0"/>
                    <w:suppressLineNumbers w:val="0"/>
                    <w:spacing w:before="0" w:beforeAutospacing="0" w:after="0" w:afterAutospacing="0"/>
                    <w:ind w:left="0" w:right="0"/>
                    <w:jc w:val="center"/>
                  </w:pPr>
                  <w:r>
                    <w:rPr>
                      <w:rFonts w:hint="eastAsia"/>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681" w:type="pct"/>
                  <w:tcBorders>
                    <w:top w:val="single" w:color="auto" w:sz="2" w:space="0"/>
                    <w:left w:val="single" w:color="auto" w:sz="4"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食堂废水</w:t>
                  </w:r>
                </w:p>
              </w:tc>
              <w:tc>
                <w:tcPr>
                  <w:tcW w:w="538" w:type="pct"/>
                  <w:gridSpan w:val="2"/>
                  <w:tcBorders>
                    <w:top w:val="single" w:color="auto" w:sz="2" w:space="0"/>
                    <w:left w:val="single" w:color="auto" w:sz="2"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lang w:val="en-US" w:eastAsia="zh-CN"/>
                    </w:rPr>
                    <w:t>576</w:t>
                  </w:r>
                  <w:r>
                    <w:rPr>
                      <w:rFonts w:hint="eastAsia"/>
                      <w:szCs w:val="21"/>
                    </w:rPr>
                    <w:t>t/a</w:t>
                  </w:r>
                </w:p>
              </w:tc>
              <w:tc>
                <w:tcPr>
                  <w:tcW w:w="1645" w:type="pct"/>
                  <w:vMerge w:val="continue"/>
                  <w:tcBorders>
                    <w:left w:val="single" w:color="auto" w:sz="4" w:space="0"/>
                    <w:right w:val="nil"/>
                  </w:tcBorders>
                  <w:vAlign w:val="center"/>
                </w:tcPr>
                <w:p>
                  <w:pPr>
                    <w:keepNext w:val="0"/>
                    <w:keepLines w:val="0"/>
                    <w:suppressLineNumbers w:val="0"/>
                    <w:spacing w:before="0" w:beforeAutospacing="0" w:after="0" w:afterAutospacing="0"/>
                    <w:ind w:left="0" w:right="0"/>
                    <w:jc w:val="center"/>
                  </w:pPr>
                </w:p>
              </w:tc>
              <w:tc>
                <w:tcPr>
                  <w:tcW w:w="789" w:type="pct"/>
                  <w:vMerge w:val="continue"/>
                  <w:tcBorders>
                    <w:left w:val="single" w:color="auto" w:sz="4" w:space="0"/>
                    <w:right w:val="nil"/>
                  </w:tcBorders>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供电</w:t>
                  </w:r>
                </w:p>
              </w:tc>
              <w:tc>
                <w:tcPr>
                  <w:tcW w:w="1220" w:type="pct"/>
                  <w:gridSpan w:val="3"/>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433.30</w:t>
                  </w:r>
                  <w:r>
                    <w:t>万度/年</w:t>
                  </w:r>
                </w:p>
              </w:tc>
              <w:tc>
                <w:tcPr>
                  <w:tcW w:w="1645"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szCs w:val="21"/>
                    </w:rPr>
                    <w:t>区域供电管网统一供给</w:t>
                  </w:r>
                  <w:r>
                    <w:rPr>
                      <w:rFonts w:hint="eastAsia"/>
                      <w:szCs w:val="21"/>
                    </w:rPr>
                    <w:t>，依托区域供电线路</w:t>
                  </w:r>
                </w:p>
              </w:tc>
              <w:tc>
                <w:tcPr>
                  <w:tcW w:w="789"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hAnsi="宋体" w:cs="宋体"/>
                      <w:szCs w:val="21"/>
                    </w:rPr>
                  </w:pPr>
                  <w:r>
                    <w:rPr>
                      <w:rFonts w:hint="eastAsia" w:hAnsi="宋体" w:cs="宋体"/>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restart"/>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ascii="Calibri" w:hAnsi="Calibri"/>
                      <w:szCs w:val="21"/>
                    </w:rPr>
                  </w:pPr>
                  <w:r>
                    <w:rPr>
                      <w:rFonts w:hint="eastAsia" w:ascii="Calibri" w:hAnsi="Calibri"/>
                      <w:szCs w:val="21"/>
                    </w:rPr>
                    <w:t>储运</w:t>
                  </w:r>
                </w:p>
                <w:p>
                  <w:pPr>
                    <w:keepNext w:val="0"/>
                    <w:keepLines w:val="0"/>
                    <w:widowControl/>
                    <w:suppressLineNumbers w:val="0"/>
                    <w:adjustRightInd w:val="0"/>
                    <w:snapToGrid w:val="0"/>
                    <w:spacing w:before="0" w:beforeAutospacing="0" w:after="0" w:afterAutospacing="0"/>
                    <w:ind w:left="0" w:right="0"/>
                    <w:jc w:val="center"/>
                    <w:rPr>
                      <w:rFonts w:ascii="Calibri" w:hAnsi="Calibri"/>
                      <w:szCs w:val="21"/>
                    </w:rPr>
                  </w:pPr>
                  <w:r>
                    <w:rPr>
                      <w:rFonts w:hint="eastAsia" w:ascii="Calibri" w:hAnsi="Calibri"/>
                      <w:szCs w:val="21"/>
                    </w:rPr>
                    <w:t>工程</w:t>
                  </w:r>
                </w:p>
              </w:tc>
              <w:tc>
                <w:tcPr>
                  <w:tcW w:w="921" w:type="pct"/>
                  <w:tcBorders>
                    <w:top w:val="single" w:color="auto" w:sz="2" w:space="0"/>
                    <w:left w:val="single" w:color="auto" w:sz="4" w:space="0"/>
                    <w:right w:val="single" w:color="auto" w:sz="4" w:space="0"/>
                  </w:tcBorders>
                  <w:vAlign w:val="center"/>
                </w:tcPr>
                <w:p>
                  <w:pPr>
                    <w:pStyle w:val="48"/>
                    <w:keepNext w:val="0"/>
                    <w:keepLines w:val="0"/>
                    <w:suppressLineNumbers w:val="0"/>
                    <w:spacing w:before="6" w:beforeAutospacing="0" w:after="0" w:afterAutospacing="0"/>
                    <w:ind w:left="133" w:right="120"/>
                    <w:jc w:val="center"/>
                  </w:pPr>
                  <w:r>
                    <w:rPr>
                      <w:rFonts w:ascii="Times New Roman" w:hAnsi="Times New Roman"/>
                      <w:sz w:val="21"/>
                      <w:szCs w:val="21"/>
                    </w:rPr>
                    <w:t>原料</w:t>
                  </w:r>
                  <w:r>
                    <w:rPr>
                      <w:rFonts w:hint="eastAsia" w:ascii="Times New Roman" w:hAnsi="Times New Roman"/>
                      <w:sz w:val="21"/>
                      <w:szCs w:val="21"/>
                    </w:rPr>
                    <w:t>堆放区</w:t>
                  </w:r>
                </w:p>
              </w:tc>
              <w:tc>
                <w:tcPr>
                  <w:tcW w:w="1220" w:type="pct"/>
                  <w:gridSpan w:val="3"/>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szCs w:val="21"/>
                    </w:rPr>
                    <w:t>3000m</w:t>
                  </w:r>
                  <w:r>
                    <w:rPr>
                      <w:rFonts w:hint="eastAsia"/>
                      <w:szCs w:val="21"/>
                      <w:vertAlign w:val="superscript"/>
                    </w:rPr>
                    <w:t>2</w:t>
                  </w:r>
                </w:p>
              </w:tc>
              <w:tc>
                <w:tcPr>
                  <w:tcW w:w="1645"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szCs w:val="21"/>
                    </w:rPr>
                    <w:t>生产车间</w:t>
                  </w:r>
                  <w:r>
                    <w:rPr>
                      <w:rFonts w:hint="eastAsia"/>
                      <w:szCs w:val="21"/>
                    </w:rPr>
                    <w:t>1内设有1个400m</w:t>
                  </w:r>
                  <w:r>
                    <w:rPr>
                      <w:rFonts w:hint="eastAsia"/>
                      <w:szCs w:val="21"/>
                      <w:vertAlign w:val="superscript"/>
                    </w:rPr>
                    <w:t>2</w:t>
                  </w:r>
                  <w:r>
                    <w:rPr>
                      <w:rFonts w:hint="eastAsia"/>
                      <w:szCs w:val="21"/>
                    </w:rPr>
                    <w:t>原料堆放区，生产车间4内设有2600m</w:t>
                  </w:r>
                  <w:r>
                    <w:rPr>
                      <w:rFonts w:hint="eastAsia"/>
                      <w:szCs w:val="21"/>
                      <w:vertAlign w:val="superscript"/>
                    </w:rPr>
                    <w:t>2</w:t>
                  </w:r>
                  <w:r>
                    <w:rPr>
                      <w:rFonts w:hint="eastAsia"/>
                      <w:szCs w:val="21"/>
                    </w:rPr>
                    <w:t>原料堆放区</w:t>
                  </w:r>
                  <w:r>
                    <w:rPr>
                      <w:szCs w:val="21"/>
                    </w:rPr>
                    <w:t>，</w:t>
                  </w:r>
                  <w:r>
                    <w:rPr>
                      <w:rFonts w:hint="eastAsia"/>
                      <w:szCs w:val="21"/>
                    </w:rPr>
                    <w:t>用于</w:t>
                  </w:r>
                  <w:r>
                    <w:rPr>
                      <w:szCs w:val="21"/>
                    </w:rPr>
                    <w:t>储存原辅料</w:t>
                  </w:r>
                </w:p>
              </w:tc>
              <w:tc>
                <w:tcPr>
                  <w:tcW w:w="789"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szCs w:val="21"/>
                    </w:rPr>
                    <w:t>成品</w:t>
                  </w:r>
                  <w:r>
                    <w:rPr>
                      <w:rFonts w:hint="eastAsia"/>
                      <w:szCs w:val="21"/>
                    </w:rPr>
                    <w:t>堆放区</w:t>
                  </w:r>
                </w:p>
              </w:tc>
              <w:tc>
                <w:tcPr>
                  <w:tcW w:w="1220" w:type="pct"/>
                  <w:gridSpan w:val="3"/>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highlight w:val="yellow"/>
                    </w:rPr>
                  </w:pPr>
                  <w:r>
                    <w:rPr>
                      <w:rFonts w:hint="eastAsia"/>
                      <w:szCs w:val="21"/>
                    </w:rPr>
                    <w:t>1000m</w:t>
                  </w:r>
                  <w:r>
                    <w:rPr>
                      <w:rFonts w:hint="eastAsia"/>
                      <w:szCs w:val="21"/>
                      <w:vertAlign w:val="superscript"/>
                    </w:rPr>
                    <w:t>2</w:t>
                  </w:r>
                </w:p>
              </w:tc>
              <w:tc>
                <w:tcPr>
                  <w:tcW w:w="1645"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szCs w:val="21"/>
                    </w:rPr>
                    <w:t>位于</w:t>
                  </w:r>
                  <w:r>
                    <w:rPr>
                      <w:szCs w:val="21"/>
                    </w:rPr>
                    <w:t>生产车间</w:t>
                  </w:r>
                  <w:r>
                    <w:rPr>
                      <w:rFonts w:hint="eastAsia"/>
                      <w:szCs w:val="21"/>
                    </w:rPr>
                    <w:t>1和生产车间3</w:t>
                  </w:r>
                  <w:r>
                    <w:rPr>
                      <w:szCs w:val="21"/>
                    </w:rPr>
                    <w:t>内，储存</w:t>
                  </w:r>
                  <w:r>
                    <w:rPr>
                      <w:rFonts w:hint="eastAsia"/>
                      <w:szCs w:val="21"/>
                    </w:rPr>
                    <w:t>成品。</w:t>
                  </w:r>
                </w:p>
              </w:tc>
              <w:tc>
                <w:tcPr>
                  <w:tcW w:w="789"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运输</w:t>
                  </w:r>
                </w:p>
              </w:tc>
              <w:tc>
                <w:tcPr>
                  <w:tcW w:w="1220" w:type="pct"/>
                  <w:gridSpan w:val="3"/>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汽车运输，运输能力为</w:t>
                  </w:r>
                  <w:r>
                    <w:rPr>
                      <w:rFonts w:hint="eastAsia"/>
                      <w:lang w:val="en-US" w:eastAsia="zh-CN"/>
                    </w:rPr>
                    <w:t>12039</w:t>
                  </w:r>
                  <w:r>
                    <w:rPr>
                      <w:rFonts w:hint="eastAsia"/>
                    </w:rPr>
                    <w:t>0</w:t>
                  </w:r>
                  <w:r>
                    <w:t>t/a</w:t>
                  </w:r>
                </w:p>
              </w:tc>
              <w:tc>
                <w:tcPr>
                  <w:tcW w:w="1645"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szCs w:val="21"/>
                    </w:rPr>
                    <w:t>运输原料及产品，国内汽运</w:t>
                  </w:r>
                </w:p>
              </w:tc>
              <w:tc>
                <w:tcPr>
                  <w:tcW w:w="789" w:type="pc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2" w:type="pct"/>
                  <w:vMerge w:val="restart"/>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rPr>
                    <w:t>环保</w:t>
                  </w:r>
                </w:p>
                <w:p>
                  <w:pPr>
                    <w:keepNext w:val="0"/>
                    <w:keepLines w:val="0"/>
                    <w:widowControl/>
                    <w:suppressLineNumbers w:val="0"/>
                    <w:adjustRightInd w:val="0"/>
                    <w:snapToGrid w:val="0"/>
                    <w:spacing w:before="0" w:beforeAutospacing="0" w:after="0" w:afterAutospacing="0"/>
                    <w:ind w:left="0" w:right="0"/>
                    <w:jc w:val="center"/>
                    <w:rPr>
                      <w:b/>
                      <w:bCs/>
                    </w:rPr>
                  </w:pPr>
                  <w:r>
                    <w:rPr>
                      <w:rFonts w:hint="eastAsia"/>
                    </w:rPr>
                    <w:t>工程</w:t>
                  </w:r>
                </w:p>
              </w:tc>
              <w:tc>
                <w:tcPr>
                  <w:tcW w:w="921" w:type="pct"/>
                  <w:vMerge w:val="restar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废气治理</w:t>
                  </w:r>
                </w:p>
              </w:tc>
              <w:tc>
                <w:tcPr>
                  <w:tcW w:w="1220" w:type="pct"/>
                  <w:gridSpan w:val="3"/>
                  <w:tcBorders>
                    <w:top w:val="single" w:color="auto" w:sz="2" w:space="0"/>
                    <w:left w:val="single" w:color="auto" w:sz="4" w:space="0"/>
                    <w:bottom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pPr>
                  <w:r>
                    <w:rPr>
                      <w:rFonts w:hint="eastAsia"/>
                    </w:rPr>
                    <w:t>非甲烷总烃</w:t>
                  </w:r>
                </w:p>
              </w:tc>
              <w:tc>
                <w:tcPr>
                  <w:tcW w:w="1645" w:type="pct"/>
                  <w:tcBorders>
                    <w:top w:val="single" w:color="auto" w:sz="2" w:space="0"/>
                    <w:left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rPr>
                      <w:szCs w:val="24"/>
                    </w:rPr>
                  </w:pPr>
                  <w:r>
                    <w:rPr>
                      <w:rFonts w:hint="eastAsia"/>
                      <w:szCs w:val="21"/>
                    </w:rPr>
                    <w:t>注塑成型工序、固化工序</w:t>
                  </w:r>
                  <w:r>
                    <w:rPr>
                      <w:szCs w:val="21"/>
                    </w:rPr>
                    <w:t>产生的</w:t>
                  </w:r>
                  <w:r>
                    <w:rPr>
                      <w:rFonts w:hint="eastAsia"/>
                      <w:szCs w:val="21"/>
                    </w:rPr>
                    <w:t>有机废气</w:t>
                  </w:r>
                  <w:r>
                    <w:rPr>
                      <w:szCs w:val="21"/>
                    </w:rPr>
                    <w:t>经</w:t>
                  </w:r>
                  <w:r>
                    <w:rPr>
                      <w:rFonts w:ascii="宋体" w:hAnsi="宋体"/>
                      <w:szCs w:val="21"/>
                    </w:rPr>
                    <w:t>“</w:t>
                  </w:r>
                  <w:r>
                    <w:rPr>
                      <w:rFonts w:hint="eastAsia" w:ascii="宋体" w:hAnsi="宋体"/>
                      <w:szCs w:val="21"/>
                    </w:rPr>
                    <w:t>二级</w:t>
                  </w:r>
                  <w:r>
                    <w:rPr>
                      <w:rFonts w:ascii="宋体" w:hAnsi="宋体"/>
                      <w:szCs w:val="21"/>
                    </w:rPr>
                    <w:t>活性炭</w:t>
                  </w:r>
                  <w:r>
                    <w:rPr>
                      <w:rFonts w:hint="eastAsia" w:ascii="宋体" w:hAnsi="宋体"/>
                      <w:szCs w:val="21"/>
                    </w:rPr>
                    <w:t>吸附</w:t>
                  </w:r>
                  <w:r>
                    <w:rPr>
                      <w:rFonts w:ascii="宋体" w:hAnsi="宋体"/>
                      <w:szCs w:val="21"/>
                    </w:rPr>
                    <w:t>”</w:t>
                  </w:r>
                  <w:r>
                    <w:rPr>
                      <w:szCs w:val="21"/>
                    </w:rPr>
                    <w:t>处理后通过一根15m高的排气筒（FQ-1）排放</w:t>
                  </w:r>
                </w:p>
              </w:tc>
              <w:tc>
                <w:tcPr>
                  <w:tcW w:w="789" w:type="pct"/>
                  <w:vMerge w:val="restar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2" w:type="pct"/>
                  <w:vMerge w:val="continue"/>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1220" w:type="pct"/>
                  <w:gridSpan w:val="3"/>
                  <w:tcBorders>
                    <w:top w:val="single" w:color="auto" w:sz="2" w:space="0"/>
                    <w:left w:val="single" w:color="auto" w:sz="4" w:space="0"/>
                    <w:bottom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pPr>
                  <w:r>
                    <w:rPr>
                      <w:rFonts w:hint="eastAsia"/>
                    </w:rPr>
                    <w:t>粉尘</w:t>
                  </w:r>
                </w:p>
              </w:tc>
              <w:tc>
                <w:tcPr>
                  <w:tcW w:w="1645" w:type="pct"/>
                  <w:tcBorders>
                    <w:top w:val="single" w:color="auto" w:sz="2" w:space="0"/>
                    <w:left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涂敷过程中产生的粉尘经设备自带的旋风分离塔+二级滤芯除尘器处理后通过一根15米高的排气筒（FQ-1）排放</w:t>
                  </w:r>
                </w:p>
              </w:tc>
              <w:tc>
                <w:tcPr>
                  <w:tcW w:w="789" w:type="pct"/>
                  <w:vMerge w:val="continue"/>
                  <w:tcBorders>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2" w:type="pct"/>
                  <w:vMerge w:val="continue"/>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1220" w:type="pct"/>
                  <w:gridSpan w:val="3"/>
                  <w:tcBorders>
                    <w:top w:val="single" w:color="auto" w:sz="2" w:space="0"/>
                    <w:left w:val="single" w:color="auto" w:sz="4" w:space="0"/>
                    <w:bottom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pPr>
                  <w:r>
                    <w:rPr>
                      <w:rFonts w:hint="eastAsia"/>
                    </w:rPr>
                    <w:t>食堂油烟</w:t>
                  </w:r>
                </w:p>
              </w:tc>
              <w:tc>
                <w:tcPr>
                  <w:tcW w:w="1645" w:type="pct"/>
                  <w:tcBorders>
                    <w:top w:val="single" w:color="auto" w:sz="2" w:space="0"/>
                    <w:left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经油烟净化装置处理后通过一根8m高排气筒</w:t>
                  </w:r>
                  <w:r>
                    <w:rPr>
                      <w:rFonts w:hint="eastAsia"/>
                      <w:szCs w:val="21"/>
                      <w:lang w:eastAsia="zh-CN"/>
                    </w:rPr>
                    <w:t>（</w:t>
                  </w:r>
                  <w:r>
                    <w:rPr>
                      <w:rFonts w:hint="eastAsia"/>
                      <w:szCs w:val="21"/>
                      <w:lang w:val="en-US" w:eastAsia="zh-CN"/>
                    </w:rPr>
                    <w:t>FQ-2</w:t>
                  </w:r>
                  <w:r>
                    <w:rPr>
                      <w:rFonts w:hint="eastAsia"/>
                      <w:szCs w:val="21"/>
                      <w:lang w:eastAsia="zh-CN"/>
                    </w:rPr>
                    <w:t>）</w:t>
                  </w:r>
                  <w:r>
                    <w:rPr>
                      <w:rFonts w:hint="eastAsia"/>
                      <w:szCs w:val="21"/>
                    </w:rPr>
                    <w:t>排放</w:t>
                  </w:r>
                </w:p>
              </w:tc>
              <w:tc>
                <w:tcPr>
                  <w:tcW w:w="789" w:type="pct"/>
                  <w:vMerge w:val="continue"/>
                  <w:tcBorders>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2" w:type="pct"/>
                  <w:vMerge w:val="continue"/>
                  <w:tcBorders>
                    <w:top w:val="single" w:color="auto" w:sz="2" w:space="0"/>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1220" w:type="pct"/>
                  <w:gridSpan w:val="3"/>
                  <w:tcBorders>
                    <w:top w:val="single" w:color="auto" w:sz="2" w:space="0"/>
                    <w:left w:val="single" w:color="auto" w:sz="4" w:space="0"/>
                    <w:bottom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pPr>
                  <w:r>
                    <w:rPr>
                      <w:rFonts w:hint="eastAsia"/>
                    </w:rPr>
                    <w:t>焊接烟尘</w:t>
                  </w:r>
                </w:p>
              </w:tc>
              <w:tc>
                <w:tcPr>
                  <w:tcW w:w="1645" w:type="pct"/>
                  <w:tcBorders>
                    <w:top w:val="single" w:color="auto" w:sz="2" w:space="0"/>
                    <w:left w:val="single" w:color="auto" w:sz="4" w:space="0"/>
                    <w:right w:val="nil"/>
                  </w:tcBorders>
                  <w:vAlign w:val="center"/>
                </w:tcPr>
                <w:p>
                  <w:pPr>
                    <w:pStyle w:val="43"/>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焊接过程中产生的焊接烟尘经移动式滤芯除尘器处理后无组织排放</w:t>
                  </w:r>
                </w:p>
              </w:tc>
              <w:tc>
                <w:tcPr>
                  <w:tcW w:w="789" w:type="pct"/>
                  <w:vMerge w:val="continue"/>
                  <w:tcBorders>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vMerge w:val="restart"/>
                  <w:tcBorders>
                    <w:top w:val="single" w:color="auto" w:sz="2"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废水治理</w:t>
                  </w:r>
                </w:p>
              </w:tc>
              <w:tc>
                <w:tcPr>
                  <w:tcW w:w="1220" w:type="pct"/>
                  <w:gridSpan w:val="3"/>
                  <w:tcBorders>
                    <w:top w:val="single" w:color="auto" w:sz="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生活污水2880t/a</w:t>
                  </w:r>
                </w:p>
              </w:tc>
              <w:tc>
                <w:tcPr>
                  <w:tcW w:w="1645" w:type="pct"/>
                  <w:vMerge w:val="restart"/>
                  <w:tcBorders>
                    <w:top w:val="single" w:color="auto" w:sz="2"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szCs w:val="21"/>
                    </w:rPr>
                    <w:t>食堂废水经隔油池处理后与生活污水接入武南污水处理厂</w:t>
                  </w:r>
                  <w:r>
                    <w:rPr>
                      <w:rFonts w:hint="eastAsia"/>
                      <w:szCs w:val="21"/>
                    </w:rPr>
                    <w:t>，</w:t>
                  </w:r>
                  <w:r>
                    <w:rPr>
                      <w:szCs w:val="21"/>
                    </w:rPr>
                    <w:t>生活污水管道依托</w:t>
                  </w:r>
                  <w:r>
                    <w:rPr>
                      <w:rFonts w:hint="eastAsia"/>
                      <w:szCs w:val="21"/>
                    </w:rPr>
                    <w:t>区域</w:t>
                  </w:r>
                  <w:r>
                    <w:rPr>
                      <w:szCs w:val="21"/>
                    </w:rPr>
                    <w:t>管网设施</w:t>
                  </w:r>
                </w:p>
              </w:tc>
              <w:tc>
                <w:tcPr>
                  <w:tcW w:w="789" w:type="pct"/>
                  <w:vMerge w:val="restart"/>
                  <w:tcBorders>
                    <w:top w:val="single" w:color="auto" w:sz="2" w:space="0"/>
                    <w:left w:val="single" w:color="auto" w:sz="4" w:space="0"/>
                    <w:right w:val="nil"/>
                  </w:tcBorders>
                  <w:vAlign w:val="center"/>
                </w:tcPr>
                <w:p>
                  <w:pPr>
                    <w:keepNext w:val="0"/>
                    <w:keepLines w:val="0"/>
                    <w:suppressLineNumbers w:val="0"/>
                    <w:snapToGrid w:val="0"/>
                    <w:spacing w:before="0" w:beforeAutospacing="0" w:after="0" w:afterAutospacing="0"/>
                    <w:ind w:left="0" w:right="0"/>
                    <w:jc w:val="center"/>
                  </w:pPr>
                  <w:r>
                    <w:rPr>
                      <w:rFonts w:hint="eastAsia"/>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1220" w:type="pct"/>
                  <w:gridSpan w:val="3"/>
                  <w:tcBorders>
                    <w:top w:val="single" w:color="auto" w:sz="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szCs w:val="21"/>
                    </w:rPr>
                    <w:t>食堂废水</w:t>
                  </w:r>
                  <w:r>
                    <w:rPr>
                      <w:rFonts w:hint="eastAsia"/>
                      <w:szCs w:val="21"/>
                      <w:lang w:val="en-US" w:eastAsia="zh-CN"/>
                    </w:rPr>
                    <w:t>576</w:t>
                  </w:r>
                  <w:r>
                    <w:rPr>
                      <w:rFonts w:hint="eastAsia"/>
                      <w:szCs w:val="21"/>
                    </w:rPr>
                    <w:t>t/a</w:t>
                  </w:r>
                </w:p>
              </w:tc>
              <w:tc>
                <w:tcPr>
                  <w:tcW w:w="1645" w:type="pct"/>
                  <w:vMerge w:val="continue"/>
                  <w:tcBorders>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p>
              </w:tc>
              <w:tc>
                <w:tcPr>
                  <w:tcW w:w="789" w:type="pct"/>
                  <w:vMerge w:val="continue"/>
                  <w:tcBorders>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b/>
                      <w:bCs/>
                    </w:rPr>
                  </w:pPr>
                </w:p>
              </w:tc>
              <w:tc>
                <w:tcPr>
                  <w:tcW w:w="921" w:type="pct"/>
                  <w:tcBorders>
                    <w:top w:val="single" w:color="auto" w:sz="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噪声治理</w:t>
                  </w:r>
                </w:p>
              </w:tc>
              <w:tc>
                <w:tcPr>
                  <w:tcW w:w="1220" w:type="pct"/>
                  <w:gridSpan w:val="3"/>
                  <w:tcBorders>
                    <w:top w:val="single" w:color="auto" w:sz="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t>局部消声、隔音；厂房隔音等</w:t>
                  </w:r>
                </w:p>
              </w:tc>
              <w:tc>
                <w:tcPr>
                  <w:tcW w:w="1645" w:type="pct"/>
                  <w:tcBorders>
                    <w:top w:val="single" w:color="auto" w:sz="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szCs w:val="21"/>
                    </w:rPr>
                    <w:t>厂界达标</w:t>
                  </w:r>
                </w:p>
              </w:tc>
              <w:tc>
                <w:tcPr>
                  <w:tcW w:w="789" w:type="pct"/>
                  <w:tcBorders>
                    <w:top w:val="single" w:color="auto" w:sz="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ascii="Calibri" w:hAnsi="Calibri"/>
                      <w:szCs w:val="21"/>
                    </w:rPr>
                  </w:pPr>
                </w:p>
              </w:tc>
              <w:tc>
                <w:tcPr>
                  <w:tcW w:w="921" w:type="pct"/>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固体废物处理</w:t>
                  </w:r>
                </w:p>
              </w:tc>
              <w:tc>
                <w:tcPr>
                  <w:tcW w:w="757" w:type="pct"/>
                  <w:gridSpan w:val="2"/>
                  <w:tcBorders>
                    <w:top w:val="single" w:color="auto" w:sz="4" w:space="0"/>
                    <w:left w:val="single" w:color="auto" w:sz="4" w:space="0"/>
                    <w:bottom w:val="single" w:color="auto" w:sz="4" w:space="0"/>
                    <w:right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一般固废</w:t>
                  </w:r>
                </w:p>
              </w:tc>
              <w:tc>
                <w:tcPr>
                  <w:tcW w:w="462" w:type="pct"/>
                  <w:tcBorders>
                    <w:top w:val="single" w:color="auto" w:sz="4" w:space="0"/>
                    <w:left w:val="single" w:color="auto" w:sz="2" w:space="0"/>
                    <w:bottom w:val="single" w:color="auto" w:sz="4" w:space="0"/>
                    <w:right w:val="nil"/>
                  </w:tcBorders>
                  <w:vAlign w:val="center"/>
                </w:tcPr>
                <w:p>
                  <w:pPr>
                    <w:pStyle w:val="58"/>
                    <w:keepNext w:val="0"/>
                    <w:keepLines w:val="0"/>
                    <w:suppressLineNumbers w:val="0"/>
                    <w:tabs>
                      <w:tab w:val="left" w:pos="8100"/>
                    </w:tabs>
                    <w:adjustRightInd w:val="0"/>
                    <w:snapToGrid w:val="0"/>
                    <w:spacing w:before="0" w:beforeAutospacing="0" w:after="0" w:afterAutospacing="0"/>
                    <w:ind w:left="0" w:right="0"/>
                    <w:jc w:val="center"/>
                    <w:textAlignment w:val="auto"/>
                    <w:rPr>
                      <w:color w:val="auto"/>
                      <w:sz w:val="21"/>
                      <w:szCs w:val="21"/>
                    </w:rPr>
                  </w:pPr>
                  <w:r>
                    <w:rPr>
                      <w:color w:val="auto"/>
                      <w:sz w:val="21"/>
                      <w:szCs w:val="21"/>
                    </w:rPr>
                    <w:t>外售利用、</w:t>
                  </w:r>
                  <w:r>
                    <w:rPr>
                      <w:rFonts w:hint="eastAsia"/>
                      <w:color w:val="auto"/>
                      <w:sz w:val="21"/>
                      <w:szCs w:val="21"/>
                    </w:rPr>
                    <w:t>回用</w:t>
                  </w:r>
                </w:p>
              </w:tc>
              <w:tc>
                <w:tcPr>
                  <w:tcW w:w="1645" w:type="pct"/>
                  <w:vMerge w:val="restar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szCs w:val="21"/>
                    </w:rPr>
                    <w:t>厂区北侧</w:t>
                  </w:r>
                  <w:r>
                    <w:rPr>
                      <w:szCs w:val="21"/>
                    </w:rPr>
                    <w:t>设置1个</w:t>
                  </w:r>
                  <w:r>
                    <w:rPr>
                      <w:rFonts w:hint="eastAsia"/>
                      <w:szCs w:val="21"/>
                    </w:rPr>
                    <w:t>32</w:t>
                  </w:r>
                  <w:r>
                    <w:rPr>
                      <w:szCs w:val="21"/>
                    </w:rPr>
                    <w:t>平方米一般固废堆场；厂区</w:t>
                  </w:r>
                  <w:r>
                    <w:rPr>
                      <w:rFonts w:hint="eastAsia"/>
                      <w:szCs w:val="21"/>
                    </w:rPr>
                    <w:t>北</w:t>
                  </w:r>
                  <w:r>
                    <w:rPr>
                      <w:szCs w:val="21"/>
                    </w:rPr>
                    <w:t>侧设置1个</w:t>
                  </w:r>
                  <w:r>
                    <w:rPr>
                      <w:rFonts w:hint="eastAsia"/>
                      <w:szCs w:val="21"/>
                    </w:rPr>
                    <w:t>64</w:t>
                  </w:r>
                  <w:r>
                    <w:rPr>
                      <w:szCs w:val="21"/>
                    </w:rPr>
                    <w:t>平方米危废仓库满足环境管理要求，分类收集、处置，处理率100%</w:t>
                  </w:r>
                </w:p>
              </w:tc>
              <w:tc>
                <w:tcPr>
                  <w:tcW w:w="789" w:type="pct"/>
                  <w:vMerge w:val="restar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Calibri" w:hAnsi="Calibri"/>
                      <w:szCs w:val="21"/>
                    </w:rPr>
                  </w:pPr>
                </w:p>
              </w:tc>
              <w:tc>
                <w:tcPr>
                  <w:tcW w:w="921" w:type="pct"/>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757" w:type="pct"/>
                  <w:gridSpan w:val="2"/>
                  <w:tcBorders>
                    <w:top w:val="single" w:color="auto" w:sz="4" w:space="0"/>
                    <w:left w:val="single" w:color="auto" w:sz="4" w:space="0"/>
                    <w:bottom w:val="single" w:color="auto" w:sz="4" w:space="0"/>
                    <w:right w:val="single" w:color="auto" w:sz="2" w:space="0"/>
                  </w:tcBorders>
                  <w:vAlign w:val="center"/>
                </w:tcPr>
                <w:p>
                  <w:pPr>
                    <w:keepNext w:val="0"/>
                    <w:keepLines w:val="0"/>
                    <w:suppressLineNumbers w:val="0"/>
                    <w:spacing w:before="0" w:beforeAutospacing="0" w:after="0" w:afterAutospacing="0"/>
                    <w:ind w:left="0" w:right="0"/>
                    <w:jc w:val="center"/>
                  </w:pPr>
                  <w:r>
                    <w:rPr>
                      <w:rFonts w:hint="eastAsia"/>
                    </w:rPr>
                    <w:t>生活垃圾</w:t>
                  </w:r>
                </w:p>
              </w:tc>
              <w:tc>
                <w:tcPr>
                  <w:tcW w:w="462" w:type="pct"/>
                  <w:tcBorders>
                    <w:top w:val="single" w:color="auto" w:sz="4" w:space="0"/>
                    <w:left w:val="single" w:color="auto" w:sz="2" w:space="0"/>
                    <w:bottom w:val="single" w:color="auto" w:sz="4" w:space="0"/>
                    <w:right w:val="nil"/>
                  </w:tcBorders>
                  <w:vAlign w:val="center"/>
                </w:tcPr>
                <w:p>
                  <w:pPr>
                    <w:pStyle w:val="58"/>
                    <w:keepNext w:val="0"/>
                    <w:keepLines w:val="0"/>
                    <w:suppressLineNumbers w:val="0"/>
                    <w:tabs>
                      <w:tab w:val="left" w:pos="8100"/>
                    </w:tabs>
                    <w:adjustRightInd w:val="0"/>
                    <w:snapToGrid w:val="0"/>
                    <w:spacing w:before="0" w:beforeAutospacing="0" w:after="0" w:afterAutospacing="0"/>
                    <w:ind w:left="0" w:right="0"/>
                    <w:jc w:val="center"/>
                    <w:textAlignment w:val="auto"/>
                    <w:rPr>
                      <w:sz w:val="21"/>
                      <w:szCs w:val="21"/>
                    </w:rPr>
                  </w:pPr>
                  <w:r>
                    <w:rPr>
                      <w:sz w:val="21"/>
                      <w:szCs w:val="21"/>
                    </w:rPr>
                    <w:t>环卫清运</w:t>
                  </w:r>
                </w:p>
              </w:tc>
              <w:tc>
                <w:tcPr>
                  <w:tcW w:w="1645" w:type="pct"/>
                  <w:vMerge w:val="continue"/>
                  <w:tcBorders>
                    <w:left w:val="single" w:color="auto" w:sz="4" w:space="0"/>
                    <w:right w:val="nil"/>
                  </w:tcBorders>
                  <w:vAlign w:val="center"/>
                </w:tcPr>
                <w:p>
                  <w:pPr>
                    <w:keepNext w:val="0"/>
                    <w:keepLines w:val="0"/>
                    <w:suppressLineNumbers w:val="0"/>
                    <w:spacing w:before="0" w:beforeAutospacing="0" w:after="0" w:afterAutospacing="0"/>
                    <w:ind w:left="0" w:right="0"/>
                    <w:jc w:val="center"/>
                  </w:pPr>
                </w:p>
              </w:tc>
              <w:tc>
                <w:tcPr>
                  <w:tcW w:w="789" w:type="pct"/>
                  <w:vMerge w:val="continue"/>
                  <w:tcBorders>
                    <w:left w:val="single" w:color="auto" w:sz="4" w:space="0"/>
                    <w:right w:val="nil"/>
                  </w:tcBorders>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2" w:type="pct"/>
                  <w:vMerge w:val="continue"/>
                  <w:tcBorders>
                    <w:left w:val="nil"/>
                    <w:bottom w:val="single" w:color="auto" w:sz="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Calibri" w:hAnsi="Calibri"/>
                      <w:szCs w:val="21"/>
                    </w:rPr>
                  </w:pPr>
                </w:p>
              </w:tc>
              <w:tc>
                <w:tcPr>
                  <w:tcW w:w="921" w:type="pct"/>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757" w:type="pct"/>
                  <w:gridSpan w:val="2"/>
                  <w:tcBorders>
                    <w:top w:val="single" w:color="auto" w:sz="4" w:space="0"/>
                    <w:left w:val="single" w:color="auto" w:sz="4" w:space="0"/>
                    <w:bottom w:val="single" w:color="auto" w:sz="2" w:space="0"/>
                    <w:right w:val="single" w:color="auto" w:sz="2" w:space="0"/>
                  </w:tcBorders>
                  <w:vAlign w:val="center"/>
                </w:tcPr>
                <w:p>
                  <w:pPr>
                    <w:keepNext w:val="0"/>
                    <w:keepLines w:val="0"/>
                    <w:suppressLineNumbers w:val="0"/>
                    <w:spacing w:before="0" w:beforeAutospacing="0" w:after="0" w:afterAutospacing="0"/>
                    <w:ind w:left="0" w:right="0"/>
                    <w:jc w:val="center"/>
                  </w:pPr>
                  <w:r>
                    <w:rPr>
                      <w:rFonts w:hint="eastAsia"/>
                    </w:rPr>
                    <w:t>危险废物</w:t>
                  </w:r>
                </w:p>
              </w:tc>
              <w:tc>
                <w:tcPr>
                  <w:tcW w:w="462" w:type="pct"/>
                  <w:tcBorders>
                    <w:top w:val="single" w:color="auto" w:sz="4" w:space="0"/>
                    <w:left w:val="single" w:color="auto" w:sz="2" w:space="0"/>
                    <w:bottom w:val="single" w:color="auto" w:sz="4" w:space="0"/>
                    <w:right w:val="nil"/>
                  </w:tcBorders>
                  <w:vAlign w:val="center"/>
                </w:tcPr>
                <w:p>
                  <w:pPr>
                    <w:pStyle w:val="58"/>
                    <w:keepNext w:val="0"/>
                    <w:keepLines w:val="0"/>
                    <w:suppressLineNumbers w:val="0"/>
                    <w:tabs>
                      <w:tab w:val="left" w:pos="8100"/>
                    </w:tabs>
                    <w:adjustRightInd w:val="0"/>
                    <w:snapToGrid w:val="0"/>
                    <w:spacing w:before="0" w:beforeAutospacing="0" w:after="0" w:afterAutospacing="0"/>
                    <w:ind w:left="0" w:right="0"/>
                    <w:jc w:val="center"/>
                    <w:textAlignment w:val="auto"/>
                    <w:rPr>
                      <w:sz w:val="21"/>
                      <w:szCs w:val="21"/>
                    </w:rPr>
                  </w:pPr>
                  <w:r>
                    <w:rPr>
                      <w:sz w:val="21"/>
                      <w:szCs w:val="21"/>
                    </w:rPr>
                    <w:t>委托有资质单位处置</w:t>
                  </w:r>
                </w:p>
              </w:tc>
              <w:tc>
                <w:tcPr>
                  <w:tcW w:w="1645" w:type="pct"/>
                  <w:vMerge w:val="continue"/>
                  <w:tcBorders>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pPr>
                </w:p>
              </w:tc>
              <w:tc>
                <w:tcPr>
                  <w:tcW w:w="789" w:type="pct"/>
                  <w:vMerge w:val="continue"/>
                  <w:tcBorders>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pPr>
                </w:p>
              </w:tc>
            </w:tr>
          </w:tbl>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5</w:t>
            </w:r>
            <w:r>
              <w:rPr>
                <w:b/>
                <w:sz w:val="24"/>
              </w:rPr>
              <w:t>、生产规模及产品方案</w:t>
            </w:r>
          </w:p>
          <w:p>
            <w:pPr>
              <w:keepNext w:val="0"/>
              <w:keepLines w:val="0"/>
              <w:suppressLineNumbers w:val="0"/>
              <w:adjustRightInd w:val="0"/>
              <w:snapToGrid w:val="0"/>
              <w:spacing w:before="0" w:beforeAutospacing="0" w:after="0" w:afterAutospacing="0" w:line="300" w:lineRule="auto"/>
              <w:ind w:left="0" w:right="0" w:firstLine="480" w:firstLineChars="200"/>
              <w:rPr>
                <w:sz w:val="24"/>
              </w:rPr>
            </w:pPr>
            <w:r>
              <w:rPr>
                <w:sz w:val="24"/>
              </w:rPr>
              <w:t>项目产品方案见</w:t>
            </w:r>
            <w:r>
              <w:rPr>
                <w:rFonts w:hint="eastAsia"/>
                <w:sz w:val="24"/>
              </w:rPr>
              <w:t>下</w:t>
            </w:r>
            <w:r>
              <w:rPr>
                <w:sz w:val="24"/>
              </w:rPr>
              <w:t>表。</w:t>
            </w: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p>
          <w:p>
            <w:pPr>
              <w:pStyle w:val="2"/>
              <w:keepNext w:val="0"/>
              <w:keepLines w:val="0"/>
              <w:suppressLineNumbers w:val="0"/>
              <w:spacing w:before="0" w:beforeAutospacing="0" w:afterAutospacing="0"/>
              <w:rPr>
                <w:b/>
                <w:bCs/>
                <w:sz w:val="24"/>
              </w:rPr>
            </w:pPr>
          </w:p>
          <w:p>
            <w:pPr>
              <w:pStyle w:val="2"/>
              <w:keepNext w:val="0"/>
              <w:keepLines w:val="0"/>
              <w:suppressLineNumbers w:val="0"/>
              <w:spacing w:before="0" w:beforeAutospacing="0" w:afterAutospacing="0"/>
              <w:rPr>
                <w:b/>
                <w:bCs/>
                <w:sz w:val="24"/>
              </w:rPr>
            </w:pP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2-3</w:t>
            </w:r>
            <w:r>
              <w:rPr>
                <w:b/>
                <w:bCs/>
                <w:sz w:val="24"/>
              </w:rPr>
              <w:t xml:space="preserve"> </w:t>
            </w:r>
            <w:r>
              <w:rPr>
                <w:rFonts w:hint="eastAsia"/>
                <w:b/>
                <w:bCs/>
                <w:sz w:val="24"/>
              </w:rPr>
              <w:t xml:space="preserve"> </w:t>
            </w:r>
            <w:r>
              <w:rPr>
                <w:rFonts w:hint="eastAsia"/>
                <w:b/>
                <w:bCs/>
                <w:sz w:val="24"/>
                <w:lang w:eastAsia="zh-CN"/>
              </w:rPr>
              <w:t>本项目</w:t>
            </w:r>
            <w:r>
              <w:rPr>
                <w:b/>
                <w:bCs/>
                <w:sz w:val="24"/>
              </w:rPr>
              <w:t>产品方案</w:t>
            </w:r>
            <w:r>
              <w:rPr>
                <w:rFonts w:hint="eastAsia"/>
                <w:b/>
                <w:bCs/>
                <w:sz w:val="24"/>
              </w:rPr>
              <w:t>一览表</w:t>
            </w:r>
          </w:p>
          <w:tbl>
            <w:tblPr>
              <w:tblStyle w:val="21"/>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767"/>
              <w:gridCol w:w="1856"/>
              <w:gridCol w:w="1221"/>
              <w:gridCol w:w="200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49" w:type="pct"/>
                  <w:tcBorders>
                    <w:top w:val="single" w:color="auto" w:sz="12" w:space="0"/>
                    <w:left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rPr>
                  </w:pPr>
                  <w:r>
                    <w:rPr>
                      <w:b/>
                      <w:bCs/>
                      <w:szCs w:val="21"/>
                    </w:rPr>
                    <w:t>序号</w:t>
                  </w:r>
                </w:p>
              </w:tc>
              <w:tc>
                <w:tcPr>
                  <w:tcW w:w="1062" w:type="pct"/>
                  <w:tcBorders>
                    <w:top w:val="single" w:color="auto" w:sz="12" w:space="0"/>
                    <w:left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rPr>
                  </w:pPr>
                  <w:r>
                    <w:rPr>
                      <w:b/>
                      <w:bCs/>
                      <w:szCs w:val="21"/>
                    </w:rPr>
                    <w:t>工程名称（生产线或生产车间）</w:t>
                  </w:r>
                </w:p>
              </w:tc>
              <w:tc>
                <w:tcPr>
                  <w:tcW w:w="1115" w:type="pct"/>
                  <w:tcBorders>
                    <w:top w:val="single" w:color="auto" w:sz="12" w:space="0"/>
                    <w:left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rPr>
                  </w:pPr>
                  <w:r>
                    <w:rPr>
                      <w:b/>
                      <w:bCs/>
                      <w:szCs w:val="21"/>
                    </w:rPr>
                    <w:t>产品名称</w:t>
                  </w:r>
                </w:p>
              </w:tc>
              <w:tc>
                <w:tcPr>
                  <w:tcW w:w="734" w:type="pct"/>
                  <w:tcBorders>
                    <w:top w:val="single" w:color="auto" w:sz="12" w:space="0"/>
                    <w:left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highlight w:val="yellow"/>
                    </w:rPr>
                  </w:pPr>
                  <w:r>
                    <w:rPr>
                      <w:rFonts w:hint="eastAsia"/>
                      <w:b/>
                      <w:bCs/>
                      <w:szCs w:val="21"/>
                    </w:rPr>
                    <w:t>规格</w:t>
                  </w:r>
                </w:p>
              </w:tc>
              <w:tc>
                <w:tcPr>
                  <w:tcW w:w="1204" w:type="pct"/>
                  <w:tcBorders>
                    <w:top w:val="single" w:color="auto" w:sz="12"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rPr>
                  </w:pPr>
                  <w:r>
                    <w:rPr>
                      <w:b/>
                      <w:bCs/>
                      <w:szCs w:val="21"/>
                    </w:rPr>
                    <w:t>设计能力（单位/</w:t>
                  </w:r>
                  <w:r>
                    <w:rPr>
                      <w:rFonts w:ascii="宋体" w:hAnsi="宋体"/>
                      <w:b/>
                      <w:bCs/>
                      <w:szCs w:val="21"/>
                    </w:rPr>
                    <w:t>年）</w:t>
                  </w:r>
                </w:p>
              </w:tc>
              <w:tc>
                <w:tcPr>
                  <w:tcW w:w="632" w:type="pct"/>
                  <w:tcBorders>
                    <w:top w:val="single" w:color="auto" w:sz="12" w:space="0"/>
                    <w:left w:val="nil"/>
                    <w:right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b/>
                      <w:bCs/>
                      <w:szCs w:val="21"/>
                    </w:rPr>
                  </w:pPr>
                  <w:r>
                    <w:rPr>
                      <w:b/>
                      <w:bCs/>
                      <w:szCs w:val="21"/>
                    </w:rP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49" w:type="pct"/>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szCs w:val="21"/>
                    </w:rPr>
                    <w:t>1</w:t>
                  </w:r>
                </w:p>
              </w:tc>
              <w:tc>
                <w:tcPr>
                  <w:tcW w:w="1062" w:type="pct"/>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电机铁芯</w:t>
                  </w:r>
                  <w:r>
                    <w:rPr>
                      <w:szCs w:val="21"/>
                    </w:rPr>
                    <w:t>生产线</w:t>
                  </w:r>
                </w:p>
              </w:tc>
              <w:tc>
                <w:tcPr>
                  <w:tcW w:w="1115" w:type="pct"/>
                  <w:tcBorders>
                    <w:top w:val="nil"/>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电机铁芯（转子铁芯和定子铁芯）</w:t>
                  </w:r>
                </w:p>
              </w:tc>
              <w:tc>
                <w:tcPr>
                  <w:tcW w:w="73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highlight w:val="yellow"/>
                    </w:rPr>
                  </w:pPr>
                  <w:r>
                    <w:rPr>
                      <w:rFonts w:hint="eastAsia"/>
                      <w:szCs w:val="21"/>
                    </w:rPr>
                    <w:t>根据客户需求</w:t>
                  </w:r>
                </w:p>
              </w:tc>
              <w:tc>
                <w:tcPr>
                  <w:tcW w:w="120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3000万套</w:t>
                  </w:r>
                </w:p>
              </w:tc>
              <w:tc>
                <w:tcPr>
                  <w:tcW w:w="632" w:type="pct"/>
                  <w:tcBorders>
                    <w:top w:val="single" w:color="auto" w:sz="4" w:space="0"/>
                    <w:left w:val="nil"/>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lang w:val="en-US" w:eastAsia="zh-CN"/>
                    </w:rPr>
                    <w:t>48</w:t>
                  </w:r>
                  <w:r>
                    <w:rPr>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249"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2</w:t>
                  </w:r>
                </w:p>
              </w:tc>
              <w:tc>
                <w:tcPr>
                  <w:tcW w:w="1062"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电机机壳生产线</w:t>
                  </w:r>
                </w:p>
              </w:tc>
              <w:tc>
                <w:tcPr>
                  <w:tcW w:w="1115"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电机机壳</w:t>
                  </w:r>
                </w:p>
              </w:tc>
              <w:tc>
                <w:tcPr>
                  <w:tcW w:w="73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根据客户需求</w:t>
                  </w:r>
                </w:p>
              </w:tc>
              <w:tc>
                <w:tcPr>
                  <w:tcW w:w="1204"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rPr>
                    <w:t>2000万只</w:t>
                  </w:r>
                </w:p>
              </w:tc>
              <w:tc>
                <w:tcPr>
                  <w:tcW w:w="632" w:type="pct"/>
                  <w:tcBorders>
                    <w:top w:val="single" w:color="auto" w:sz="4" w:space="0"/>
                    <w:left w:val="nil"/>
                    <w:bottom w:val="single" w:color="auto" w:sz="4" w:space="0"/>
                    <w:right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szCs w:val="21"/>
                    </w:rPr>
                  </w:pPr>
                  <w:r>
                    <w:rPr>
                      <w:rFonts w:hint="eastAsia"/>
                      <w:szCs w:val="21"/>
                      <w:lang w:val="en-US" w:eastAsia="zh-CN"/>
                    </w:rPr>
                    <w:t>48</w:t>
                  </w:r>
                  <w:r>
                    <w:rPr>
                      <w:rFonts w:hint="eastAsia"/>
                      <w:szCs w:val="21"/>
                    </w:rPr>
                    <w:t>00h</w:t>
                  </w:r>
                </w:p>
              </w:tc>
            </w:tr>
          </w:tbl>
          <w:p>
            <w:pPr>
              <w:keepNext w:val="0"/>
              <w:keepLines w:val="0"/>
              <w:suppressLineNumbers w:val="0"/>
              <w:adjustRightInd w:val="0"/>
              <w:snapToGrid w:val="0"/>
              <w:spacing w:before="0" w:beforeAutospacing="0" w:after="0" w:afterAutospacing="0" w:line="360" w:lineRule="auto"/>
              <w:ind w:left="0" w:right="0"/>
              <w:rPr>
                <w:b/>
                <w:color w:val="000000"/>
                <w:sz w:val="24"/>
              </w:rPr>
            </w:pPr>
            <w:r>
              <w:rPr>
                <w:rFonts w:hint="eastAsia"/>
                <w:b/>
                <w:color w:val="000000"/>
                <w:sz w:val="24"/>
              </w:rPr>
              <w:t>6</w:t>
            </w:r>
            <w:r>
              <w:rPr>
                <w:b/>
                <w:color w:val="000000"/>
                <w:sz w:val="24"/>
              </w:rPr>
              <w:t>、</w:t>
            </w:r>
            <w:r>
              <w:rPr>
                <w:rFonts w:hint="eastAsia"/>
                <w:b/>
                <w:color w:val="000000"/>
                <w:sz w:val="24"/>
              </w:rPr>
              <w:t>设备清单</w:t>
            </w:r>
          </w:p>
          <w:p>
            <w:pPr>
              <w:keepNext w:val="0"/>
              <w:keepLines w:val="0"/>
              <w:suppressLineNumbers w:val="0"/>
              <w:spacing w:before="0" w:beforeAutospacing="0" w:after="0" w:afterAutospacing="0" w:line="360" w:lineRule="auto"/>
              <w:ind w:left="0" w:right="0" w:firstLine="480" w:firstLineChars="200"/>
              <w:rPr>
                <w:color w:val="000000"/>
                <w:sz w:val="24"/>
              </w:rPr>
            </w:pPr>
            <w:r>
              <w:rPr>
                <w:rFonts w:hint="eastAsia"/>
                <w:color w:val="000000"/>
                <w:sz w:val="24"/>
              </w:rPr>
              <w:t>本项目主要生产设备见下表：</w:t>
            </w: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2-4</w:t>
            </w:r>
            <w:r>
              <w:rPr>
                <w:b/>
                <w:bCs/>
                <w:sz w:val="24"/>
              </w:rPr>
              <w:t xml:space="preserve"> </w:t>
            </w:r>
            <w:r>
              <w:rPr>
                <w:rFonts w:hint="eastAsia"/>
                <w:b/>
                <w:bCs/>
                <w:sz w:val="24"/>
              </w:rPr>
              <w:t xml:space="preserve"> </w:t>
            </w:r>
            <w:r>
              <w:rPr>
                <w:b/>
                <w:bCs/>
                <w:sz w:val="24"/>
              </w:rPr>
              <w:t>主要设施规格、数量状况</w:t>
            </w:r>
          </w:p>
          <w:tbl>
            <w:tblPr>
              <w:tblStyle w:val="21"/>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99"/>
              <w:gridCol w:w="1295"/>
              <w:gridCol w:w="2727"/>
              <w:gridCol w:w="972"/>
              <w:gridCol w:w="984"/>
              <w:gridCol w:w="1013"/>
              <w:gridCol w:w="7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vMerge w:val="restart"/>
                  <w:tcBorders>
                    <w:top w:val="single" w:color="000000" w:sz="12" w:space="0"/>
                    <w:left w:val="nil"/>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序号</w:t>
                  </w:r>
                </w:p>
              </w:tc>
              <w:tc>
                <w:tcPr>
                  <w:tcW w:w="766" w:type="pct"/>
                  <w:vMerge w:val="restart"/>
                  <w:tcBorders>
                    <w:top w:val="single" w:color="000000" w:sz="12" w:space="0"/>
                    <w:left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名称</w:t>
                  </w:r>
                </w:p>
              </w:tc>
              <w:tc>
                <w:tcPr>
                  <w:tcW w:w="1613" w:type="pct"/>
                  <w:vMerge w:val="restart"/>
                  <w:tcBorders>
                    <w:top w:val="single" w:color="000000" w:sz="12" w:space="0"/>
                    <w:left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规格、型号</w:t>
                  </w:r>
                </w:p>
              </w:tc>
              <w:tc>
                <w:tcPr>
                  <w:tcW w:w="1756" w:type="pct"/>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数量（台/套）</w:t>
                  </w:r>
                </w:p>
              </w:tc>
              <w:tc>
                <w:tcPr>
                  <w:tcW w:w="450" w:type="pct"/>
                  <w:vMerge w:val="restart"/>
                  <w:tcBorders>
                    <w:top w:val="single" w:color="000000" w:sz="12" w:space="0"/>
                    <w:left w:val="single" w:color="000000" w:sz="4" w:space="0"/>
                    <w:right w:val="nil"/>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vMerge w:val="continue"/>
                  <w:tcBorders>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766" w:type="pct"/>
                  <w:vMerge w:val="continue"/>
                  <w:tcBorders>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1613" w:type="pct"/>
                  <w:vMerge w:val="continue"/>
                  <w:tcBorders>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575" w:type="pct"/>
                  <w:tcBorders>
                    <w:top w:val="single" w:color="000000" w:sz="4" w:space="0"/>
                    <w:left w:val="single" w:color="000000"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r>
                    <w:rPr>
                      <w:rFonts w:hint="eastAsia"/>
                      <w:b/>
                      <w:bCs/>
                    </w:rPr>
                    <w:t>迁建前</w:t>
                  </w:r>
                </w:p>
              </w:tc>
              <w:tc>
                <w:tcPr>
                  <w:tcW w:w="582" w:type="pct"/>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r>
                    <w:rPr>
                      <w:rFonts w:hint="eastAsia"/>
                      <w:b/>
                      <w:bCs/>
                    </w:rPr>
                    <w:t>迁建后</w:t>
                  </w:r>
                </w:p>
              </w:tc>
              <w:tc>
                <w:tcPr>
                  <w:tcW w:w="599" w:type="pct"/>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r>
                    <w:rPr>
                      <w:rFonts w:hint="eastAsia"/>
                      <w:b/>
                      <w:bCs/>
                    </w:rPr>
                    <w:t>变化量</w:t>
                  </w:r>
                </w:p>
              </w:tc>
              <w:tc>
                <w:tcPr>
                  <w:tcW w:w="450" w:type="pct"/>
                  <w:vMerge w:val="continue"/>
                  <w:tcBorders>
                    <w:left w:val="single" w:color="000000"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b/>
                      <w:bCs/>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高速冲床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J76-300</w:t>
                  </w:r>
                  <w:r>
                    <w:rPr>
                      <w:rFonts w:hint="eastAsia"/>
                      <w:szCs w:val="21"/>
                    </w:rPr>
                    <w:t>、</w:t>
                  </w:r>
                  <w:r>
                    <w:rPr>
                      <w:szCs w:val="21"/>
                    </w:rPr>
                    <w:t>GH-220</w:t>
                  </w:r>
                  <w:r>
                    <w:rPr>
                      <w:rFonts w:hint="eastAsia"/>
                      <w:szCs w:val="21"/>
                    </w:rPr>
                    <w:t>、</w:t>
                  </w:r>
                  <w:r>
                    <w:rPr>
                      <w:szCs w:val="21"/>
                    </w:rPr>
                    <w:t>J76-200</w:t>
                  </w:r>
                  <w:r>
                    <w:rPr>
                      <w:rFonts w:hint="eastAsia"/>
                      <w:szCs w:val="21"/>
                    </w:rPr>
                    <w:t>、</w:t>
                  </w:r>
                  <w:r>
                    <w:rPr>
                      <w:szCs w:val="21"/>
                    </w:rPr>
                    <w:t>GH-300</w:t>
                  </w:r>
                  <w:r>
                    <w:rPr>
                      <w:rFonts w:hint="eastAsia"/>
                      <w:szCs w:val="21"/>
                    </w:rPr>
                    <w:t>、</w:t>
                  </w:r>
                  <w:r>
                    <w:rPr>
                      <w:szCs w:val="21"/>
                    </w:rPr>
                    <w:t>SS-80</w:t>
                  </w:r>
                  <w:r>
                    <w:rPr>
                      <w:rFonts w:hint="eastAsia"/>
                      <w:szCs w:val="21"/>
                    </w:rPr>
                    <w:t>、</w:t>
                  </w:r>
                  <w:r>
                    <w:rPr>
                      <w:szCs w:val="21"/>
                    </w:rPr>
                    <w:t>J31G-80</w:t>
                  </w:r>
                  <w:r>
                    <w:rPr>
                      <w:rFonts w:hint="eastAsia"/>
                      <w:szCs w:val="21"/>
                    </w:rPr>
                    <w:t>、</w:t>
                  </w:r>
                  <w:r>
                    <w:rPr>
                      <w:szCs w:val="21"/>
                    </w:rPr>
                    <w:t>GH-125</w:t>
                  </w:r>
                  <w:r>
                    <w:rPr>
                      <w:rFonts w:hint="eastAsia"/>
                      <w:szCs w:val="21"/>
                    </w:rPr>
                    <w:t>、</w:t>
                  </w:r>
                  <w:r>
                    <w:rPr>
                      <w:szCs w:val="21"/>
                    </w:rPr>
                    <w:t>DH2-S80T</w:t>
                  </w:r>
                  <w:r>
                    <w:rPr>
                      <w:rFonts w:hint="eastAsia"/>
                      <w:szCs w:val="21"/>
                    </w:rPr>
                    <w:t>、</w:t>
                  </w:r>
                  <w:r>
                    <w:rPr>
                      <w:szCs w:val="21"/>
                    </w:rPr>
                    <w:t>FH2-125</w:t>
                  </w:r>
                  <w:r>
                    <w:rPr>
                      <w:rFonts w:hint="eastAsia"/>
                      <w:szCs w:val="21"/>
                    </w:rPr>
                    <w:t>、</w:t>
                  </w:r>
                  <w:r>
                    <w:rPr>
                      <w:szCs w:val="21"/>
                    </w:rPr>
                    <w:t>HD-80</w:t>
                  </w:r>
                  <w:r>
                    <w:rPr>
                      <w:rFonts w:hint="eastAsia"/>
                      <w:szCs w:val="21"/>
                    </w:rPr>
                    <w:t>、</w:t>
                  </w:r>
                  <w:r>
                    <w:rPr>
                      <w:szCs w:val="21"/>
                    </w:rPr>
                    <w:t>HS-125</w:t>
                  </w:r>
                  <w:r>
                    <w:rPr>
                      <w:rFonts w:hint="eastAsia"/>
                      <w:szCs w:val="21"/>
                    </w:rPr>
                    <w:t>、ANEX-80Ⅱ</w:t>
                  </w:r>
                </w:p>
              </w:tc>
              <w:tc>
                <w:tcPr>
                  <w:tcW w:w="575" w:type="pct"/>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7</w:t>
                  </w:r>
                </w:p>
              </w:tc>
              <w:tc>
                <w:tcPr>
                  <w:tcW w:w="582" w:type="pct"/>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highlight w:val="yellow"/>
                    </w:rPr>
                  </w:pPr>
                  <w:r>
                    <w:rPr>
                      <w:rFonts w:hint="eastAsia"/>
                      <w:szCs w:val="21"/>
                    </w:rPr>
                    <w:t>15</w:t>
                  </w:r>
                </w:p>
              </w:tc>
              <w:tc>
                <w:tcPr>
                  <w:tcW w:w="599" w:type="pct"/>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w:t>
                  </w:r>
                </w:p>
              </w:tc>
              <w:tc>
                <w:tcPr>
                  <w:tcW w:w="450" w:type="pct"/>
                  <w:vMerge w:val="restart"/>
                  <w:tcBorders>
                    <w:top w:val="single" w:color="000000" w:sz="4" w:space="0"/>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highlight w:val="yellow"/>
                    </w:rPr>
                  </w:pPr>
                  <w:r>
                    <w:rPr>
                      <w:rFonts w:hint="eastAsia"/>
                      <w:szCs w:val="21"/>
                    </w:rPr>
                    <w:t>冲压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普通冲床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160T</w:t>
                  </w:r>
                  <w:r>
                    <w:rPr>
                      <w:rFonts w:hint="eastAsia"/>
                      <w:szCs w:val="21"/>
                    </w:rPr>
                    <w:t>、80T、63T、40T、25T、16T</w:t>
                  </w:r>
                </w:p>
              </w:tc>
              <w:tc>
                <w:tcPr>
                  <w:tcW w:w="575" w:type="pct"/>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27</w:t>
                  </w:r>
                </w:p>
              </w:tc>
              <w:tc>
                <w:tcPr>
                  <w:tcW w:w="599" w:type="pct"/>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+27</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机壳精冲机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160T、200T、400T</w:t>
                  </w:r>
                </w:p>
              </w:tc>
              <w:tc>
                <w:tcPr>
                  <w:tcW w:w="575" w:type="pct"/>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11</w:t>
                  </w:r>
                </w:p>
              </w:tc>
              <w:tc>
                <w:tcPr>
                  <w:tcW w:w="599" w:type="pct"/>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隔音房</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伺服送料机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整平机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料架</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单冲送料机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冲压级进模具</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+80</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单冲模具</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450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+450</w:t>
                  </w:r>
                </w:p>
              </w:tc>
              <w:tc>
                <w:tcPr>
                  <w:tcW w:w="450" w:type="pct"/>
                  <w:vMerge w:val="continue"/>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定子迭压焊机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HY-640</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restart"/>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焊接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氩弧焊机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金属纵剪机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纵剪</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攻丝机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450" w:type="pct"/>
                  <w:tcBorders>
                    <w:top w:val="single" w:color="auto" w:sz="4" w:space="0"/>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攻丝加工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铣床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restart"/>
                  <w:tcBorders>
                    <w:top w:val="single" w:color="auto" w:sz="4" w:space="0"/>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机加工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液压机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Y32</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磨床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M7150X16/HZ</w:t>
                  </w:r>
                  <w:r>
                    <w:rPr>
                      <w:rFonts w:hint="eastAsia"/>
                      <w:szCs w:val="21"/>
                    </w:rPr>
                    <w:t>、</w:t>
                  </w:r>
                  <w:r>
                    <w:rPr>
                      <w:szCs w:val="21"/>
                    </w:rPr>
                    <w:t>KSG-618</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摇臂钻床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ZQ3032X9</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台式钻床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Z516B</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车床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C6132E-02</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仪表车床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CJO645</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砂轮机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数控机床</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+10</w:t>
                  </w:r>
                </w:p>
              </w:tc>
              <w:tc>
                <w:tcPr>
                  <w:tcW w:w="450" w:type="pct"/>
                  <w:vMerge w:val="continue"/>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入轴机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入轴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注塑机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注塑成型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烘箱</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固化</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涂敷机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FEK-TC-302</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涂敷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空气干燥机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restart"/>
                  <w:tcBorders>
                    <w:top w:val="single" w:color="auto" w:sz="4" w:space="0"/>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辅助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自动化检测/压装设备</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7</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+7</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空压机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FC-30B</w:t>
                  </w:r>
                  <w:r>
                    <w:rPr>
                      <w:rFonts w:hint="eastAsia"/>
                      <w:szCs w:val="21"/>
                    </w:rPr>
                    <w:t>、</w:t>
                  </w:r>
                  <w:r>
                    <w:rPr>
                      <w:szCs w:val="21"/>
                    </w:rPr>
                    <w:t>LCH-30</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废料线</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叉车</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电动叉车</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单梁桥式起重机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23</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+23</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智能仓库</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智能仓储系统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投影仪</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CPJ-3025A</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三坐标</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涡流金属电导仪</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Sigma2008B/C</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转子导条检测仪</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MC-1501</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XRF光谱检测仪</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MES系统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ERP系统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PDM系统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SAP系统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工位屏</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智能看板</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+60</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监控系统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网络系统</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机械手臂</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作业机器人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废气回收设施</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53</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机架式服务器主机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DELLR</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54</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不间断电源</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szCs w:val="21"/>
                    </w:rPr>
                    <w:t>C3KR</w:t>
                  </w:r>
                  <w:r>
                    <w:rPr>
                      <w:rFonts w:hint="eastAsia"/>
                      <w:szCs w:val="21"/>
                      <w:lang w:eastAsia="zh-CN"/>
                    </w:rPr>
                    <w:t>S2</w:t>
                  </w:r>
                  <w:r>
                    <w:rPr>
                      <w:szCs w:val="21"/>
                    </w:rPr>
                    <w:t>KVA</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55</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伺服控制柜</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56</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电动力柜</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34</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+34</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57</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500KV变压器</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58</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800KV变压器</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59</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动力电线</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60</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1.5吨堆高车</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61</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地磅</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60T</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3" w:type="pc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62</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eastAsia="宋体"/>
                      <w:szCs w:val="21"/>
                      <w:lang w:eastAsia="zh-CN"/>
                    </w:rPr>
                  </w:pPr>
                  <w:r>
                    <w:rPr>
                      <w:rFonts w:hint="eastAsia"/>
                      <w:szCs w:val="21"/>
                      <w:lang w:eastAsia="zh-CN"/>
                    </w:rPr>
                    <w:t>冷水机</w:t>
                  </w:r>
                </w:p>
              </w:tc>
              <w:tc>
                <w:tcPr>
                  <w:tcW w:w="1613"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default" w:eastAsia="宋体"/>
                      <w:szCs w:val="21"/>
                      <w:lang w:val="en-US" w:eastAsia="zh-CN"/>
                    </w:rPr>
                  </w:pPr>
                  <w:r>
                    <w:rPr>
                      <w:rFonts w:hint="eastAsia"/>
                      <w:szCs w:val="21"/>
                      <w:lang w:val="en-US" w:eastAsia="zh-CN"/>
                    </w:rPr>
                    <w:t>5t/h</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eastAsia="宋体"/>
                      <w:szCs w:val="21"/>
                      <w:lang w:val="en-US" w:eastAsia="zh-CN"/>
                    </w:rPr>
                  </w:pPr>
                  <w:r>
                    <w:rPr>
                      <w:rFonts w:hint="eastAsia"/>
                      <w:szCs w:val="21"/>
                      <w:lang w:val="en-US" w:eastAsia="zh-CN"/>
                    </w:rPr>
                    <w:t>0</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eastAsia="宋体"/>
                      <w:szCs w:val="21"/>
                      <w:lang w:val="en-US" w:eastAsia="zh-CN"/>
                    </w:rPr>
                  </w:pPr>
                  <w:r>
                    <w:rPr>
                      <w:rFonts w:hint="eastAsia"/>
                      <w:szCs w:val="21"/>
                      <w:lang w:val="en-US" w:eastAsia="zh-CN"/>
                    </w:rPr>
                    <w:t>1</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w:t>
                  </w:r>
                </w:p>
              </w:tc>
              <w:tc>
                <w:tcPr>
                  <w:tcW w:w="450" w:type="pct"/>
                  <w:vMerge w:val="continue"/>
                  <w:tcBorders>
                    <w:left w:val="single" w:color="000000"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792" w:type="pct"/>
                  <w:gridSpan w:val="3"/>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szCs w:val="21"/>
                    </w:rPr>
                  </w:pPr>
                  <w:r>
                    <w:rPr>
                      <w:rFonts w:hint="eastAsia"/>
                      <w:szCs w:val="21"/>
                    </w:rPr>
                    <w:t>合计</w:t>
                  </w:r>
                </w:p>
              </w:tc>
              <w:tc>
                <w:tcPr>
                  <w:tcW w:w="575" w:type="pc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szCs w:val="21"/>
                    </w:rPr>
                  </w:pPr>
                  <w:r>
                    <w:rPr>
                      <w:rFonts w:hint="eastAsia"/>
                      <w:szCs w:val="21"/>
                    </w:rPr>
                    <w:t>17</w:t>
                  </w:r>
                </w:p>
              </w:tc>
              <w:tc>
                <w:tcPr>
                  <w:tcW w:w="582" w:type="pct"/>
                  <w:tcBorders>
                    <w:top w:val="single" w:color="000000"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eastAsia="宋体"/>
                      <w:szCs w:val="21"/>
                      <w:lang w:eastAsia="zh-CN"/>
                    </w:rPr>
                  </w:pPr>
                  <w:r>
                    <w:rPr>
                      <w:rFonts w:hint="eastAsia"/>
                      <w:szCs w:val="21"/>
                    </w:rPr>
                    <w:t>103</w:t>
                  </w:r>
                  <w:r>
                    <w:rPr>
                      <w:rFonts w:hint="eastAsia"/>
                      <w:szCs w:val="21"/>
                      <w:lang w:val="en-US" w:eastAsia="zh-CN"/>
                    </w:rPr>
                    <w:t>4</w:t>
                  </w:r>
                </w:p>
              </w:tc>
              <w:tc>
                <w:tcPr>
                  <w:tcW w:w="599" w:type="pc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eastAsia="宋体"/>
                      <w:szCs w:val="21"/>
                      <w:lang w:eastAsia="zh-CN"/>
                    </w:rPr>
                  </w:pPr>
                  <w:r>
                    <w:rPr>
                      <w:rFonts w:hint="eastAsia"/>
                      <w:szCs w:val="21"/>
                    </w:rPr>
                    <w:t>+101</w:t>
                  </w:r>
                  <w:r>
                    <w:rPr>
                      <w:rFonts w:hint="eastAsia"/>
                      <w:szCs w:val="21"/>
                      <w:lang w:val="en-US" w:eastAsia="zh-CN"/>
                    </w:rPr>
                    <w:t>7</w:t>
                  </w:r>
                </w:p>
              </w:tc>
              <w:tc>
                <w:tcPr>
                  <w:tcW w:w="450" w:type="pct"/>
                  <w:tcBorders>
                    <w:left w:val="single" w:color="000000" w:sz="4" w:space="0"/>
                    <w:bottom w:val="single" w:color="auto" w:sz="4" w:space="0"/>
                    <w:right w:val="nil"/>
                  </w:tcBorders>
                  <w:vAlign w:val="center"/>
                </w:tcPr>
                <w:p>
                  <w:pPr>
                    <w:keepNext w:val="0"/>
                    <w:keepLines w:val="0"/>
                    <w:suppressLineNumbers w:val="0"/>
                    <w:spacing w:before="0" w:beforeAutospacing="0" w:after="0" w:afterAutospacing="0" w:line="320" w:lineRule="exact"/>
                    <w:ind w:left="0" w:right="0"/>
                    <w:jc w:val="center"/>
                    <w:rPr>
                      <w:szCs w:val="21"/>
                    </w:rPr>
                  </w:pPr>
                  <w:r>
                    <w:rPr>
                      <w:rFonts w:hint="eastAsia"/>
                      <w:szCs w:val="21"/>
                    </w:rPr>
                    <w:t>/</w:t>
                  </w:r>
                </w:p>
              </w:tc>
            </w:tr>
          </w:tbl>
          <w:p>
            <w:pPr>
              <w:keepNext w:val="0"/>
              <w:keepLines w:val="0"/>
              <w:suppressLineNumbers w:val="0"/>
              <w:adjustRightInd w:val="0"/>
              <w:snapToGrid w:val="0"/>
              <w:spacing w:before="0" w:beforeAutospacing="0" w:after="0" w:afterAutospacing="0" w:line="360" w:lineRule="auto"/>
              <w:ind w:left="0" w:right="0"/>
              <w:rPr>
                <w:b/>
                <w:color w:val="000000"/>
                <w:sz w:val="24"/>
              </w:rPr>
            </w:pPr>
            <w:r>
              <w:rPr>
                <w:rFonts w:hint="eastAsia"/>
                <w:b/>
                <w:color w:val="000000"/>
                <w:sz w:val="24"/>
              </w:rPr>
              <w:t>7</w:t>
            </w:r>
            <w:r>
              <w:rPr>
                <w:b/>
                <w:color w:val="000000"/>
                <w:sz w:val="24"/>
              </w:rPr>
              <w:t>、</w:t>
            </w:r>
            <w:r>
              <w:rPr>
                <w:rFonts w:hint="eastAsia"/>
                <w:b/>
                <w:color w:val="000000"/>
                <w:sz w:val="24"/>
              </w:rPr>
              <w:t>主要原辅材料</w:t>
            </w:r>
          </w:p>
          <w:p>
            <w:pPr>
              <w:keepNext w:val="0"/>
              <w:keepLines w:val="0"/>
              <w:suppressLineNumbers w:val="0"/>
              <w:spacing w:before="0" w:beforeAutospacing="0" w:after="0" w:afterAutospacing="0" w:line="360" w:lineRule="auto"/>
              <w:ind w:left="0" w:right="0" w:firstLine="480" w:firstLineChars="200"/>
              <w:rPr>
                <w:color w:val="000000"/>
                <w:sz w:val="24"/>
              </w:rPr>
            </w:pPr>
            <w:r>
              <w:rPr>
                <w:rFonts w:hint="eastAsia"/>
                <w:color w:val="000000"/>
                <w:sz w:val="24"/>
              </w:rPr>
              <w:t>本项目主要原辅材料及年用量见下表：</w:t>
            </w:r>
          </w:p>
          <w:p>
            <w:pPr>
              <w:keepNext w:val="0"/>
              <w:keepLines w:val="0"/>
              <w:suppressLineNumbers w:val="0"/>
              <w:tabs>
                <w:tab w:val="center" w:pos="4393"/>
                <w:tab w:val="left" w:pos="7140"/>
              </w:tabs>
              <w:spacing w:before="0" w:beforeAutospacing="0" w:after="0" w:afterAutospacing="0"/>
              <w:ind w:left="0" w:right="0"/>
              <w:jc w:val="center"/>
              <w:rPr>
                <w:b/>
                <w:bCs/>
                <w:sz w:val="24"/>
              </w:rPr>
            </w:pPr>
            <w:r>
              <w:rPr>
                <w:b/>
                <w:bCs/>
                <w:sz w:val="24"/>
              </w:rPr>
              <w:t>表</w:t>
            </w:r>
            <w:r>
              <w:rPr>
                <w:rFonts w:hint="eastAsia"/>
                <w:b/>
                <w:bCs/>
                <w:sz w:val="24"/>
              </w:rPr>
              <w:t>2-5</w:t>
            </w:r>
            <w:r>
              <w:rPr>
                <w:b/>
                <w:bCs/>
                <w:sz w:val="24"/>
              </w:rPr>
              <w:t xml:space="preserve"> </w:t>
            </w:r>
            <w:r>
              <w:rPr>
                <w:rFonts w:hint="eastAsia"/>
                <w:b/>
                <w:bCs/>
                <w:sz w:val="24"/>
              </w:rPr>
              <w:t xml:space="preserve"> </w:t>
            </w:r>
            <w:r>
              <w:rPr>
                <w:b/>
                <w:bCs/>
                <w:sz w:val="24"/>
              </w:rPr>
              <w:t>主要原辅材料消耗状况</w:t>
            </w:r>
          </w:p>
          <w:tbl>
            <w:tblPr>
              <w:tblStyle w:val="2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57"/>
              <w:gridCol w:w="1271"/>
              <w:gridCol w:w="803"/>
              <w:gridCol w:w="1007"/>
              <w:gridCol w:w="1009"/>
              <w:gridCol w:w="964"/>
              <w:gridCol w:w="1185"/>
              <w:gridCol w:w="5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pct"/>
                  <w:gridSpan w:val="2"/>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原料</w:t>
                  </w:r>
                  <w:r>
                    <w:rPr>
                      <w:b/>
                      <w:bCs/>
                      <w:szCs w:val="21"/>
                    </w:rPr>
                    <w:t>名称</w:t>
                  </w:r>
                </w:p>
              </w:tc>
              <w:tc>
                <w:tcPr>
                  <w:tcW w:w="752" w:type="pct"/>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规格组分</w:t>
                  </w:r>
                </w:p>
              </w:tc>
              <w:tc>
                <w:tcPr>
                  <w:tcW w:w="475" w:type="pct"/>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包装</w:t>
                  </w:r>
                </w:p>
              </w:tc>
              <w:tc>
                <w:tcPr>
                  <w:tcW w:w="1763" w:type="pct"/>
                  <w:gridSpan w:val="3"/>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年用量</w:t>
                  </w:r>
                  <w:r>
                    <w:rPr>
                      <w:rFonts w:hint="eastAsia"/>
                      <w:b/>
                      <w:bCs/>
                      <w:szCs w:val="21"/>
                    </w:rPr>
                    <w:t>（单位/年）</w:t>
                  </w:r>
                </w:p>
              </w:tc>
              <w:tc>
                <w:tcPr>
                  <w:tcW w:w="701" w:type="pct"/>
                  <w:vMerge w:val="restart"/>
                  <w:vAlign w:val="center"/>
                </w:tcPr>
                <w:p>
                  <w:pPr>
                    <w:keepNext w:val="0"/>
                    <w:keepLines w:val="0"/>
                    <w:suppressLineNumbers w:val="0"/>
                    <w:adjustRightInd w:val="0"/>
                    <w:snapToGrid w:val="0"/>
                    <w:spacing w:before="0" w:beforeAutospacing="0" w:after="0" w:afterAutospacing="0"/>
                    <w:ind w:left="0" w:right="0"/>
                    <w:jc w:val="center"/>
                    <w:rPr>
                      <w:rFonts w:hint="eastAsia" w:eastAsia="宋体"/>
                      <w:b/>
                      <w:bCs/>
                      <w:szCs w:val="21"/>
                      <w:lang w:val="en-US" w:eastAsia="zh-CN"/>
                    </w:rPr>
                  </w:pPr>
                  <w:r>
                    <w:rPr>
                      <w:rFonts w:hint="eastAsia"/>
                      <w:b/>
                      <w:bCs/>
                      <w:szCs w:val="21"/>
                      <w:lang w:val="en-US" w:eastAsia="zh-CN"/>
                    </w:rPr>
                    <w:t>最大储存量（单位）</w:t>
                  </w:r>
                </w:p>
              </w:tc>
              <w:tc>
                <w:tcPr>
                  <w:tcW w:w="304" w:type="pct"/>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pct"/>
                  <w:gridSpan w:val="2"/>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752" w:type="pct"/>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475" w:type="pct"/>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596"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迁建前</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迁建后</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变化量</w:t>
                  </w:r>
                </w:p>
              </w:tc>
              <w:tc>
                <w:tcPr>
                  <w:tcW w:w="701" w:type="pct"/>
                  <w:vMerge w:val="continue"/>
                  <w:vAlign w:val="center"/>
                </w:tcPr>
                <w:p>
                  <w:pPr>
                    <w:keepNext w:val="0"/>
                    <w:keepLines w:val="0"/>
                    <w:suppressLineNumbers w:val="0"/>
                    <w:adjustRightInd w:val="0"/>
                    <w:snapToGrid w:val="0"/>
                    <w:spacing w:before="0" w:beforeAutospacing="0" w:after="0" w:afterAutospacing="0"/>
                    <w:ind w:left="0" w:right="0"/>
                    <w:jc w:val="center"/>
                    <w:rPr>
                      <w:rFonts w:hint="eastAsia"/>
                      <w:b/>
                      <w:bCs/>
                      <w:szCs w:val="21"/>
                    </w:rPr>
                  </w:pP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电机铁芯、电机机壳</w:t>
                  </w: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硅钢钢材</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堆放</w:t>
                  </w:r>
                </w:p>
              </w:tc>
              <w:tc>
                <w:tcPr>
                  <w:tcW w:w="596" w:type="pct"/>
                  <w:vAlign w:val="center"/>
                </w:tcPr>
                <w:p>
                  <w:pPr>
                    <w:keepNext w:val="0"/>
                    <w:keepLines w:val="0"/>
                    <w:widowControl/>
                    <w:suppressLineNumbers w:val="0"/>
                    <w:spacing w:before="0" w:beforeAutospacing="0" w:after="0" w:afterAutospacing="0"/>
                    <w:ind w:left="0" w:right="0"/>
                    <w:jc w:val="center"/>
                    <w:textAlignment w:val="center"/>
                    <w:rPr>
                      <w:rFonts w:hint="default" w:eastAsia="宋体"/>
                      <w:szCs w:val="21"/>
                      <w:lang w:val="en-US" w:eastAsia="zh-CN"/>
                    </w:rPr>
                  </w:pPr>
                  <w:r>
                    <w:rPr>
                      <w:rFonts w:hint="eastAsia"/>
                      <w:szCs w:val="21"/>
                      <w:lang w:val="en-US" w:eastAsia="zh-CN"/>
                    </w:rPr>
                    <w:t>28000</w:t>
                  </w:r>
                </w:p>
              </w:tc>
              <w:tc>
                <w:tcPr>
                  <w:tcW w:w="597"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lang w:val="en-US" w:eastAsia="zh-CN"/>
                    </w:rPr>
                    <w:t>5</w:t>
                  </w:r>
                  <w:r>
                    <w:rPr>
                      <w:rFonts w:hint="eastAsia"/>
                      <w:szCs w:val="21"/>
                    </w:rPr>
                    <w:t>0000t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r>
                    <w:rPr>
                      <w:rFonts w:hint="eastAsia"/>
                      <w:szCs w:val="21"/>
                      <w:lang w:val="en-US" w:eastAsia="zh-CN"/>
                    </w:rPr>
                    <w:t>22000</w:t>
                  </w:r>
                  <w:r>
                    <w:rPr>
                      <w:rFonts w:hint="eastAsia"/>
                      <w:szCs w:val="21"/>
                    </w:rPr>
                    <w:t>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5000t</w:t>
                  </w:r>
                </w:p>
              </w:tc>
              <w:tc>
                <w:tcPr>
                  <w:tcW w:w="304" w:type="pct"/>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镀锌钢材</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堆放</w:t>
                  </w:r>
                </w:p>
              </w:tc>
              <w:tc>
                <w:tcPr>
                  <w:tcW w:w="596"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rPr>
                    <w:t>0</w:t>
                  </w:r>
                </w:p>
              </w:tc>
              <w:tc>
                <w:tcPr>
                  <w:tcW w:w="597"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rPr>
                    <w:t>10000t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+10000t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1000t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转轴</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szCs w:val="21"/>
                    </w:rPr>
                    <w:t>堆放</w:t>
                  </w:r>
                </w:p>
              </w:tc>
              <w:tc>
                <w:tcPr>
                  <w:tcW w:w="596"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rPr>
                    <w:t>0</w:t>
                  </w:r>
                </w:p>
              </w:tc>
              <w:tc>
                <w:tcPr>
                  <w:tcW w:w="597"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rPr>
                    <w:t>3000万套</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+3000万套</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300万套</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环氧树脂粉</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环氧树脂40%-70%，硅酸盐填料20%-40%，固化剂1%-3%，钛白粉&lt;1.5%，催化剂&lt;0.5%</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25kg/袋</w:t>
                  </w:r>
                </w:p>
              </w:tc>
              <w:tc>
                <w:tcPr>
                  <w:tcW w:w="596" w:type="pct"/>
                  <w:vAlign w:val="center"/>
                </w:tcPr>
                <w:p>
                  <w:pPr>
                    <w:keepNext w:val="0"/>
                    <w:keepLines w:val="0"/>
                    <w:widowControl/>
                    <w:suppressLineNumbers w:val="0"/>
                    <w:spacing w:before="0" w:beforeAutospacing="0" w:after="0" w:afterAutospacing="0"/>
                    <w:ind w:left="0" w:right="0"/>
                    <w:jc w:val="center"/>
                    <w:textAlignment w:val="center"/>
                    <w:rPr>
                      <w:rFonts w:eastAsiaTheme="minorEastAsia"/>
                    </w:rPr>
                  </w:pPr>
                  <w:r>
                    <w:rPr>
                      <w:rFonts w:hint="eastAsia"/>
                      <w:kern w:val="0"/>
                      <w:szCs w:val="21"/>
                    </w:rPr>
                    <w:t>0t</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100t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+100t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10t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聚丙烯粒子</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聚丙烯</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25kg/</w:t>
                  </w:r>
                  <w:r>
                    <w:rPr>
                      <w:rFonts w:hint="eastAsia" w:ascii="宋体" w:hAnsi="宋体"/>
                      <w:szCs w:val="21"/>
                    </w:rPr>
                    <w:t>袋</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0t</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50t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+50t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5t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szCs w:val="21"/>
                      <w:highlight w:val="none"/>
                    </w:rPr>
                    <w:t>防锈油</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highlight w:val="yellow"/>
                      <w:lang w:val="en-US" w:eastAsia="zh-CN"/>
                    </w:rPr>
                  </w:pPr>
                  <w:r>
                    <w:rPr>
                      <w:rFonts w:hint="eastAsia"/>
                      <w:szCs w:val="21"/>
                      <w:highlight w:val="none"/>
                      <w:lang w:val="en-US" w:eastAsia="zh-CN"/>
                    </w:rPr>
                    <w:t>矿物油，重油</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170kg/桶</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0.85t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液压油</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矿物油</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170kg/桶</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+1.7t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0.85t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冲压油</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eastAsia="zh-CN"/>
                    </w:rPr>
                    <w:t>合成基础</w:t>
                  </w:r>
                  <w:r>
                    <w:rPr>
                      <w:rFonts w:hint="eastAsia"/>
                      <w:szCs w:val="21"/>
                    </w:rPr>
                    <w:t>油</w:t>
                  </w:r>
                  <w:r>
                    <w:rPr>
                      <w:rFonts w:hint="eastAsia"/>
                      <w:szCs w:val="21"/>
                      <w:lang w:val="en-US" w:eastAsia="zh-CN"/>
                    </w:rPr>
                    <w:t>90-95%、添加剂5-10%</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1t/桶</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20</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lang w:val="en-US" w:eastAsia="zh-CN"/>
                    </w:rPr>
                    <w:t>4</w:t>
                  </w:r>
                  <w:r>
                    <w:rPr>
                      <w:rFonts w:hint="eastAsia"/>
                      <w:szCs w:val="21"/>
                    </w:rPr>
                    <w:t>0t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+20t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10t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rPr>
                    <w:t>切削</w:t>
                  </w:r>
                  <w:r>
                    <w:rPr>
                      <w:rFonts w:hint="eastAsia"/>
                      <w:szCs w:val="21"/>
                      <w:lang w:eastAsia="zh-CN"/>
                    </w:rPr>
                    <w:t>油</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hAnsi="宋体"/>
                      <w:szCs w:val="21"/>
                      <w:highlight w:val="none"/>
                      <w:lang w:eastAsia="zh-CN"/>
                    </w:rPr>
                    <w:t>矿物油</w:t>
                  </w:r>
                </w:p>
              </w:tc>
              <w:tc>
                <w:tcPr>
                  <w:tcW w:w="475" w:type="pct"/>
                  <w:vAlign w:val="center"/>
                </w:tcPr>
                <w:p>
                  <w:pPr>
                    <w:keepNext w:val="0"/>
                    <w:keepLines w:val="0"/>
                    <w:widowControl/>
                    <w:suppressLineNumbers w:val="0"/>
                    <w:spacing w:before="0" w:beforeAutospacing="0" w:after="0" w:afterAutospacing="0"/>
                    <w:ind w:left="0" w:right="0"/>
                    <w:jc w:val="center"/>
                    <w:textAlignment w:val="center"/>
                    <w:rPr>
                      <w:kern w:val="0"/>
                      <w:szCs w:val="21"/>
                    </w:rPr>
                  </w:pPr>
                  <w:r>
                    <w:rPr>
                      <w:kern w:val="0"/>
                      <w:szCs w:val="21"/>
                    </w:rPr>
                    <w:t>25kg/桶</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0.5t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7"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2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氩气</w:t>
                  </w:r>
                </w:p>
              </w:tc>
              <w:tc>
                <w:tcPr>
                  <w:tcW w:w="7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47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50kg/瓶</w:t>
                  </w:r>
                </w:p>
              </w:tc>
              <w:tc>
                <w:tcPr>
                  <w:tcW w:w="5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0.6t</w:t>
                  </w:r>
                </w:p>
              </w:tc>
              <w:tc>
                <w:tcPr>
                  <w:tcW w:w="570"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+0.6t</w:t>
                  </w:r>
                </w:p>
              </w:tc>
              <w:tc>
                <w:tcPr>
                  <w:tcW w:w="701"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0.2t</w:t>
                  </w:r>
                </w:p>
              </w:tc>
              <w:tc>
                <w:tcPr>
                  <w:tcW w:w="304"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bl>
          <w:p>
            <w:pPr>
              <w:keepNext w:val="0"/>
              <w:keepLines w:val="0"/>
              <w:suppressLineNumbers w:val="0"/>
              <w:adjustRightInd w:val="0"/>
              <w:snapToGrid w:val="0"/>
              <w:spacing w:before="0" w:beforeAutospacing="0" w:after="0" w:afterAutospacing="0"/>
              <w:ind w:left="0" w:right="0"/>
              <w:jc w:val="center"/>
              <w:rPr>
                <w:rFonts w:ascii="宋体" w:hAnsi="宋体"/>
                <w:b/>
                <w:bCs/>
                <w:color w:val="FF0000"/>
                <w:sz w:val="24"/>
              </w:rPr>
            </w:pPr>
            <w:r>
              <w:rPr>
                <w:b/>
                <w:sz w:val="24"/>
              </w:rPr>
              <w:t>表</w:t>
            </w:r>
            <w:r>
              <w:rPr>
                <w:rFonts w:hint="eastAsia"/>
                <w:b/>
                <w:sz w:val="24"/>
              </w:rPr>
              <w:t>2-6</w:t>
            </w:r>
            <w:r>
              <w:rPr>
                <w:b/>
                <w:sz w:val="24"/>
              </w:rPr>
              <w:t xml:space="preserve"> </w:t>
            </w:r>
            <w:r>
              <w:rPr>
                <w:rFonts w:hint="eastAsia"/>
                <w:b/>
                <w:sz w:val="24"/>
              </w:rPr>
              <w:t xml:space="preserve"> </w:t>
            </w:r>
            <w:r>
              <w:rPr>
                <w:b/>
                <w:sz w:val="24"/>
              </w:rPr>
              <w:t>原辅材料理化性质</w:t>
            </w:r>
          </w:p>
          <w:tbl>
            <w:tblPr>
              <w:tblStyle w:val="21"/>
              <w:tblW w:w="5000" w:type="pct"/>
              <w:jc w:val="center"/>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17"/>
              <w:gridCol w:w="1009"/>
              <w:gridCol w:w="6726"/>
            </w:tblGrid>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名称</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危规号</w:t>
                  </w:r>
                </w:p>
              </w:tc>
              <w:tc>
                <w:tcPr>
                  <w:tcW w:w="3979"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理化性质</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硅钢片</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w:t>
                  </w:r>
                </w:p>
              </w:tc>
              <w:tc>
                <w:tcPr>
                  <w:tcW w:w="3979" w:type="pct"/>
                  <w:vAlign w:val="center"/>
                </w:tcPr>
                <w:p>
                  <w:pPr>
                    <w:keepNext w:val="0"/>
                    <w:keepLines w:val="0"/>
                    <w:suppressLineNumbers w:val="0"/>
                    <w:adjustRightInd w:val="0"/>
                    <w:snapToGrid w:val="0"/>
                    <w:spacing w:before="0" w:beforeAutospacing="0" w:after="0" w:afterAutospacing="0"/>
                    <w:ind w:left="0" w:right="0"/>
                    <w:rPr>
                      <w:szCs w:val="21"/>
                    </w:rPr>
                  </w:pPr>
                  <w:r>
                    <w:rPr>
                      <w:rFonts w:hAnsi="宋体"/>
                      <w:szCs w:val="21"/>
                    </w:rPr>
                    <w:t>硅钢片是一种含碳极低的</w:t>
                  </w:r>
                  <w:r>
                    <w:fldChar w:fldCharType="begin"/>
                  </w:r>
                  <w:r>
                    <w:instrText xml:space="preserve"> HYPERLINK "https://baike.baidu.com/item/%E7%A1%85%E9%93%81/1154185" \t "_blank" </w:instrText>
                  </w:r>
                  <w:r>
                    <w:fldChar w:fldCharType="separate"/>
                  </w:r>
                  <w:r>
                    <w:rPr>
                      <w:rFonts w:hAnsi="宋体"/>
                      <w:szCs w:val="21"/>
                    </w:rPr>
                    <w:t>硅铁</w:t>
                  </w:r>
                  <w:r>
                    <w:rPr>
                      <w:rFonts w:hAnsi="宋体"/>
                      <w:szCs w:val="21"/>
                    </w:rPr>
                    <w:fldChar w:fldCharType="end"/>
                  </w:r>
                  <w:r>
                    <w:rPr>
                      <w:rFonts w:hAnsi="宋体"/>
                      <w:szCs w:val="21"/>
                    </w:rPr>
                    <w:t>软磁</w:t>
                  </w:r>
                  <w:r>
                    <w:fldChar w:fldCharType="begin"/>
                  </w:r>
                  <w:r>
                    <w:instrText xml:space="preserve"> HYPERLINK "https://baike.baidu.com/item/%E5%90%88%E9%87%91/1840333" \t "_blank" </w:instrText>
                  </w:r>
                  <w:r>
                    <w:fldChar w:fldCharType="separate"/>
                  </w:r>
                  <w:r>
                    <w:rPr>
                      <w:rFonts w:hAnsi="宋体"/>
                      <w:szCs w:val="21"/>
                    </w:rPr>
                    <w:t>合金</w:t>
                  </w:r>
                  <w:r>
                    <w:rPr>
                      <w:rFonts w:hAnsi="宋体"/>
                      <w:szCs w:val="21"/>
                    </w:rPr>
                    <w:fldChar w:fldCharType="end"/>
                  </w:r>
                  <w:r>
                    <w:rPr>
                      <w:rFonts w:hAnsi="宋体"/>
                      <w:szCs w:val="21"/>
                    </w:rPr>
                    <w:t>，一般含</w:t>
                  </w:r>
                  <w:r>
                    <w:fldChar w:fldCharType="begin"/>
                  </w:r>
                  <w:r>
                    <w:instrText xml:space="preserve"> HYPERLINK "https://baike.baidu.com/item/%E7%A1%85/2142941" \t "_blank" </w:instrText>
                  </w:r>
                  <w:r>
                    <w:fldChar w:fldCharType="separate"/>
                  </w:r>
                  <w:r>
                    <w:rPr>
                      <w:rFonts w:hAnsi="宋体"/>
                      <w:szCs w:val="21"/>
                    </w:rPr>
                    <w:t>硅</w:t>
                  </w:r>
                  <w:r>
                    <w:rPr>
                      <w:rFonts w:hAnsi="宋体"/>
                      <w:szCs w:val="21"/>
                    </w:rPr>
                    <w:fldChar w:fldCharType="end"/>
                  </w:r>
                  <w:r>
                    <w:rPr>
                      <w:rFonts w:hAnsi="宋体"/>
                      <w:szCs w:val="21"/>
                    </w:rPr>
                    <w:t>量为</w:t>
                  </w:r>
                  <w:r>
                    <w:rPr>
                      <w:szCs w:val="21"/>
                    </w:rPr>
                    <w:t>0.5</w:t>
                  </w:r>
                  <w:r>
                    <w:rPr>
                      <w:rFonts w:hAnsi="宋体"/>
                      <w:szCs w:val="21"/>
                    </w:rPr>
                    <w:t>～</w:t>
                  </w:r>
                  <w:r>
                    <w:rPr>
                      <w:szCs w:val="21"/>
                    </w:rPr>
                    <w:t>4.5%</w:t>
                  </w:r>
                  <w:r>
                    <w:rPr>
                      <w:rFonts w:hAnsi="宋体"/>
                      <w:szCs w:val="21"/>
                    </w:rPr>
                    <w:t>，主要用来制作各种变压器、电动机和发电机的</w:t>
                  </w:r>
                  <w:r>
                    <w:fldChar w:fldCharType="begin"/>
                  </w:r>
                  <w:r>
                    <w:instrText xml:space="preserve"> HYPERLINK "https://baike.baidu.com/item/%E9%93%81%E8%8A%AF" \t "_blank" </w:instrText>
                  </w:r>
                  <w:r>
                    <w:fldChar w:fldCharType="separate"/>
                  </w:r>
                  <w:r>
                    <w:rPr>
                      <w:rFonts w:hAnsi="宋体"/>
                      <w:szCs w:val="21"/>
                    </w:rPr>
                    <w:t>铁芯</w:t>
                  </w:r>
                  <w:r>
                    <w:rPr>
                      <w:rFonts w:hAnsi="宋体"/>
                      <w:szCs w:val="21"/>
                    </w:rPr>
                    <w:fldChar w:fldCharType="end"/>
                  </w:r>
                  <w:r>
                    <w:rPr>
                      <w:rFonts w:hAnsi="宋体"/>
                      <w:szCs w:val="21"/>
                    </w:rPr>
                    <w:t>。世界硅钢片产量约占钢材总量的</w:t>
                  </w:r>
                  <w:r>
                    <w:rPr>
                      <w:szCs w:val="21"/>
                    </w:rPr>
                    <w:t>1%</w:t>
                  </w:r>
                  <w:r>
                    <w:rPr>
                      <w:rFonts w:hAnsi="宋体"/>
                      <w:szCs w:val="21"/>
                    </w:rPr>
                    <w:t>（见精密合金）。</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冲压油</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w:t>
                  </w:r>
                </w:p>
              </w:tc>
              <w:tc>
                <w:tcPr>
                  <w:tcW w:w="3979" w:type="pct"/>
                  <w:vAlign w:val="center"/>
                </w:tcPr>
                <w:p>
                  <w:pPr>
                    <w:keepNext w:val="0"/>
                    <w:keepLines w:val="0"/>
                    <w:suppressLineNumbers w:val="0"/>
                    <w:adjustRightInd w:val="0"/>
                    <w:snapToGrid w:val="0"/>
                    <w:spacing w:before="0" w:beforeAutospacing="0" w:after="0" w:afterAutospacing="0"/>
                    <w:ind w:left="0" w:right="0"/>
                    <w:rPr>
                      <w:szCs w:val="21"/>
                    </w:rPr>
                  </w:pPr>
                  <w:r>
                    <w:rPr>
                      <w:rFonts w:hAnsi="宋体"/>
                      <w:szCs w:val="21"/>
                    </w:rPr>
                    <w:t>冲压油特别适用于冲孔、冲压、攻螺纹、攻槽等高强度操作。同时它亦非常适用于塑性成形加工中。有良好的润滑性和极压性，且对模具有良好的保护性能。</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环氧树脂粉</w:t>
                  </w:r>
                </w:p>
              </w:tc>
              <w:tc>
                <w:tcPr>
                  <w:tcW w:w="597" w:type="pct"/>
                  <w:vAlign w:val="center"/>
                </w:tcPr>
                <w:p>
                  <w:pPr>
                    <w:keepNext w:val="0"/>
                    <w:keepLines w:val="0"/>
                    <w:suppressLineNumbers w:val="0"/>
                    <w:adjustRightInd w:val="0"/>
                    <w:snapToGrid w:val="0"/>
                    <w:spacing w:before="0" w:beforeAutospacing="0" w:after="0" w:afterAutospacing="0"/>
                    <w:ind w:left="0" w:right="0"/>
                    <w:jc w:val="center"/>
                    <w:rPr>
                      <w:bCs/>
                    </w:rPr>
                  </w:pPr>
                  <w:r>
                    <w:rPr>
                      <w:rFonts w:hint="eastAsia"/>
                      <w:bCs/>
                    </w:rPr>
                    <w:t>/</w:t>
                  </w:r>
                </w:p>
              </w:tc>
              <w:tc>
                <w:tcPr>
                  <w:tcW w:w="3979" w:type="pct"/>
                  <w:vAlign w:val="center"/>
                </w:tcPr>
                <w:p>
                  <w:pPr>
                    <w:keepNext w:val="0"/>
                    <w:keepLines w:val="0"/>
                    <w:suppressLineNumbers w:val="0"/>
                    <w:adjustRightInd w:val="0"/>
                    <w:snapToGrid w:val="0"/>
                    <w:spacing w:before="0" w:beforeAutospacing="0" w:after="0" w:afterAutospacing="0"/>
                    <w:ind w:left="0" w:right="0"/>
                    <w:rPr>
                      <w:szCs w:val="21"/>
                    </w:rPr>
                  </w:pPr>
                  <w:r>
                    <w:rPr>
                      <w:rFonts w:hAnsi="宋体"/>
                      <w:szCs w:val="21"/>
                    </w:rPr>
                    <w:t>环氧树脂是指分子结构中含有两个或两个以上环氧基的高分子化合物。它能与胺、咪唑、酸酐、酚醛树脂等类固化剂进行配合使用，得到的制品具有优良的机械性能、绝缘性能、耐腐蚀性能、粘接性能和低收缩性能。</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widowControl/>
                    <w:suppressLineNumbers w:val="0"/>
                    <w:spacing w:before="0" w:beforeAutospacing="0" w:after="0" w:afterAutospacing="0"/>
                    <w:ind w:left="0" w:right="0"/>
                    <w:jc w:val="center"/>
                    <w:rPr>
                      <w:szCs w:val="21"/>
                    </w:rPr>
                  </w:pPr>
                  <w:r>
                    <w:rPr>
                      <w:szCs w:val="21"/>
                    </w:rPr>
                    <w:t>聚丙烯</w:t>
                  </w:r>
                  <w:r>
                    <w:rPr>
                      <w:rFonts w:hint="eastAsia"/>
                      <w:szCs w:val="21"/>
                    </w:rPr>
                    <w:t>粒子</w:t>
                  </w:r>
                </w:p>
              </w:tc>
              <w:tc>
                <w:tcPr>
                  <w:tcW w:w="597" w:type="pct"/>
                  <w:vAlign w:val="center"/>
                </w:tcPr>
                <w:p>
                  <w:pPr>
                    <w:keepNext w:val="0"/>
                    <w:keepLines w:val="0"/>
                    <w:suppressLineNumbers w:val="0"/>
                    <w:spacing w:before="0" w:beforeAutospacing="0" w:after="0" w:afterAutospacing="0"/>
                    <w:ind w:left="0" w:right="0"/>
                    <w:jc w:val="center"/>
                    <w:rPr>
                      <w:kern w:val="0"/>
                      <w:szCs w:val="21"/>
                    </w:rPr>
                  </w:pPr>
                  <w:r>
                    <w:rPr>
                      <w:kern w:val="0"/>
                    </w:rPr>
                    <w:t>/</w:t>
                  </w:r>
                </w:p>
              </w:tc>
              <w:tc>
                <w:tcPr>
                  <w:tcW w:w="3979" w:type="pct"/>
                  <w:vAlign w:val="center"/>
                </w:tcPr>
                <w:p>
                  <w:pPr>
                    <w:keepNext w:val="0"/>
                    <w:keepLines w:val="0"/>
                    <w:widowControl/>
                    <w:suppressLineNumbers w:val="0"/>
                    <w:spacing w:before="0" w:beforeAutospacing="0" w:after="0" w:afterAutospacing="0"/>
                    <w:ind w:left="0" w:right="0"/>
                    <w:rPr>
                      <w:szCs w:val="21"/>
                    </w:rPr>
                  </w:pPr>
                  <w:r>
                    <w:rPr>
                      <w:rFonts w:hAnsi="宋体"/>
                      <w:szCs w:val="21"/>
                    </w:rPr>
                    <w:t>性状：白色粉末；密度（</w:t>
                  </w:r>
                  <w:r>
                    <w:rPr>
                      <w:szCs w:val="21"/>
                    </w:rPr>
                    <w:t>g/mLat 25</w:t>
                  </w:r>
                  <w:r>
                    <w:rPr>
                      <w:rFonts w:hAnsi="宋体"/>
                      <w:szCs w:val="21"/>
                    </w:rPr>
                    <w:t>℃）：</w:t>
                  </w:r>
                  <w:r>
                    <w:rPr>
                      <w:szCs w:val="21"/>
                    </w:rPr>
                    <w:t>0.9</w:t>
                  </w:r>
                  <w:r>
                    <w:rPr>
                      <w:rFonts w:hAnsi="宋体"/>
                      <w:szCs w:val="21"/>
                    </w:rPr>
                    <w:t>；熔点（℃）：</w:t>
                  </w:r>
                  <w:r>
                    <w:rPr>
                      <w:szCs w:val="21"/>
                    </w:rPr>
                    <w:t>189</w:t>
                  </w:r>
                  <w:r>
                    <w:rPr>
                      <w:rFonts w:hAnsi="宋体"/>
                      <w:szCs w:val="21"/>
                    </w:rPr>
                    <w:t>，一种半结晶的热塑性塑料。具有较高的耐冲击性，机械性质强韧，抗多种有机溶剂和酸碱腐蚀。在工业界有广泛的应用，是平常常见的高分子材料之一。</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防锈油</w:t>
                  </w:r>
                </w:p>
              </w:tc>
              <w:tc>
                <w:tcPr>
                  <w:tcW w:w="597" w:type="pct"/>
                  <w:vAlign w:val="center"/>
                </w:tcPr>
                <w:p>
                  <w:pPr>
                    <w:keepNext w:val="0"/>
                    <w:keepLines w:val="0"/>
                    <w:suppressLineNumbers w:val="0"/>
                    <w:spacing w:before="0" w:beforeAutospacing="0" w:after="0" w:afterAutospacing="0"/>
                    <w:ind w:left="0" w:right="0"/>
                    <w:jc w:val="center"/>
                    <w:rPr>
                      <w:kern w:val="0"/>
                    </w:rPr>
                  </w:pPr>
                  <w:r>
                    <w:rPr>
                      <w:rFonts w:hint="eastAsia"/>
                      <w:kern w:val="0"/>
                    </w:rPr>
                    <w:t>/</w:t>
                  </w:r>
                </w:p>
              </w:tc>
              <w:tc>
                <w:tcPr>
                  <w:tcW w:w="3979" w:type="pct"/>
                  <w:vAlign w:val="center"/>
                </w:tcPr>
                <w:p>
                  <w:pPr>
                    <w:keepNext w:val="0"/>
                    <w:keepLines w:val="0"/>
                    <w:widowControl/>
                    <w:suppressLineNumbers w:val="0"/>
                    <w:spacing w:before="0" w:beforeAutospacing="0" w:after="0" w:afterAutospacing="0"/>
                    <w:ind w:left="0" w:right="0"/>
                    <w:rPr>
                      <w:rFonts w:hAnsi="宋体"/>
                      <w:szCs w:val="21"/>
                    </w:rPr>
                  </w:pPr>
                  <w:r>
                    <w:rPr>
                      <w:rFonts w:hAnsi="宋体"/>
                      <w:szCs w:val="21"/>
                    </w:rPr>
                    <w:t>防锈油是一款外观呈红褐色具有防锈功能的油</w:t>
                  </w:r>
                  <w:r>
                    <w:fldChar w:fldCharType="begin"/>
                  </w:r>
                  <w:r>
                    <w:instrText xml:space="preserve"> HYPERLINK "https://baike.baidu.com/item/%E6%BA%B6%E5%89%82/1134519" \t "_blank" </w:instrText>
                  </w:r>
                  <w:r>
                    <w:fldChar w:fldCharType="separate"/>
                  </w:r>
                  <w:r>
                    <w:rPr>
                      <w:rFonts w:hAnsi="宋体"/>
                      <w:szCs w:val="21"/>
                    </w:rPr>
                    <w:t>溶剂</w:t>
                  </w:r>
                  <w:r>
                    <w:rPr>
                      <w:rFonts w:hAnsi="宋体"/>
                      <w:szCs w:val="21"/>
                    </w:rPr>
                    <w:fldChar w:fldCharType="end"/>
                  </w:r>
                  <w:r>
                    <w:rPr>
                      <w:rFonts w:hAnsi="宋体"/>
                      <w:szCs w:val="21"/>
                    </w:rPr>
                    <w:t>。由油溶性缓蚀剂、</w:t>
                  </w:r>
                  <w:r>
                    <w:fldChar w:fldCharType="begin"/>
                  </w:r>
                  <w:r>
                    <w:instrText xml:space="preserve"> HYPERLINK "https://baike.baidu.com/item/%E5%9F%BA%E7%A1%80%E6%B2%B9/269824" \t "_blank" </w:instrText>
                  </w:r>
                  <w:r>
                    <w:fldChar w:fldCharType="separate"/>
                  </w:r>
                  <w:r>
                    <w:rPr>
                      <w:rFonts w:hAnsi="宋体"/>
                      <w:szCs w:val="21"/>
                    </w:rPr>
                    <w:t>基础油</w:t>
                  </w:r>
                  <w:r>
                    <w:rPr>
                      <w:rFonts w:hAnsi="宋体"/>
                      <w:szCs w:val="21"/>
                    </w:rPr>
                    <w:fldChar w:fldCharType="end"/>
                  </w:r>
                  <w:r>
                    <w:rPr>
                      <w:rFonts w:hAnsi="宋体"/>
                      <w:szCs w:val="21"/>
                    </w:rPr>
                    <w:t>和辅助添加剂等组成。根据性能和用途，除锈油可分为</w:t>
                  </w:r>
                  <w:r>
                    <w:fldChar w:fldCharType="begin"/>
                  </w:r>
                  <w:r>
                    <w:instrText xml:space="preserve"> HYPERLINK "https://baike.baidu.com/item/%E6%8C%87%E7%BA%B9/60308" \t "_blank" </w:instrText>
                  </w:r>
                  <w:r>
                    <w:fldChar w:fldCharType="separate"/>
                  </w:r>
                  <w:r>
                    <w:rPr>
                      <w:rFonts w:hAnsi="宋体"/>
                      <w:szCs w:val="21"/>
                    </w:rPr>
                    <w:t>指纹</w:t>
                  </w:r>
                  <w:r>
                    <w:rPr>
                      <w:rFonts w:hAnsi="宋体"/>
                      <w:szCs w:val="21"/>
                    </w:rPr>
                    <w:fldChar w:fldCharType="end"/>
                  </w:r>
                  <w:r>
                    <w:rPr>
                      <w:rFonts w:hAnsi="宋体"/>
                      <w:szCs w:val="21"/>
                    </w:rPr>
                    <w:t>除去型防锈油、水稀释型防锈油、溶剂稀释型防锈油、防锈润滑两用油、封存防锈油、</w:t>
                  </w:r>
                  <w:r>
                    <w:fldChar w:fldCharType="begin"/>
                  </w:r>
                  <w:r>
                    <w:instrText xml:space="preserve"> HYPERLINK "https://baike.baidu.com/item/%E7%BD%AE%E6%8D%A2%E5%9E%8B%E9%98%B2%E9%94%88%E6%B2%B9/1141637" \t "_blank" </w:instrText>
                  </w:r>
                  <w:r>
                    <w:fldChar w:fldCharType="separate"/>
                  </w:r>
                  <w:r>
                    <w:rPr>
                      <w:rFonts w:hAnsi="宋体"/>
                      <w:szCs w:val="21"/>
                    </w:rPr>
                    <w:t>置换型防锈油</w:t>
                  </w:r>
                  <w:r>
                    <w:rPr>
                      <w:rFonts w:hAnsi="宋体"/>
                      <w:szCs w:val="21"/>
                    </w:rPr>
                    <w:fldChar w:fldCharType="end"/>
                  </w:r>
                  <w:r>
                    <w:rPr>
                      <w:rFonts w:hAnsi="宋体"/>
                      <w:szCs w:val="21"/>
                    </w:rPr>
                    <w:t>、薄层油、防锈脂和气相防锈油等。</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液压油</w:t>
                  </w:r>
                </w:p>
              </w:tc>
              <w:tc>
                <w:tcPr>
                  <w:tcW w:w="597" w:type="pct"/>
                  <w:vAlign w:val="center"/>
                </w:tcPr>
                <w:p>
                  <w:pPr>
                    <w:keepNext w:val="0"/>
                    <w:keepLines w:val="0"/>
                    <w:suppressLineNumbers w:val="0"/>
                    <w:spacing w:before="0" w:beforeAutospacing="0" w:after="0" w:afterAutospacing="0"/>
                    <w:ind w:left="0" w:right="0"/>
                    <w:jc w:val="center"/>
                    <w:rPr>
                      <w:kern w:val="0"/>
                    </w:rPr>
                  </w:pPr>
                  <w:r>
                    <w:rPr>
                      <w:rFonts w:hint="eastAsia"/>
                      <w:kern w:val="0"/>
                    </w:rPr>
                    <w:t>/</w:t>
                  </w:r>
                </w:p>
              </w:tc>
              <w:tc>
                <w:tcPr>
                  <w:tcW w:w="3979" w:type="pct"/>
                  <w:vAlign w:val="center"/>
                </w:tcPr>
                <w:p>
                  <w:pPr>
                    <w:keepNext w:val="0"/>
                    <w:keepLines w:val="0"/>
                    <w:widowControl/>
                    <w:suppressLineNumbers w:val="0"/>
                    <w:spacing w:before="0" w:beforeAutospacing="0" w:after="0" w:afterAutospacing="0"/>
                    <w:ind w:left="0" w:right="0"/>
                    <w:rPr>
                      <w:rFonts w:hAnsi="宋体"/>
                      <w:szCs w:val="21"/>
                    </w:rPr>
                  </w:pPr>
                  <w:r>
                    <w:rPr>
                      <w:rFonts w:hAnsi="宋体"/>
                      <w:szCs w:val="21"/>
                    </w:rPr>
                    <w:t>液压油就是利用液体压力能的液压系统使用的液压介质，在</w:t>
                  </w:r>
                  <w:r>
                    <w:fldChar w:fldCharType="begin"/>
                  </w:r>
                  <w:r>
                    <w:instrText xml:space="preserve"> HYPERLINK "https://baike.baidu.com/item/%E6%B6%B2%E5%8E%8B%E7%B3%BB%E7%BB%9F/35153" \t "_blank" </w:instrText>
                  </w:r>
                  <w:r>
                    <w:fldChar w:fldCharType="separate"/>
                  </w:r>
                  <w:r>
                    <w:rPr>
                      <w:rFonts w:hAnsi="宋体"/>
                      <w:szCs w:val="21"/>
                    </w:rPr>
                    <w:t>液压系统</w:t>
                  </w:r>
                  <w:r>
                    <w:rPr>
                      <w:rFonts w:hAnsi="宋体"/>
                      <w:szCs w:val="21"/>
                    </w:rPr>
                    <w:fldChar w:fldCharType="end"/>
                  </w:r>
                  <w:r>
                    <w:rPr>
                      <w:rFonts w:hAnsi="宋体"/>
                      <w:szCs w:val="21"/>
                    </w:rPr>
                    <w:t>中起着</w:t>
                  </w:r>
                  <w:r>
                    <w:fldChar w:fldCharType="begin"/>
                  </w:r>
                  <w:r>
                    <w:instrText xml:space="preserve"> HYPERLINK "https://baike.baidu.com/item/%E8%83%BD%E9%87%8F%E4%BC%A0%E9%80%92/5282377" \t "_blank" </w:instrText>
                  </w:r>
                  <w:r>
                    <w:fldChar w:fldCharType="separate"/>
                  </w:r>
                  <w:r>
                    <w:rPr>
                      <w:rFonts w:hAnsi="宋体"/>
                      <w:szCs w:val="21"/>
                    </w:rPr>
                    <w:t>能量传递</w:t>
                  </w:r>
                  <w:r>
                    <w:rPr>
                      <w:rFonts w:hAnsi="宋体"/>
                      <w:szCs w:val="21"/>
                    </w:rPr>
                    <w:fldChar w:fldCharType="end"/>
                  </w:r>
                  <w:r>
                    <w:rPr>
                      <w:rFonts w:hAnsi="宋体"/>
                      <w:szCs w:val="21"/>
                    </w:rPr>
                    <w:t>、抗磨、系统润滑、</w:t>
                  </w:r>
                  <w:r>
                    <w:fldChar w:fldCharType="begin"/>
                  </w:r>
                  <w:r>
                    <w:instrText xml:space="preserve"> HYPERLINK "https://baike.baidu.com/item/%E9%98%B2%E8%85%90/1271300" \t "_blank" </w:instrText>
                  </w:r>
                  <w:r>
                    <w:fldChar w:fldCharType="separate"/>
                  </w:r>
                  <w:r>
                    <w:rPr>
                      <w:rFonts w:hAnsi="宋体"/>
                      <w:szCs w:val="21"/>
                    </w:rPr>
                    <w:t>防腐</w:t>
                  </w:r>
                  <w:r>
                    <w:rPr>
                      <w:rFonts w:hAnsi="宋体"/>
                      <w:szCs w:val="21"/>
                    </w:rPr>
                    <w:fldChar w:fldCharType="end"/>
                  </w:r>
                  <w:r>
                    <w:rPr>
                      <w:rFonts w:hAnsi="宋体"/>
                      <w:szCs w:val="21"/>
                    </w:rPr>
                    <w:t>、</w:t>
                  </w:r>
                  <w:r>
                    <w:fldChar w:fldCharType="begin"/>
                  </w:r>
                  <w:r>
                    <w:instrText xml:space="preserve"> HYPERLINK "https://baike.baidu.com/item/%E9%98%B2%E9%94%88/4591680" \t "_blank" </w:instrText>
                  </w:r>
                  <w:r>
                    <w:fldChar w:fldCharType="separate"/>
                  </w:r>
                  <w:r>
                    <w:rPr>
                      <w:rFonts w:hAnsi="宋体"/>
                      <w:szCs w:val="21"/>
                    </w:rPr>
                    <w:t>防锈</w:t>
                  </w:r>
                  <w:r>
                    <w:rPr>
                      <w:rFonts w:hAnsi="宋体"/>
                      <w:szCs w:val="21"/>
                    </w:rPr>
                    <w:fldChar w:fldCharType="end"/>
                  </w:r>
                  <w:r>
                    <w:rPr>
                      <w:rFonts w:hAnsi="宋体"/>
                      <w:szCs w:val="21"/>
                    </w:rPr>
                    <w:t>、</w:t>
                  </w:r>
                  <w:r>
                    <w:fldChar w:fldCharType="begin"/>
                  </w:r>
                  <w:r>
                    <w:instrText xml:space="preserve"> HYPERLINK "https://baike.baidu.com/item/%E5%86%B7%E5%8D%B4/3036655" \t "_blank" </w:instrText>
                  </w:r>
                  <w:r>
                    <w:fldChar w:fldCharType="separate"/>
                  </w:r>
                  <w:r>
                    <w:rPr>
                      <w:rFonts w:hAnsi="宋体"/>
                      <w:szCs w:val="21"/>
                    </w:rPr>
                    <w:t>冷却</w:t>
                  </w:r>
                  <w:r>
                    <w:rPr>
                      <w:rFonts w:hAnsi="宋体"/>
                      <w:szCs w:val="21"/>
                    </w:rPr>
                    <w:fldChar w:fldCharType="end"/>
                  </w:r>
                  <w:r>
                    <w:rPr>
                      <w:rFonts w:hAnsi="宋体"/>
                      <w:szCs w:val="21"/>
                    </w:rPr>
                    <w:t>等作用。对于液压油来说，首先应满足液压装置在工作温度下与启动温度下对液体粘度的要求，由于润滑油的</w:t>
                  </w:r>
                  <w:r>
                    <w:fldChar w:fldCharType="begin"/>
                  </w:r>
                  <w:r>
                    <w:instrText xml:space="preserve"> HYPERLINK "https://baike.baidu.com/item/%E7%B2%98%E5%BA%A6/6199829" \t "_blank" </w:instrText>
                  </w:r>
                  <w:r>
                    <w:fldChar w:fldCharType="separate"/>
                  </w:r>
                  <w:r>
                    <w:rPr>
                      <w:rFonts w:hAnsi="宋体"/>
                      <w:szCs w:val="21"/>
                    </w:rPr>
                    <w:t>粘度</w:t>
                  </w:r>
                  <w:r>
                    <w:rPr>
                      <w:rFonts w:hAnsi="宋体"/>
                      <w:szCs w:val="21"/>
                    </w:rPr>
                    <w:fldChar w:fldCharType="end"/>
                  </w:r>
                  <w:r>
                    <w:rPr>
                      <w:rFonts w:hAnsi="宋体"/>
                      <w:szCs w:val="21"/>
                    </w:rPr>
                    <w:t>变化直接与液压动作、传递效率和传递精度有关，还要求油的粘温性能和</w:t>
                  </w:r>
                  <w:r>
                    <w:fldChar w:fldCharType="begin"/>
                  </w:r>
                  <w:r>
                    <w:instrText xml:space="preserve"> HYPERLINK "https://baike.baidu.com/item/%E5%89%AA%E5%88%87%E5%AE%89%E5%AE%9A%E6%80%A7/4129742" \t "_blank" </w:instrText>
                  </w:r>
                  <w:r>
                    <w:fldChar w:fldCharType="separate"/>
                  </w:r>
                  <w:r>
                    <w:rPr>
                      <w:rFonts w:hAnsi="宋体"/>
                      <w:szCs w:val="21"/>
                    </w:rPr>
                    <w:t>剪切安定性</w:t>
                  </w:r>
                  <w:r>
                    <w:rPr>
                      <w:rFonts w:hAnsi="宋体"/>
                      <w:szCs w:val="21"/>
                    </w:rPr>
                    <w:fldChar w:fldCharType="end"/>
                  </w:r>
                  <w:r>
                    <w:rPr>
                      <w:rFonts w:hAnsi="宋体"/>
                      <w:szCs w:val="21"/>
                    </w:rPr>
                    <w:t>应满足不同用途所提出的各种需求。</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Cs w:val="21"/>
                      <w:lang w:eastAsia="zh-CN"/>
                    </w:rPr>
                  </w:pPr>
                  <w:r>
                    <w:rPr>
                      <w:rFonts w:hint="eastAsia" w:ascii="宋体" w:hAnsi="宋体" w:cs="宋体"/>
                      <w:kern w:val="0"/>
                      <w:szCs w:val="21"/>
                    </w:rPr>
                    <w:t>切削</w:t>
                  </w:r>
                  <w:r>
                    <w:rPr>
                      <w:rFonts w:hint="eastAsia" w:ascii="宋体" w:hAnsi="宋体" w:cs="宋体"/>
                      <w:kern w:val="0"/>
                      <w:szCs w:val="21"/>
                      <w:lang w:eastAsia="zh-CN"/>
                    </w:rPr>
                    <w:t>油</w:t>
                  </w:r>
                </w:p>
              </w:tc>
              <w:tc>
                <w:tcPr>
                  <w:tcW w:w="597" w:type="pct"/>
                  <w:vAlign w:val="center"/>
                </w:tcPr>
                <w:p>
                  <w:pPr>
                    <w:keepNext w:val="0"/>
                    <w:keepLines w:val="0"/>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w:t>
                  </w:r>
                </w:p>
              </w:tc>
              <w:tc>
                <w:tcPr>
                  <w:tcW w:w="3979" w:type="pct"/>
                  <w:vAlign w:val="center"/>
                </w:tcPr>
                <w:p>
                  <w:pPr>
                    <w:keepNext w:val="0"/>
                    <w:keepLines w:val="0"/>
                    <w:suppressLineNumbers w:val="0"/>
                    <w:spacing w:before="0" w:beforeAutospacing="0" w:after="0" w:afterAutospacing="0"/>
                    <w:ind w:left="0" w:right="0"/>
                    <w:rPr>
                      <w:rFonts w:ascii="宋体" w:hAnsi="宋体" w:cs="宋体"/>
                      <w:color w:val="000000"/>
                      <w:szCs w:val="21"/>
                      <w:shd w:val="clear" w:color="auto" w:fill="FFFFFF"/>
                    </w:rPr>
                  </w:pPr>
                  <w:r>
                    <w:rPr>
                      <w:rFonts w:hAnsi="宋体"/>
                      <w:color w:val="000000"/>
                      <w:szCs w:val="21"/>
                      <w:shd w:val="clear" w:color="auto" w:fill="FFFFFF"/>
                    </w:rPr>
                    <w:t>无色透明油状液体，没有气味。对酸、光、热均稳定，不溶于乙醇，溶于乙醚、苯、石油醚等，并可与多数脂肪油互溶。为液体类烃类的混合物，主要成分为</w:t>
                  </w:r>
                  <w:r>
                    <w:rPr>
                      <w:color w:val="000000"/>
                      <w:szCs w:val="21"/>
                      <w:shd w:val="clear" w:color="auto" w:fill="FFFFFF"/>
                    </w:rPr>
                    <w:t>C</w:t>
                  </w:r>
                  <w:r>
                    <w:rPr>
                      <w:color w:val="000000"/>
                      <w:szCs w:val="21"/>
                      <w:shd w:val="clear" w:color="auto" w:fill="FFFFFF"/>
                      <w:vertAlign w:val="subscript"/>
                    </w:rPr>
                    <w:t>16</w:t>
                  </w:r>
                  <w:r>
                    <w:rPr>
                      <w:color w:val="000000"/>
                      <w:szCs w:val="21"/>
                      <w:shd w:val="clear" w:color="auto" w:fill="FFFFFF"/>
                    </w:rPr>
                    <w:t>-C</w:t>
                  </w:r>
                  <w:r>
                    <w:rPr>
                      <w:color w:val="000000"/>
                      <w:szCs w:val="21"/>
                      <w:shd w:val="clear" w:color="auto" w:fill="FFFFFF"/>
                      <w:vertAlign w:val="subscript"/>
                    </w:rPr>
                    <w:t>31</w:t>
                  </w:r>
                  <w:r>
                    <w:rPr>
                      <w:rFonts w:hAnsi="宋体"/>
                      <w:color w:val="000000"/>
                      <w:szCs w:val="21"/>
                      <w:shd w:val="clear" w:color="auto" w:fill="FFFFFF"/>
                    </w:rPr>
                    <w:t>的正异构烷烃的混合物。</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2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氩气</w:t>
                  </w:r>
                </w:p>
              </w:tc>
              <w:tc>
                <w:tcPr>
                  <w:tcW w:w="597" w:type="pct"/>
                  <w:vAlign w:val="center"/>
                </w:tcPr>
                <w:p>
                  <w:pPr>
                    <w:keepNext w:val="0"/>
                    <w:keepLines w:val="0"/>
                    <w:suppressLineNumbers w:val="0"/>
                    <w:spacing w:before="0" w:beforeAutospacing="0" w:after="0" w:afterAutospacing="0"/>
                    <w:ind w:left="0" w:right="0"/>
                    <w:jc w:val="center"/>
                    <w:rPr>
                      <w:kern w:val="0"/>
                    </w:rPr>
                  </w:pPr>
                  <w:r>
                    <w:rPr>
                      <w:rFonts w:hint="eastAsia"/>
                      <w:kern w:val="0"/>
                    </w:rPr>
                    <w:t>/</w:t>
                  </w:r>
                </w:p>
              </w:tc>
              <w:tc>
                <w:tcPr>
                  <w:tcW w:w="3979" w:type="pct"/>
                  <w:vAlign w:val="center"/>
                </w:tcPr>
                <w:p>
                  <w:pPr>
                    <w:keepNext w:val="0"/>
                    <w:keepLines w:val="0"/>
                    <w:widowControl/>
                    <w:suppressLineNumbers w:val="0"/>
                    <w:spacing w:before="0" w:beforeAutospacing="0" w:after="0" w:afterAutospacing="0"/>
                    <w:ind w:left="0" w:right="0"/>
                    <w:rPr>
                      <w:rFonts w:hAnsi="宋体"/>
                      <w:szCs w:val="21"/>
                    </w:rPr>
                  </w:pPr>
                  <w:r>
                    <w:rPr>
                      <w:rFonts w:hAnsi="宋体"/>
                      <w:szCs w:val="21"/>
                    </w:rPr>
                    <w:t>氩气是一种无色、无味的单原子气体，相对原子质量为39.948。一般由空气液化后，用</w:t>
                  </w:r>
                  <w:r>
                    <w:fldChar w:fldCharType="begin"/>
                  </w:r>
                  <w:r>
                    <w:instrText xml:space="preserve"> HYPERLINK "https://baike.baidu.com/item/%E5%88%86%E9%A6%8F%E6%B3%95/364124" \t "_blank" </w:instrText>
                  </w:r>
                  <w:r>
                    <w:fldChar w:fldCharType="separate"/>
                  </w:r>
                  <w:r>
                    <w:rPr>
                      <w:rFonts w:hAnsi="宋体"/>
                      <w:szCs w:val="21"/>
                    </w:rPr>
                    <w:t>分馏法</w:t>
                  </w:r>
                  <w:r>
                    <w:rPr>
                      <w:rFonts w:hAnsi="宋体"/>
                      <w:szCs w:val="21"/>
                    </w:rPr>
                    <w:fldChar w:fldCharType="end"/>
                  </w:r>
                  <w:r>
                    <w:rPr>
                      <w:rFonts w:hAnsi="宋体"/>
                      <w:szCs w:val="21"/>
                    </w:rPr>
                    <w:t>制取氩气。氩气的密度是空气的1.4倍，是氦气的10倍。氩气是一种</w:t>
                  </w:r>
                  <w:r>
                    <w:fldChar w:fldCharType="begin"/>
                  </w:r>
                  <w:r>
                    <w:instrText xml:space="preserve"> HYPERLINK "https://baike.baidu.com/item/%E6%83%B0%E6%80%A7%E6%B0%94%E4%BD%93/1836373" \t "_blank" </w:instrText>
                  </w:r>
                  <w:r>
                    <w:fldChar w:fldCharType="separate"/>
                  </w:r>
                  <w:r>
                    <w:rPr>
                      <w:rFonts w:hAnsi="宋体"/>
                      <w:szCs w:val="21"/>
                    </w:rPr>
                    <w:t>惰性气体</w:t>
                  </w:r>
                  <w:r>
                    <w:rPr>
                      <w:rFonts w:hAnsi="宋体"/>
                      <w:szCs w:val="21"/>
                    </w:rPr>
                    <w:fldChar w:fldCharType="end"/>
                  </w:r>
                  <w:r>
                    <w:rPr>
                      <w:rFonts w:hAnsi="宋体"/>
                      <w:szCs w:val="21"/>
                    </w:rPr>
                    <w:t>，在常温下与其他物质均不起化学反应，在高温下也不溶于</w:t>
                  </w:r>
                  <w:r>
                    <w:fldChar w:fldCharType="begin"/>
                  </w:r>
                  <w:r>
                    <w:instrText xml:space="preserve"> HYPERLINK "https://baike.baidu.com/item/%E6%B6%B2%E6%80%81%E9%87%91%E5%B1%9E/4809216" \t "_blank" </w:instrText>
                  </w:r>
                  <w:r>
                    <w:fldChar w:fldCharType="separate"/>
                  </w:r>
                  <w:r>
                    <w:rPr>
                      <w:rFonts w:hAnsi="宋体"/>
                      <w:szCs w:val="21"/>
                    </w:rPr>
                    <w:t>液态金属</w:t>
                  </w:r>
                  <w:r>
                    <w:rPr>
                      <w:rFonts w:hAnsi="宋体"/>
                      <w:szCs w:val="21"/>
                    </w:rPr>
                    <w:fldChar w:fldCharType="end"/>
                  </w:r>
                  <w:r>
                    <w:rPr>
                      <w:rFonts w:hAnsi="宋体"/>
                      <w:szCs w:val="21"/>
                    </w:rPr>
                    <w:t>中，在焊接有色金属时更能显示其优越性。可用于灯泡充气和对不锈钢、镁、铝等的电弧焊接，即“</w:t>
                  </w:r>
                  <w:r>
                    <w:fldChar w:fldCharType="begin"/>
                  </w:r>
                  <w:r>
                    <w:instrText xml:space="preserve"> HYPERLINK "https://baike.baidu.com/item/%E6%B0%A9%E5%BC%A7%E7%84%8A/5857853" \t "_blank" </w:instrText>
                  </w:r>
                  <w:r>
                    <w:fldChar w:fldCharType="separate"/>
                  </w:r>
                  <w:r>
                    <w:rPr>
                      <w:rFonts w:hAnsi="宋体"/>
                      <w:szCs w:val="21"/>
                    </w:rPr>
                    <w:t>氩弧焊</w:t>
                  </w:r>
                  <w:r>
                    <w:rPr>
                      <w:rFonts w:hAnsi="宋体"/>
                      <w:szCs w:val="21"/>
                    </w:rPr>
                    <w:fldChar w:fldCharType="end"/>
                  </w:r>
                  <w:r>
                    <w:rPr>
                      <w:rFonts w:hAnsi="宋体"/>
                      <w:szCs w:val="21"/>
                    </w:rPr>
                    <w:t>”。</w:t>
                  </w:r>
                </w:p>
              </w:tc>
            </w:tr>
          </w:tbl>
          <w:p>
            <w:pPr>
              <w:keepNext w:val="0"/>
              <w:keepLines w:val="0"/>
              <w:widowControl/>
              <w:suppressLineNumbers w:val="0"/>
              <w:spacing w:before="0" w:beforeAutospacing="0" w:after="0" w:afterAutospacing="0" w:line="360" w:lineRule="auto"/>
              <w:ind w:left="0" w:right="0"/>
              <w:jc w:val="left"/>
              <w:rPr>
                <w:rFonts w:ascii="宋体" w:hAnsi="宋体"/>
                <w:b/>
                <w:bCs/>
                <w:sz w:val="24"/>
              </w:rPr>
            </w:pPr>
            <w:r>
              <w:rPr>
                <w:rFonts w:hint="eastAsia"/>
                <w:b/>
                <w:bCs/>
                <w:sz w:val="24"/>
              </w:rPr>
              <w:t>8</w:t>
            </w:r>
            <w:r>
              <w:rPr>
                <w:rFonts w:hint="eastAsia" w:ascii="宋体" w:hAnsi="宋体"/>
                <w:b/>
                <w:bCs/>
                <w:sz w:val="24"/>
              </w:rPr>
              <w:t>、给排水</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ascii="宋体" w:hAnsi="宋体"/>
                <w:sz w:val="24"/>
              </w:rPr>
              <w:t>①</w:t>
            </w:r>
            <w:r>
              <w:rPr>
                <w:rFonts w:hint="eastAsia"/>
                <w:sz w:val="24"/>
              </w:rPr>
              <w:t>生活用水：项目拟用职工120人，年工作300天，两班制生产，厂内设食堂、员工宿舍，参照《常州市工业和城市生活用水定额》，</w:t>
            </w:r>
            <w:r>
              <w:rPr>
                <w:sz w:val="24"/>
              </w:rPr>
              <w:t>厂区职工生活用水量以100L/d·人计，则生活用水消耗量为3600t/a，生活污水的排放系数取80％，</w:t>
            </w:r>
            <w:r>
              <w:rPr>
                <w:rFonts w:hint="eastAsia"/>
                <w:sz w:val="24"/>
              </w:rPr>
              <w:t>则项目生活污水的排放量为2880t/a</w:t>
            </w:r>
            <w:r>
              <w:rPr>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宋体"/>
                <w:sz w:val="24"/>
              </w:rPr>
            </w:pPr>
            <w:r>
              <w:rPr>
                <w:rFonts w:ascii="Times New Roman" w:hAnsi="宋体"/>
                <w:color w:val="000000"/>
                <w:sz w:val="24"/>
              </w:rPr>
              <w:t>②</w:t>
            </w:r>
            <w:r>
              <w:rPr>
                <w:rFonts w:hint="eastAsia" w:hAnsi="宋体"/>
                <w:sz w:val="24"/>
              </w:rPr>
              <w:t>食堂用水：</w:t>
            </w:r>
            <w:r>
              <w:rPr>
                <w:rFonts w:ascii="Times New Roman" w:hAnsi="宋体"/>
                <w:sz w:val="24"/>
              </w:rPr>
              <w:t>食堂每天用餐员工共约</w:t>
            </w:r>
            <w:r>
              <w:rPr>
                <w:rFonts w:hint="eastAsia" w:ascii="Times New Roman" w:hAnsi="Times New Roman"/>
                <w:sz w:val="24"/>
                <w:lang w:val="en-US" w:eastAsia="zh-CN"/>
              </w:rPr>
              <w:t>24</w:t>
            </w:r>
            <w:r>
              <w:rPr>
                <w:rFonts w:hint="eastAsia" w:ascii="Times New Roman" w:hAnsi="Times New Roman"/>
                <w:sz w:val="24"/>
              </w:rPr>
              <w:t>0</w:t>
            </w:r>
            <w:r>
              <w:rPr>
                <w:rFonts w:ascii="Times New Roman" w:hAnsi="宋体"/>
                <w:sz w:val="24"/>
              </w:rPr>
              <w:t>人次</w:t>
            </w:r>
            <w:r>
              <w:rPr>
                <w:rFonts w:hint="eastAsia" w:ascii="Times New Roman" w:hAnsi="宋体"/>
                <w:sz w:val="24"/>
                <w:lang w:eastAsia="zh-CN"/>
              </w:rPr>
              <w:t>（早晚）</w:t>
            </w:r>
            <w:r>
              <w:rPr>
                <w:rFonts w:ascii="Times New Roman" w:hAnsi="宋体"/>
                <w:sz w:val="24"/>
              </w:rPr>
              <w:t>，按人均用水量</w:t>
            </w:r>
            <w:r>
              <w:rPr>
                <w:rFonts w:ascii="Times New Roman" w:hAnsi="Times New Roman"/>
                <w:sz w:val="24"/>
              </w:rPr>
              <w:t>10L/</w:t>
            </w:r>
            <w:r>
              <w:rPr>
                <w:rFonts w:ascii="Times New Roman" w:hAnsi="宋体"/>
                <w:sz w:val="24"/>
              </w:rPr>
              <w:t>人</w:t>
            </w:r>
            <w:r>
              <w:rPr>
                <w:rFonts w:ascii="Times New Roman" w:hAnsi="Times New Roman"/>
                <w:sz w:val="24"/>
              </w:rPr>
              <w:t>·</w:t>
            </w:r>
            <w:r>
              <w:rPr>
                <w:rFonts w:ascii="Times New Roman" w:hAnsi="宋体"/>
                <w:sz w:val="24"/>
              </w:rPr>
              <w:t>次计算，则总用水量为</w:t>
            </w:r>
            <w:r>
              <w:rPr>
                <w:rFonts w:hint="eastAsia" w:ascii="Times New Roman" w:hAnsi="Times New Roman"/>
                <w:sz w:val="24"/>
                <w:lang w:val="en-US" w:eastAsia="zh-CN"/>
              </w:rPr>
              <w:t>72</w:t>
            </w:r>
            <w:r>
              <w:rPr>
                <w:rFonts w:hint="eastAsia" w:ascii="Times New Roman" w:hAnsi="Times New Roman"/>
                <w:sz w:val="24"/>
              </w:rPr>
              <w:t>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，以排放系数</w:t>
            </w:r>
            <w:r>
              <w:rPr>
                <w:rFonts w:ascii="Times New Roman" w:hAnsi="Times New Roman"/>
                <w:sz w:val="24"/>
              </w:rPr>
              <w:t>80%</w:t>
            </w:r>
            <w:r>
              <w:rPr>
                <w:rFonts w:ascii="Times New Roman" w:hAnsi="宋体"/>
                <w:sz w:val="24"/>
              </w:rPr>
              <w:t>计算，排水量为</w:t>
            </w:r>
            <w:r>
              <w:rPr>
                <w:rFonts w:hint="eastAsia" w:ascii="Times New Roman" w:hAnsi="Times New Roman"/>
                <w:sz w:val="24"/>
                <w:lang w:val="en-US" w:eastAsia="zh-CN"/>
              </w:rPr>
              <w:t>576</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hint="eastAsia" w:ascii="宋体" w:hAnsi="宋体"/>
                <w:sz w:val="24"/>
              </w:rPr>
              <w:t>③</w:t>
            </w:r>
            <w:r>
              <w:rPr>
                <w:rFonts w:ascii="Times New Roman" w:hAnsi="宋体"/>
                <w:color w:val="000000"/>
                <w:sz w:val="24"/>
              </w:rPr>
              <w:t>冷却用水：本项目生产过程中注塑</w:t>
            </w:r>
            <w:r>
              <w:rPr>
                <w:rFonts w:hint="eastAsia" w:ascii="Times New Roman" w:hAnsi="宋体"/>
                <w:color w:val="000000"/>
                <w:sz w:val="24"/>
              </w:rPr>
              <w:t>成型</w:t>
            </w:r>
            <w:r>
              <w:rPr>
                <w:rFonts w:ascii="Times New Roman" w:hAnsi="宋体"/>
                <w:color w:val="000000"/>
                <w:sz w:val="24"/>
              </w:rPr>
              <w:t>工序需使用冷却水进行冷却，项目设有</w:t>
            </w:r>
            <w:r>
              <w:rPr>
                <w:rFonts w:hint="eastAsia" w:ascii="Times New Roman" w:hAnsi="Times New Roman"/>
                <w:color w:val="000000"/>
                <w:sz w:val="24"/>
              </w:rPr>
              <w:t>5</w:t>
            </w:r>
            <w:r>
              <w:rPr>
                <w:rFonts w:ascii="Times New Roman" w:hAnsi="宋体"/>
                <w:color w:val="000000"/>
                <w:sz w:val="24"/>
              </w:rPr>
              <w:t>台注塑机，共配有</w:t>
            </w:r>
            <w:r>
              <w:rPr>
                <w:rFonts w:ascii="Times New Roman" w:hAnsi="Times New Roman"/>
                <w:color w:val="000000"/>
                <w:sz w:val="24"/>
              </w:rPr>
              <w:t>1</w:t>
            </w:r>
            <w:r>
              <w:rPr>
                <w:rFonts w:ascii="Times New Roman" w:hAnsi="宋体"/>
                <w:color w:val="000000"/>
                <w:sz w:val="24"/>
              </w:rPr>
              <w:t>台冷水机，</w:t>
            </w:r>
            <w:r>
              <w:rPr>
                <w:rFonts w:hint="eastAsia" w:ascii="Times New Roman" w:hAnsi="宋体"/>
                <w:color w:val="000000"/>
                <w:sz w:val="24"/>
              </w:rPr>
              <w:t>1个冷却池（3m×2.2m×2m），</w:t>
            </w:r>
            <w:r>
              <w:rPr>
                <w:rFonts w:ascii="Times New Roman" w:hAnsi="宋体"/>
                <w:color w:val="000000"/>
                <w:sz w:val="24"/>
              </w:rPr>
              <w:t>冷水机循环水量为</w:t>
            </w:r>
            <w:r>
              <w:rPr>
                <w:rFonts w:ascii="Times New Roman" w:hAnsi="Times New Roman"/>
                <w:color w:val="000000"/>
                <w:sz w:val="24"/>
              </w:rPr>
              <w:t>5t/h</w:t>
            </w:r>
            <w:r>
              <w:rPr>
                <w:rFonts w:ascii="Times New Roman" w:hAnsi="宋体"/>
                <w:color w:val="000000"/>
                <w:sz w:val="24"/>
              </w:rPr>
              <w:t>，由于在循环冷却过程中存在一定量的消耗，需对其补水，根据《工业循环冷却水处理设计规范》（</w:t>
            </w:r>
            <w:r>
              <w:rPr>
                <w:rFonts w:ascii="Times New Roman" w:hAnsi="Times New Roman"/>
                <w:color w:val="000000"/>
                <w:sz w:val="24"/>
              </w:rPr>
              <w:t>GB50050-2007</w:t>
            </w:r>
            <w:r>
              <w:rPr>
                <w:rFonts w:ascii="Times New Roman" w:hAnsi="宋体"/>
                <w:color w:val="000000"/>
                <w:sz w:val="24"/>
              </w:rPr>
              <w:t>）中开式系统补充水计算公式：</w:t>
            </w:r>
          </w:p>
          <w:p>
            <w:pPr>
              <w:pStyle w:val="2"/>
              <w:keepNext w:val="0"/>
              <w:keepLines w:val="0"/>
              <w:suppressLineNumbers w:val="0"/>
              <w:spacing w:before="0" w:beforeAutospacing="0" w:after="0" w:afterAutospacing="0" w:line="360" w:lineRule="auto"/>
              <w:ind w:left="0" w:leftChars="0" w:right="0" w:rightChars="0"/>
              <w:jc w:val="center"/>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m</w:t>
            </w: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+Q</w:t>
            </w:r>
            <w:r>
              <w:rPr>
                <w:rFonts w:ascii="Times New Roman" w:hAnsi="Times New Roman"/>
                <w:color w:val="000000"/>
                <w:sz w:val="24"/>
                <w:vertAlign w:val="subscript"/>
              </w:rPr>
              <w:t>b</w:t>
            </w:r>
            <w:r>
              <w:rPr>
                <w:rFonts w:ascii="Times New Roman" w:hAnsi="Times New Roman"/>
                <w:color w:val="000000"/>
                <w:sz w:val="24"/>
              </w:rPr>
              <w:t>+Q</w:t>
            </w:r>
            <w:r>
              <w:rPr>
                <w:rFonts w:ascii="Times New Roman" w:hAnsi="Times New Roman"/>
                <w:color w:val="000000"/>
                <w:sz w:val="24"/>
                <w:vertAlign w:val="subscript"/>
              </w:rPr>
              <w:t>w</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宋体"/>
                <w:color w:val="000000"/>
                <w:sz w:val="24"/>
              </w:rPr>
              <w:t>式中，</w:t>
            </w:r>
            <w:r>
              <w:rPr>
                <w:rFonts w:ascii="Times New Roman" w:hAnsi="Times New Roman"/>
                <w:color w:val="000000"/>
                <w:sz w:val="24"/>
              </w:rPr>
              <w:t>Q</w:t>
            </w:r>
            <w:r>
              <w:rPr>
                <w:rFonts w:ascii="Times New Roman" w:hAnsi="Times New Roman"/>
                <w:color w:val="000000"/>
                <w:sz w:val="24"/>
                <w:vertAlign w:val="subscript"/>
              </w:rPr>
              <w:t>m</w:t>
            </w:r>
            <w:r>
              <w:rPr>
                <w:rFonts w:ascii="Times New Roman" w:hAnsi="Times New Roman"/>
                <w:color w:val="000000"/>
                <w:sz w:val="24"/>
              </w:rPr>
              <w:t>——</w:t>
            </w:r>
            <w:r>
              <w:rPr>
                <w:rFonts w:ascii="Times New Roman" w:hAnsi="宋体"/>
                <w:color w:val="000000"/>
                <w:sz w:val="24"/>
              </w:rPr>
              <w:t>补充水量（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w:t>
            </w:r>
            <w:r>
              <w:rPr>
                <w:rFonts w:ascii="Times New Roman" w:hAnsi="宋体"/>
                <w:color w:val="000000"/>
                <w:sz w:val="24"/>
              </w:rPr>
              <w:t>蒸发水量（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=k·</w:t>
            </w:r>
            <w:r>
              <w:rPr>
                <w:rFonts w:ascii="Times New Roman" w:hAnsi="宋体"/>
                <w:color w:val="000000"/>
                <w:sz w:val="24"/>
              </w:rPr>
              <w:t>△</w:t>
            </w:r>
            <w:r>
              <w:rPr>
                <w:rFonts w:ascii="Times New Roman" w:hAnsi="Times New Roman"/>
                <w:color w:val="000000"/>
                <w:sz w:val="24"/>
              </w:rPr>
              <w:t>t·Q</w:t>
            </w:r>
            <w:r>
              <w:rPr>
                <w:rFonts w:ascii="Times New Roman" w:hAnsi="Times New Roman"/>
                <w:color w:val="000000"/>
                <w:sz w:val="24"/>
                <w:vertAlign w:val="subscript"/>
              </w:rPr>
              <w:t>r</w:t>
            </w:r>
            <w:r>
              <w:rPr>
                <w:rFonts w:ascii="Times New Roman" w:hAnsi="宋体"/>
                <w:color w:val="000000"/>
                <w:sz w:val="24"/>
              </w:rPr>
              <w:t>，</w:t>
            </w:r>
            <w:r>
              <w:rPr>
                <w:rFonts w:ascii="Times New Roman" w:hAnsi="Times New Roman"/>
                <w:color w:val="000000"/>
                <w:sz w:val="24"/>
              </w:rPr>
              <w:t>Q</w:t>
            </w:r>
            <w:r>
              <w:rPr>
                <w:rFonts w:ascii="Times New Roman" w:hAnsi="Times New Roman"/>
                <w:color w:val="000000"/>
                <w:sz w:val="24"/>
                <w:vertAlign w:val="subscript"/>
              </w:rPr>
              <w:t>r</w:t>
            </w:r>
            <w:r>
              <w:rPr>
                <w:rFonts w:ascii="Times New Roman" w:hAnsi="宋体"/>
                <w:color w:val="000000"/>
                <w:sz w:val="24"/>
              </w:rPr>
              <w:t>为循环冷却水量（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），本项目冷却机循环水量</w:t>
            </w:r>
            <w:r>
              <w:rPr>
                <w:rFonts w:hint="eastAsia" w:ascii="Times New Roman" w:hAnsi="宋体"/>
                <w:color w:val="000000"/>
                <w:sz w:val="24"/>
              </w:rPr>
              <w:t>为</w:t>
            </w:r>
            <w:r>
              <w:rPr>
                <w:rFonts w:hint="eastAsia" w:ascii="Times New Roman" w:hAnsi="Times New Roman"/>
                <w:color w:val="000000"/>
                <w:sz w:val="24"/>
              </w:rPr>
              <w:t>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ascii="Times New Roman" w:hAnsi="Times New Roman"/>
                <w:color w:val="000000"/>
                <w:sz w:val="24"/>
              </w:rPr>
              <w:t>k</w:t>
            </w:r>
            <w:r>
              <w:rPr>
                <w:rFonts w:ascii="Times New Roman" w:hAnsi="宋体"/>
                <w:color w:val="000000"/>
                <w:sz w:val="24"/>
              </w:rPr>
              <w:t>取</w:t>
            </w:r>
            <w:r>
              <w:rPr>
                <w:rFonts w:ascii="Times New Roman" w:hAnsi="Times New Roman"/>
                <w:color w:val="000000"/>
                <w:sz w:val="24"/>
              </w:rPr>
              <w:t>0.0014</w:t>
            </w:r>
            <w:r>
              <w:rPr>
                <w:rFonts w:ascii="Times New Roman" w:hAnsi="宋体"/>
                <w:color w:val="000000"/>
                <w:sz w:val="24"/>
              </w:rPr>
              <w:t>（气温</w:t>
            </w:r>
            <w:r>
              <w:rPr>
                <w:rFonts w:ascii="Times New Roman" w:hAnsi="Times New Roman"/>
                <w:color w:val="000000"/>
                <w:sz w:val="24"/>
              </w:rPr>
              <w:t>20</w:t>
            </w:r>
            <w:r>
              <w:rPr>
                <w:rFonts w:ascii="Times New Roman" w:hAnsi="宋体"/>
                <w:color w:val="000000"/>
                <w:sz w:val="24"/>
              </w:rPr>
              <w:t>℃），△</w:t>
            </w:r>
            <w:r>
              <w:rPr>
                <w:rFonts w:ascii="Times New Roman" w:hAnsi="Times New Roman"/>
                <w:color w:val="000000"/>
                <w:sz w:val="24"/>
              </w:rPr>
              <w:t>t</w:t>
            </w:r>
            <w:r>
              <w:rPr>
                <w:rFonts w:ascii="Times New Roman" w:hAnsi="宋体"/>
                <w:color w:val="000000"/>
                <w:sz w:val="24"/>
              </w:rPr>
              <w:t>为冷却水温差，本项目取</w:t>
            </w:r>
            <w:r>
              <w:rPr>
                <w:rFonts w:ascii="Times New Roman" w:hAnsi="Times New Roman"/>
                <w:color w:val="000000"/>
                <w:sz w:val="24"/>
              </w:rPr>
              <w:t>5</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b</w:t>
            </w:r>
            <w:r>
              <w:rPr>
                <w:rFonts w:ascii="Times New Roman" w:hAnsi="Times New Roman"/>
                <w:color w:val="000000"/>
                <w:sz w:val="24"/>
              </w:rPr>
              <w:t>——</w:t>
            </w:r>
            <w:r>
              <w:rPr>
                <w:rFonts w:ascii="Times New Roman" w:hAnsi="宋体"/>
                <w:color w:val="000000"/>
                <w:sz w:val="24"/>
              </w:rPr>
              <w:t>排污水量（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），本项目取</w:t>
            </w:r>
            <w:r>
              <w:rPr>
                <w:rFonts w:ascii="Times New Roman" w:hAnsi="Times New Roman"/>
                <w:color w:val="000000"/>
                <w:sz w:val="24"/>
              </w:rPr>
              <w:t>0</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w</w:t>
            </w:r>
            <w:r>
              <w:rPr>
                <w:rFonts w:ascii="Times New Roman" w:hAnsi="Times New Roman"/>
                <w:color w:val="000000"/>
                <w:sz w:val="24"/>
              </w:rPr>
              <w:t>——</w:t>
            </w:r>
            <w:r>
              <w:rPr>
                <w:rFonts w:ascii="Times New Roman" w:hAnsi="宋体"/>
                <w:color w:val="000000"/>
                <w:sz w:val="24"/>
              </w:rPr>
              <w:t>蒸风吹损失水量（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），本项目取</w:t>
            </w:r>
            <w:r>
              <w:rPr>
                <w:rFonts w:ascii="Times New Roman" w:hAnsi="Times New Roman"/>
                <w:color w:val="000000"/>
                <w:sz w:val="24"/>
              </w:rPr>
              <w:t>0</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宋体"/>
                <w:sz w:val="24"/>
              </w:rPr>
            </w:pPr>
            <w:r>
              <w:rPr>
                <w:rFonts w:ascii="Times New Roman" w:hAnsi="宋体"/>
                <w:color w:val="000000"/>
                <w:sz w:val="24"/>
              </w:rPr>
              <w:t>经计算本项目冷却水需补充水量为</w:t>
            </w:r>
            <w:r>
              <w:rPr>
                <w:rFonts w:ascii="Times New Roman" w:hAnsi="Times New Roman"/>
                <w:color w:val="000000"/>
                <w:sz w:val="24"/>
              </w:rPr>
              <w:t>0.</w:t>
            </w:r>
            <w:r>
              <w:rPr>
                <w:rFonts w:hint="eastAsia" w:ascii="Times New Roman" w:hAnsi="Times New Roman"/>
                <w:color w:val="000000"/>
                <w:sz w:val="24"/>
              </w:rPr>
              <w:t>035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hint="eastAsia" w:ascii="Times New Roman" w:hAnsi="宋体"/>
                <w:color w:val="000000"/>
                <w:sz w:val="24"/>
              </w:rPr>
              <w:t>注塑机</w:t>
            </w:r>
            <w:r>
              <w:rPr>
                <w:rFonts w:ascii="Times New Roman" w:hAnsi="宋体"/>
                <w:color w:val="000000"/>
                <w:sz w:val="24"/>
              </w:rPr>
              <w:t>年工作时间按</w:t>
            </w:r>
            <w:r>
              <w:rPr>
                <w:rFonts w:hint="eastAsia" w:ascii="Times New Roman" w:hAnsi="Times New Roman"/>
                <w:color w:val="000000"/>
                <w:sz w:val="24"/>
              </w:rPr>
              <w:t>3</w:t>
            </w:r>
            <w:r>
              <w:rPr>
                <w:rFonts w:hint="eastAsia" w:ascii="Times New Roman" w:hAnsi="Times New Roman"/>
                <w:color w:val="000000"/>
                <w:sz w:val="24"/>
                <w:lang w:val="en-US" w:eastAsia="zh-CN"/>
              </w:rPr>
              <w:t>0</w:t>
            </w:r>
            <w:r>
              <w:rPr>
                <w:rFonts w:ascii="Times New Roman" w:hAnsi="Times New Roman"/>
                <w:color w:val="000000"/>
                <w:sz w:val="24"/>
              </w:rPr>
              <w:t>00h</w:t>
            </w:r>
            <w:r>
              <w:rPr>
                <w:rFonts w:ascii="Times New Roman" w:hAnsi="宋体"/>
                <w:color w:val="000000"/>
                <w:sz w:val="24"/>
              </w:rPr>
              <w:t>计，则需年补充冷却水量为</w:t>
            </w:r>
            <w:r>
              <w:rPr>
                <w:rFonts w:hint="eastAsia" w:ascii="Times New Roman" w:hAnsi="Times New Roman"/>
                <w:color w:val="000000"/>
                <w:sz w:val="24"/>
                <w:lang w:val="en-US" w:eastAsia="zh-CN"/>
              </w:rPr>
              <w:t>105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宋体"/>
                <w:color w:val="000000"/>
                <w:sz w:val="24"/>
              </w:rPr>
              <w:t>，本项目冷却水循环使用，不外排。</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Ansi="宋体"/>
                <w:sz w:val="24"/>
              </w:rPr>
              <w:t>本项目水平衡图如下（单位：</w:t>
            </w:r>
            <w:r>
              <w:rPr>
                <w:sz w:val="24"/>
              </w:rPr>
              <w:t>t/a）：</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jc w:val="left"/>
              <w:textAlignment w:val="auto"/>
              <w:rPr>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pStyle w:val="2"/>
              <w:keepNext w:val="0"/>
              <w:keepLines w:val="0"/>
              <w:suppressLineNumbers w:val="0"/>
              <w:spacing w:before="0" w:beforeAutospacing="0" w:afterAutospacing="0"/>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rFonts w:hint="eastAsia"/>
                <w:b/>
                <w:sz w:val="24"/>
              </w:rPr>
            </w:pPr>
          </w:p>
          <w:p>
            <w:pPr>
              <w:keepNext w:val="0"/>
              <w:keepLines w:val="0"/>
              <w:suppressLineNumbers w:val="0"/>
              <w:adjustRightInd w:val="0"/>
              <w:snapToGrid w:val="0"/>
              <w:spacing w:before="0" w:beforeAutospacing="0" w:after="0" w:afterAutospacing="0" w:line="360" w:lineRule="auto"/>
              <w:ind w:left="0" w:right="0"/>
              <w:jc w:val="center"/>
              <w:rPr>
                <w:b/>
                <w:sz w:val="24"/>
              </w:rPr>
            </w:pPr>
            <w:r>
              <w:rPr>
                <w:rFonts w:ascii="宋体" w:hAnsi="宋体"/>
                <w:sz w:val="24"/>
              </w:rPr>
              <w:pict>
                <v:group id="_x0000_s2110" o:spid="_x0000_s2110" o:spt="203" style="height:226.85pt;width:421.75pt;" coordorigin="1655,2842" coordsize="8435,4537" editas="canvas">
                  <o:lock v:ext="edit"/>
                  <v:shape id="_x0000_s2111" o:spid="_x0000_s2111" o:spt="75" type="#_x0000_t75" style="position:absolute;left:1655;top:2842;height:4537;width:8435;" filled="f" stroked="f" coordsize="21600,21600">
                    <v:path/>
                    <v:fill on="f" focussize="0,0"/>
                    <v:stroke on="f"/>
                    <v:imagedata o:title=""/>
                    <o:lock v:ext="edit" text="t" aspectratio="t"/>
                  </v:shape>
                  <v:shape id="_x0000_s2112" o:spid="_x0000_s2112" o:spt="202" type="#_x0000_t202" style="position:absolute;left:1857;top:4888;height:499;width:923;" filled="f" stroked="f" coordsize="21600,21600">
                    <v:path/>
                    <v:fill on="f" focussize="0,0"/>
                    <v:stroke on="f"/>
                    <v:imagedata o:title=""/>
                    <o:lock v:ext="edit" aspectratio="f"/>
                    <v:textbox>
                      <w:txbxContent>
                        <w:p>
                          <w:r>
                            <w:rPr>
                              <w:rFonts w:hint="eastAsia"/>
                            </w:rPr>
                            <w:t>自来水</w:t>
                          </w:r>
                        </w:p>
                      </w:txbxContent>
                    </v:textbox>
                  </v:shape>
                  <v:shape id="_x0000_s2113" o:spid="_x0000_s2113" o:spt="32" type="#_x0000_t32" style="position:absolute;left:3361;top:3853;height:1;width:709;" filled="f" stroked="t" coordsize="21600,21600">
                    <v:path arrowok="t"/>
                    <v:fill on="f" focussize="0,0"/>
                    <v:stroke color="#000000" endarrow="block"/>
                    <v:imagedata o:title=""/>
                    <o:lock v:ext="edit" aspectratio="f"/>
                  </v:shape>
                  <v:shape id="_x0000_s2114" o:spid="_x0000_s2114" o:spt="202" type="#_x0000_t202" style="position:absolute;left:4070;top:3681;height:416;width:1160;" fillcolor="#FFFFFF" filled="t" stroked="t" coordsize="21600,21600">
                    <v:path/>
                    <v:fill on="t" color2="#FFFFFF" focussize="0,0"/>
                    <v:stroke color="#000000" joinstyle="miter"/>
                    <v:imagedata o:title=""/>
                    <o:lock v:ext="edit" aspectratio="f"/>
                    <v:textbox>
                      <w:txbxContent>
                        <w:p>
                          <w:r>
                            <w:rPr>
                              <w:rFonts w:hint="eastAsia"/>
                            </w:rPr>
                            <w:t>生活用水</w:t>
                          </w:r>
                        </w:p>
                      </w:txbxContent>
                    </v:textbox>
                  </v:shape>
                  <v:shape id="_x0000_s2115" o:spid="_x0000_s2115" o:spt="202" type="#_x0000_t202" style="position:absolute;left:5563;top:6567;height:424;width:1473;" filled="f" stroked="f" coordsize="21600,21600">
                    <v:path/>
                    <v:fill on="f" focussize="0,0"/>
                    <v:stroke on="f"/>
                    <v:imagedata o:title=""/>
                    <o:lock v:ext="edit" aspectratio="f"/>
                    <v:textbox>
                      <w:txbxContent>
                        <w:p>
                          <w:r>
                            <w:rPr>
                              <w:rFonts w:hint="eastAsia"/>
                            </w:rPr>
                            <w:t>循环1</w:t>
                          </w:r>
                          <w:r>
                            <w:rPr>
                              <w:rFonts w:hint="eastAsia"/>
                              <w:lang w:val="en-US" w:eastAsia="zh-CN"/>
                            </w:rPr>
                            <w:t>5</w:t>
                          </w:r>
                          <w:r>
                            <w:rPr>
                              <w:rFonts w:hint="eastAsia"/>
                            </w:rPr>
                            <w:t>000</w:t>
                          </w:r>
                        </w:p>
                      </w:txbxContent>
                    </v:textbox>
                  </v:shape>
                  <v:shape id="_x0000_s2116" o:spid="_x0000_s2116" o:spt="32" type="#_x0000_t32" style="position:absolute;left:4650;top:3324;flip:y;height:357;width:194;" filled="f" stroked="t" coordsize="21600,21600">
                    <v:path arrowok="t"/>
                    <v:fill on="f" focussize="0,0"/>
                    <v:stroke color="#000000"/>
                    <v:imagedata o:title=""/>
                    <o:lock v:ext="edit" aspectratio="f"/>
                  </v:shape>
                  <v:shape id="_x0000_s2133" o:spid="_x0000_s2133" o:spt="32" type="#_x0000_t32" style="position:absolute;left:4844;top:3324;height:226;width:2;" filled="f" stroked="t" coordsize="21600,21600">
                    <v:path arrowok="t"/>
                    <v:fill on="f" focussize="0,0"/>
                    <v:stroke color="#000000"/>
                    <v:imagedata o:title=""/>
                    <o:lock v:ext="edit" aspectratio="f"/>
                  </v:shape>
                  <v:shape id="_x0000_s2134" o:spid="_x0000_s2134" o:spt="32" type="#_x0000_t32" style="position:absolute;left:4844;top:3217;flip:y;height:333;width:213;" filled="f" stroked="t" coordsize="21600,21600">
                    <v:path arrowok="t"/>
                    <v:fill on="f" focussize="0,0"/>
                    <v:stroke color="#000000" endarrow="block"/>
                    <v:imagedata o:title=""/>
                    <o:lock v:ext="edit" aspectratio="f"/>
                  </v:shape>
                  <v:shape id="_x0000_s2135" o:spid="_x0000_s2135" o:spt="32" type="#_x0000_t32" style="position:absolute;left:5230;top:3854;height:2;width:709;" filled="f" stroked="t" coordsize="21600,21600">
                    <v:path arrowok="t"/>
                    <v:fill on="f" focussize="0,0"/>
                    <v:stroke color="#000000" endarrow="block"/>
                    <v:imagedata o:title=""/>
                    <o:lock v:ext="edit" aspectratio="f"/>
                  </v:shape>
                  <v:shape id="_x0000_s2136" o:spid="_x0000_s2136" o:spt="202" type="#_x0000_t202" style="position:absolute;left:5230;top:3483;height:426;width:774;" filled="f" stroked="f" coordsize="21600,21600">
                    <v:path/>
                    <v:fill on="f" focussize="0,0"/>
                    <v:stroke on="f"/>
                    <v:imagedata o:title=""/>
                    <o:lock v:ext="edit" aspectratio="f"/>
                    <v:textbox>
                      <w:txbxContent>
                        <w:p>
                          <w:r>
                            <w:rPr>
                              <w:rFonts w:hint="eastAsia"/>
                            </w:rPr>
                            <w:t>2880</w:t>
                          </w:r>
                        </w:p>
                      </w:txbxContent>
                    </v:textbox>
                  </v:shape>
                  <v:shape id="_x0000_s2137" o:spid="_x0000_s2137" o:spt="202" type="#_x0000_t202" style="position:absolute;left:5939;top:3505;height:667;width:1892;" fillcolor="#FFFFFF" filled="t" stroked="t" coordsize="21600,21600">
                    <v:path/>
                    <v:fill on="t" color2="#FFFFFF" focussize="0,0"/>
                    <v:stroke color="#000000" joinstyle="miter"/>
                    <v:imagedata o:title=""/>
                    <o:lock v:ext="edit" aspectratio="f"/>
                    <v:textbox>
                      <w:txbxContent>
                        <w:p>
                          <w:r>
                            <w:rPr>
                              <w:rFonts w:hint="eastAsia"/>
                            </w:rPr>
                            <w:t>武南污水处理厂</w:t>
                          </w:r>
                        </w:p>
                        <w:p>
                          <w:pPr>
                            <w:jc w:val="center"/>
                          </w:pPr>
                          <w:r>
                            <w:rPr>
                              <w:rFonts w:hint="eastAsia"/>
                            </w:rPr>
                            <w:t>2880</w:t>
                          </w:r>
                        </w:p>
                      </w:txbxContent>
                    </v:textbox>
                  </v:shape>
                  <v:shape id="_x0000_s2138" o:spid="_x0000_s2138" o:spt="32" type="#_x0000_t32" style="position:absolute;left:7831;top:3852;height:1;width:708;" filled="f" stroked="t" coordsize="21600,21600">
                    <v:path arrowok="t"/>
                    <v:fill on="f" focussize="0,0"/>
                    <v:stroke color="#000000" endarrow="block"/>
                    <v:imagedata o:title=""/>
                    <o:lock v:ext="edit" aspectratio="f"/>
                  </v:shape>
                  <v:shape id="_x0000_s2139" o:spid="_x0000_s2139" o:spt="202" type="#_x0000_t202" style="position:absolute;left:8539;top:3483;height:1016;width:1288;" filled="f" stroked="f" coordsize="21600,21600">
                    <v:path/>
                    <v:fill on="f" focussize="0,0"/>
                    <v:stroke on="f"/>
                    <v:imagedata o:title=""/>
                    <o:lock v:ext="edit" aspectratio="f"/>
                    <v:textbox>
                      <w:txbxContent>
                        <w:p>
                          <w:r>
                            <w:rPr>
                              <w:rFonts w:hint="eastAsia"/>
                            </w:rPr>
                            <w:t>达标尾水排至武南河</w:t>
                          </w:r>
                        </w:p>
                      </w:txbxContent>
                    </v:textbox>
                  </v:shape>
                  <v:shape id="_x0000_s2140" o:spid="_x0000_s2140" o:spt="202" type="#_x0000_t202" style="position:absolute;left:5057;top:3066;height:417;width:1388;" filled="f" stroked="f" coordsize="21600,21600">
                    <v:path/>
                    <v:fill on="f" focussize="0,0"/>
                    <v:stroke on="f"/>
                    <v:imagedata o:title=""/>
                    <o:lock v:ext="edit" aspectratio="f"/>
                    <v:textbox>
                      <w:txbxContent>
                        <w:p>
                          <w:r>
                            <w:rPr>
                              <w:rFonts w:hint="eastAsia"/>
                            </w:rPr>
                            <w:t>损耗720</w:t>
                          </w:r>
                        </w:p>
                      </w:txbxContent>
                    </v:textbox>
                  </v:shape>
                  <v:shape id="_x0000_s2141" o:spid="_x0000_s2141" o:spt="32" type="#_x0000_t32" style="position:absolute;left:3351;top:3841;height:2435;width:1;" filled="f" stroked="t" coordsize="21600,21600">
                    <v:path arrowok="t"/>
                    <v:fill on="f" focussize="0,0"/>
                    <v:stroke color="#000000"/>
                    <v:imagedata o:title=""/>
                    <o:lock v:ext="edit" aspectratio="f"/>
                  </v:shape>
                  <v:shape id="_x0000_s2142" o:spid="_x0000_s2142" o:spt="32" type="#_x0000_t32" style="position:absolute;left:3391;top:6287;height:1;width:675;" filled="f" stroked="t" coordsize="21600,21600">
                    <v:path arrowok="t"/>
                    <v:fill on="f" focussize="0,0"/>
                    <v:stroke color="#000000" endarrow="block"/>
                    <v:imagedata o:title=""/>
                    <o:lock v:ext="edit" aspectratio="f"/>
                  </v:shape>
                  <v:shape id="_x0000_s2143" o:spid="_x0000_s2143" o:spt="202" type="#_x0000_t202" style="position:absolute;left:4081;top:6062;height:416;width:1160;" fillcolor="#FFFFFF" filled="t" stroked="t" coordsize="21600,21600">
                    <v:path/>
                    <v:fill on="t" color2="#FFFFFF" focussize="0,0"/>
                    <v:stroke color="#000000" joinstyle="miter"/>
                    <v:imagedata o:title=""/>
                    <o:lock v:ext="edit" aspectratio="f"/>
                    <v:textbox>
                      <w:txbxContent>
                        <w:p>
                          <w:r>
                            <w:rPr>
                              <w:rFonts w:hint="eastAsia"/>
                            </w:rPr>
                            <w:t>冷却用水</w:t>
                          </w:r>
                        </w:p>
                      </w:txbxContent>
                    </v:textbox>
                  </v:shape>
                  <v:shape id="_x0000_s2144" o:spid="_x0000_s2144" o:spt="202" type="#_x0000_t202" style="position:absolute;left:3403;top:5942;height:424;width:775;" filled="f" stroked="f" coordsize="21600,21600">
                    <v:path/>
                    <v:fill on="f" focussize="0,0"/>
                    <v:stroke on="f"/>
                    <v:imagedata o:title=""/>
                    <o:lock v:ext="edit" aspectratio="f"/>
                    <v:textbox>
                      <w:txbxContent>
                        <w:p>
                          <w:pPr>
                            <w:rPr>
                              <w:rFonts w:hint="default" w:eastAsia="宋体"/>
                              <w:lang w:val="en-US" w:eastAsia="zh-CN"/>
                            </w:rPr>
                          </w:pPr>
                          <w:r>
                            <w:rPr>
                              <w:rFonts w:hint="eastAsia"/>
                            </w:rPr>
                            <w:t>1</w:t>
                          </w:r>
                          <w:r>
                            <w:rPr>
                              <w:rFonts w:hint="eastAsia"/>
                              <w:lang w:val="en-US" w:eastAsia="zh-CN"/>
                            </w:rPr>
                            <w:t>05</w:t>
                          </w:r>
                        </w:p>
                      </w:txbxContent>
                    </v:textbox>
                  </v:shape>
                  <v:shape id="_x0000_s2145" o:spid="_x0000_s2145" o:spt="32" type="#_x0000_t32" style="position:absolute;left:2642;top:5096;height:1;width:709;" filled="f" stroked="t" coordsize="21600,21600">
                    <v:path arrowok="t"/>
                    <v:fill on="f" focussize="0,0"/>
                    <v:stroke color="#000000" endarrow="block"/>
                    <v:imagedata o:title=""/>
                    <o:lock v:ext="edit" aspectratio="f"/>
                  </v:shape>
                  <v:shape id="_x0000_s2146" o:spid="_x0000_s2146" o:spt="202" type="#_x0000_t202" style="position:absolute;left:2640;top:4742;height:424;width:775;" filled="f" stroked="f" coordsize="21600,21600">
                    <v:path/>
                    <v:fill on="f" focussize="0,0"/>
                    <v:stroke on="f"/>
                    <v:imagedata o:title=""/>
                    <o:lock v:ext="edit" aspectratio="f"/>
                    <v:textbox>
                      <w:txbxContent>
                        <w:p>
                          <w:pPr>
                            <w:rPr>
                              <w:rFonts w:hint="default" w:eastAsia="宋体"/>
                              <w:lang w:val="en-US" w:eastAsia="zh-CN"/>
                            </w:rPr>
                          </w:pPr>
                          <w:r>
                            <w:rPr>
                              <w:rFonts w:hint="eastAsia"/>
                            </w:rPr>
                            <w:t>4</w:t>
                          </w:r>
                          <w:r>
                            <w:rPr>
                              <w:rFonts w:hint="eastAsia"/>
                              <w:lang w:val="en-US" w:eastAsia="zh-CN"/>
                            </w:rPr>
                            <w:t>425</w:t>
                          </w:r>
                        </w:p>
                      </w:txbxContent>
                    </v:textbox>
                  </v:shape>
                  <v:shape id="_x0000_s2147" o:spid="_x0000_s2147" o:spt="202" type="#_x0000_t202" style="position:absolute;left:3366;top:3520;height:424;width:775;" filled="f" stroked="f" coordsize="21600,21600">
                    <v:path/>
                    <v:fill on="f" focussize="0,0"/>
                    <v:stroke on="f"/>
                    <v:imagedata o:title=""/>
                    <o:lock v:ext="edit" aspectratio="f"/>
                    <v:textbox>
                      <w:txbxContent>
                        <w:p>
                          <w:r>
                            <w:rPr>
                              <w:rFonts w:hint="eastAsia"/>
                            </w:rPr>
                            <w:t>3600</w:t>
                          </w:r>
                        </w:p>
                      </w:txbxContent>
                    </v:textbox>
                  </v:shape>
                  <v:shape id="_x0000_s2148" o:spid="_x0000_s2148" o:spt="32" type="#_x0000_t32" style="position:absolute;left:4911;top:5680;flip:y;height:357;width:194;" filled="f" stroked="t" coordsize="21600,21600">
                    <v:path arrowok="t"/>
                    <v:fill on="f" focussize="0,0"/>
                    <v:stroke color="#000000"/>
                    <v:imagedata o:title=""/>
                    <o:lock v:ext="edit" aspectratio="f"/>
                  </v:shape>
                  <v:shape id="_x0000_s2149" o:spid="_x0000_s2149" o:spt="32" type="#_x0000_t32" style="position:absolute;left:5105;top:5680;height:226;width:2;" filled="f" stroked="t" coordsize="21600,21600">
                    <v:path arrowok="t"/>
                    <v:fill on="f" focussize="0,0"/>
                    <v:stroke color="#000000"/>
                    <v:imagedata o:title=""/>
                    <o:lock v:ext="edit" aspectratio="f"/>
                  </v:shape>
                  <v:shape id="_x0000_s2150" o:spid="_x0000_s2150" o:spt="32" type="#_x0000_t32" style="position:absolute;left:5105;top:5573;flip:y;height:333;width:213;" filled="f" stroked="t" coordsize="21600,21600">
                    <v:path arrowok="t"/>
                    <v:fill on="f" focussize="0,0"/>
                    <v:stroke color="#000000" endarrow="block"/>
                    <v:imagedata o:title=""/>
                    <o:lock v:ext="edit" aspectratio="f"/>
                  </v:shape>
                  <v:shape id="_x0000_s2151" o:spid="_x0000_s2151" o:spt="202" type="#_x0000_t202" style="position:absolute;left:5318;top:5422;height:417;width:1388;" filled="f" stroked="f" coordsize="21600,21600">
                    <v:path/>
                    <v:fill on="f" focussize="0,0"/>
                    <v:stroke on="f"/>
                    <v:imagedata o:title=""/>
                    <o:lock v:ext="edit" aspectratio="f"/>
                    <v:textbox>
                      <w:txbxContent>
                        <w:p>
                          <w:pPr>
                            <w:rPr>
                              <w:rFonts w:hint="default" w:eastAsia="宋体"/>
                              <w:lang w:val="en-US" w:eastAsia="zh-CN"/>
                            </w:rPr>
                          </w:pPr>
                          <w:r>
                            <w:rPr>
                              <w:rFonts w:hint="eastAsia"/>
                            </w:rPr>
                            <w:t>损耗1</w:t>
                          </w:r>
                          <w:r>
                            <w:rPr>
                              <w:rFonts w:hint="eastAsia"/>
                              <w:lang w:val="en-US" w:eastAsia="zh-CN"/>
                            </w:rPr>
                            <w:t>05</w:t>
                          </w:r>
                        </w:p>
                      </w:txbxContent>
                    </v:textbox>
                  </v:shape>
                  <v:shape id="_x0000_s2152" o:spid="_x0000_s2152" o:spt="39" type="#_x0000_t39" style="position:absolute;left:4847;top:6084;flip:x y;height:580;width:208;rotation:5898240f;" filled="f" stroked="t" coordsize="21600,21600" adj="-37385,35007,506354">
                    <v:path arrowok="t"/>
                    <v:fill on="f" focussize="0,0"/>
                    <v:stroke color="#000000" endarrow="block"/>
                    <v:imagedata o:title=""/>
                    <o:lock v:ext="edit" aspectratio="f"/>
                  </v:shape>
                  <v:shape id="_x0000_s2153" o:spid="_x0000_s2153" o:spt="32" type="#_x0000_t32" style="position:absolute;left:3351;top:5199;height:1;width:709;" filled="f" stroked="t" coordsize="21600,21600">
                    <v:path arrowok="t"/>
                    <v:fill on="f" focussize="0,0"/>
                    <v:stroke color="#000000" endarrow="block"/>
                    <v:imagedata o:title=""/>
                    <o:lock v:ext="edit" aspectratio="f"/>
                  </v:shape>
                  <v:shape id="_x0000_s2154" o:spid="_x0000_s2154" o:spt="202" type="#_x0000_t202" style="position:absolute;left:4060;top:5027;height:416;width:1160;" fillcolor="#FFFFFF" filled="t" stroked="t" coordsize="21600,21600">
                    <v:path/>
                    <v:fill on="t" color2="#FFFFFF" focussize="0,0"/>
                    <v:stroke color="#000000" joinstyle="miter"/>
                    <v:imagedata o:title=""/>
                    <o:lock v:ext="edit" aspectratio="f"/>
                    <v:textbox>
                      <w:txbxContent>
                        <w:p>
                          <w:r>
                            <w:rPr>
                              <w:rFonts w:hint="eastAsia"/>
                            </w:rPr>
                            <w:t>食堂用水</w:t>
                          </w:r>
                        </w:p>
                      </w:txbxContent>
                    </v:textbox>
                  </v:shape>
                  <v:shape id="_x0000_s2155" o:spid="_x0000_s2155" o:spt="32" type="#_x0000_t32" style="position:absolute;left:4640;top:4670;flip:y;height:357;width:194;" filled="f" stroked="t" coordsize="21600,21600">
                    <v:path arrowok="t"/>
                    <v:fill on="f" focussize="0,0"/>
                    <v:stroke color="#000000"/>
                    <v:imagedata o:title=""/>
                    <o:lock v:ext="edit" aspectratio="f"/>
                  </v:shape>
                  <v:shape id="_x0000_s2156" o:spid="_x0000_s2156" o:spt="32" type="#_x0000_t32" style="position:absolute;left:4834;top:4670;height:226;width:2;" filled="f" stroked="t" coordsize="21600,21600">
                    <v:path arrowok="t"/>
                    <v:fill on="f" focussize="0,0"/>
                    <v:stroke color="#000000"/>
                    <v:imagedata o:title=""/>
                    <o:lock v:ext="edit" aspectratio="f"/>
                  </v:shape>
                  <v:shape id="_x0000_s2157" o:spid="_x0000_s2157" o:spt="32" type="#_x0000_t32" style="position:absolute;left:4834;top:4563;flip:y;height:333;width:213;" filled="f" stroked="t" coordsize="21600,21600">
                    <v:path arrowok="t"/>
                    <v:fill on="f" focussize="0,0"/>
                    <v:stroke color="#000000" endarrow="block"/>
                    <v:imagedata o:title=""/>
                    <o:lock v:ext="edit" aspectratio="f"/>
                  </v:shape>
                  <v:shape id="_x0000_s2158" o:spid="_x0000_s2158" o:spt="32" type="#_x0000_t32" style="position:absolute;left:5220;top:5200;height:2;width:709;" filled="f" stroked="t" coordsize="21600,21600">
                    <v:path arrowok="t"/>
                    <v:fill on="f" focussize="0,0"/>
                    <v:stroke color="#000000" endarrow="block"/>
                    <v:imagedata o:title=""/>
                    <o:lock v:ext="edit" aspectratio="f"/>
                  </v:shape>
                  <v:shape id="_x0000_s2159" o:spid="_x0000_s2159" o:spt="202" type="#_x0000_t202" style="position:absolute;left:5220;top:4829;height:426;width:774;" filled="f" stroked="f" coordsize="21600,21600">
                    <v:path/>
                    <v:fill on="f" focussize="0,0"/>
                    <v:stroke on="f"/>
                    <v:imagedata o:title=""/>
                    <o:lock v:ext="edit" aspectratio="f"/>
                    <v:textbox>
                      <w:txbxContent>
                        <w:p>
                          <w:pPr>
                            <w:rPr>
                              <w:rFonts w:hint="default" w:eastAsia="宋体"/>
                              <w:lang w:val="en-US" w:eastAsia="zh-CN"/>
                            </w:rPr>
                          </w:pPr>
                          <w:r>
                            <w:rPr>
                              <w:rFonts w:hint="eastAsia"/>
                              <w:lang w:val="en-US" w:eastAsia="zh-CN"/>
                            </w:rPr>
                            <w:t>576</w:t>
                          </w:r>
                        </w:p>
                      </w:txbxContent>
                    </v:textbox>
                  </v:shape>
                  <v:shape id="_x0000_s2160" o:spid="_x0000_s2160" o:spt="202" type="#_x0000_t202" style="position:absolute;left:5929;top:4851;height:667;width:1892;" fillcolor="#FFFFFF" filled="t" stroked="t" coordsize="21600,21600">
                    <v:path/>
                    <v:fill on="t" color2="#FFFFFF" focussize="0,0"/>
                    <v:stroke color="#000000" joinstyle="miter"/>
                    <v:imagedata o:title=""/>
                    <o:lock v:ext="edit" aspectratio="f"/>
                    <v:textbox>
                      <w:txbxContent>
                        <w:p>
                          <w:r>
                            <w:rPr>
                              <w:rFonts w:hint="eastAsia"/>
                            </w:rPr>
                            <w:t>武南污水处理厂</w:t>
                          </w:r>
                        </w:p>
                        <w:p>
                          <w:pPr>
                            <w:jc w:val="center"/>
                            <w:rPr>
                              <w:rFonts w:hint="default" w:eastAsia="宋体"/>
                              <w:lang w:val="en-US" w:eastAsia="zh-CN"/>
                            </w:rPr>
                          </w:pPr>
                          <w:r>
                            <w:rPr>
                              <w:rFonts w:hint="eastAsia"/>
                              <w:lang w:val="en-US" w:eastAsia="zh-CN"/>
                            </w:rPr>
                            <w:t>576</w:t>
                          </w:r>
                        </w:p>
                      </w:txbxContent>
                    </v:textbox>
                  </v:shape>
                  <v:shape id="_x0000_s2161" o:spid="_x0000_s2161" o:spt="32" type="#_x0000_t32" style="position:absolute;left:7821;top:5198;height:1;width:708;" filled="f" stroked="t" coordsize="21600,21600">
                    <v:path arrowok="t"/>
                    <v:fill on="f" focussize="0,0"/>
                    <v:stroke color="#000000" endarrow="block"/>
                    <v:imagedata o:title=""/>
                    <o:lock v:ext="edit" aspectratio="f"/>
                  </v:shape>
                  <v:shape id="_x0000_s2162" o:spid="_x0000_s2162" o:spt="202" type="#_x0000_t202" style="position:absolute;left:8529;top:4829;height:1010;width:1298;" filled="f" stroked="f" coordsize="21600,21600">
                    <v:path/>
                    <v:fill on="f" focussize="0,0"/>
                    <v:stroke on="f"/>
                    <v:imagedata o:title=""/>
                    <o:lock v:ext="edit" aspectratio="f"/>
                    <v:textbox>
                      <w:txbxContent>
                        <w:p>
                          <w:r>
                            <w:rPr>
                              <w:rFonts w:hint="eastAsia"/>
                            </w:rPr>
                            <w:t>达标尾水排至武南河</w:t>
                          </w:r>
                        </w:p>
                      </w:txbxContent>
                    </v:textbox>
                  </v:shape>
                  <v:shape id="_x0000_s2163" o:spid="_x0000_s2163" o:spt="202" type="#_x0000_t202" style="position:absolute;left:5047;top:4412;height:417;width:1388;" filled="f" stroked="f" coordsize="21600,21600">
                    <v:path/>
                    <v:fill on="f" focussize="0,0"/>
                    <v:stroke on="f"/>
                    <v:imagedata o:title=""/>
                    <o:lock v:ext="edit" aspectratio="f"/>
                    <v:textbox>
                      <w:txbxContent>
                        <w:p>
                          <w:pPr>
                            <w:rPr>
                              <w:rFonts w:hint="default" w:eastAsia="宋体"/>
                              <w:lang w:val="en-US" w:eastAsia="zh-CN"/>
                            </w:rPr>
                          </w:pPr>
                          <w:r>
                            <w:rPr>
                              <w:rFonts w:hint="eastAsia"/>
                            </w:rPr>
                            <w:t>损耗</w:t>
                          </w:r>
                          <w:r>
                            <w:rPr>
                              <w:rFonts w:hint="eastAsia"/>
                              <w:lang w:val="en-US" w:eastAsia="zh-CN"/>
                            </w:rPr>
                            <w:t>144</w:t>
                          </w:r>
                        </w:p>
                      </w:txbxContent>
                    </v:textbox>
                  </v:shape>
                  <v:shape id="_x0000_s2164" o:spid="_x0000_s2164" o:spt="202" type="#_x0000_t202" style="position:absolute;left:3356;top:4866;height:424;width:775;" filled="f" stroked="f" coordsize="21600,21600">
                    <v:path/>
                    <v:fill on="f" focussize="0,0"/>
                    <v:stroke on="f"/>
                    <v:imagedata o:title=""/>
                    <o:lock v:ext="edit" aspectratio="f"/>
                    <v:textbox>
                      <w:txbxContent>
                        <w:p>
                          <w:r>
                            <w:rPr>
                              <w:rFonts w:hint="eastAsia"/>
                              <w:lang w:val="en-US" w:eastAsia="zh-CN"/>
                            </w:rPr>
                            <w:t>72</w:t>
                          </w:r>
                          <w:r>
                            <w:rPr>
                              <w:rFonts w:hint="eastAsia"/>
                            </w:rPr>
                            <w:t>0</w:t>
                          </w:r>
                        </w:p>
                      </w:txbxContent>
                    </v:textbox>
                  </v:shape>
                  <w10:wrap type="none"/>
                  <w10:anchorlock/>
                </v:group>
              </w:pict>
            </w:r>
            <w:r>
              <w:rPr>
                <w:rFonts w:hint="eastAsia"/>
                <w:b/>
                <w:sz w:val="24"/>
              </w:rPr>
              <w:t xml:space="preserve"> 图2-1项目水平衡图</w:t>
            </w:r>
          </w:p>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9</w:t>
            </w:r>
            <w:r>
              <w:rPr>
                <w:b/>
                <w:sz w:val="24"/>
              </w:rPr>
              <w:t>、生产制度、职工人数</w:t>
            </w:r>
          </w:p>
          <w:p>
            <w:pPr>
              <w:keepNext w:val="0"/>
              <w:keepLines w:val="0"/>
              <w:suppressLineNumbers w:val="0"/>
              <w:spacing w:before="0" w:beforeAutospacing="0" w:after="0" w:afterAutospacing="0" w:line="360" w:lineRule="auto"/>
              <w:ind w:left="0" w:right="0" w:firstLine="480" w:firstLineChars="200"/>
              <w:rPr>
                <w:sz w:val="24"/>
              </w:rPr>
            </w:pPr>
            <w:r>
              <w:rPr>
                <w:sz w:val="24"/>
              </w:rPr>
              <w:t>项目拟用职工</w:t>
            </w:r>
            <w:r>
              <w:rPr>
                <w:rFonts w:hint="eastAsia"/>
                <w:sz w:val="24"/>
              </w:rPr>
              <w:t>1</w:t>
            </w:r>
            <w:r>
              <w:rPr>
                <w:sz w:val="24"/>
              </w:rPr>
              <w:t>2</w:t>
            </w:r>
            <w:r>
              <w:rPr>
                <w:rFonts w:hint="eastAsia"/>
                <w:sz w:val="24"/>
              </w:rPr>
              <w:t>0</w:t>
            </w:r>
            <w:r>
              <w:rPr>
                <w:sz w:val="24"/>
              </w:rPr>
              <w:t>人，</w:t>
            </w:r>
            <w:r>
              <w:rPr>
                <w:rFonts w:hint="eastAsia"/>
                <w:sz w:val="24"/>
              </w:rPr>
              <w:t>两</w:t>
            </w:r>
            <w:r>
              <w:rPr>
                <w:sz w:val="24"/>
              </w:rPr>
              <w:t>班制</w:t>
            </w:r>
            <w:r>
              <w:rPr>
                <w:rFonts w:hint="eastAsia"/>
                <w:sz w:val="24"/>
              </w:rPr>
              <w:t>，每班</w:t>
            </w:r>
            <w:r>
              <w:rPr>
                <w:rFonts w:hint="eastAsia"/>
                <w:sz w:val="24"/>
                <w:lang w:val="en-US" w:eastAsia="zh-CN"/>
              </w:rPr>
              <w:t>8</w:t>
            </w:r>
            <w:r>
              <w:rPr>
                <w:sz w:val="24"/>
              </w:rPr>
              <w:t>小时生产，年工作日约300天，年工作</w:t>
            </w:r>
            <w:r>
              <w:rPr>
                <w:rFonts w:hint="eastAsia"/>
                <w:sz w:val="24"/>
                <w:lang w:val="en-US" w:eastAsia="zh-CN"/>
              </w:rPr>
              <w:t>48</w:t>
            </w:r>
            <w:r>
              <w:rPr>
                <w:sz w:val="24"/>
              </w:rPr>
              <w:t>00小时。厂</w:t>
            </w:r>
            <w:r>
              <w:rPr>
                <w:rFonts w:hint="eastAsia"/>
                <w:sz w:val="24"/>
              </w:rPr>
              <w:t>区内设食堂</w:t>
            </w:r>
            <w:r>
              <w:rPr>
                <w:sz w:val="24"/>
              </w:rPr>
              <w:t>及员工宿舍。</w:t>
            </w:r>
          </w:p>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10</w:t>
            </w:r>
            <w:r>
              <w:rPr>
                <w:b/>
                <w:sz w:val="24"/>
              </w:rPr>
              <w:t>、厂区平面布置</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sz w:val="24"/>
              </w:rPr>
              <w:t>本项目主体工程、贮运工程以及公用工程、环保工程均在车间内有序布置，本项目</w:t>
            </w:r>
            <w:r>
              <w:rPr>
                <w:rFonts w:hAnsi="宋体"/>
                <w:sz w:val="24"/>
              </w:rPr>
              <w:t>购买</w:t>
            </w:r>
            <w:r>
              <w:rPr>
                <w:rFonts w:hint="eastAsia" w:hAnsi="宋体"/>
                <w:sz w:val="24"/>
                <w:lang w:eastAsia="zh-CN"/>
              </w:rPr>
              <w:t>常州武进武新资产经营有限公司</w:t>
            </w:r>
            <w:r>
              <w:rPr>
                <w:rFonts w:hAnsi="宋体"/>
                <w:sz w:val="24"/>
              </w:rPr>
              <w:t>存量土地</w:t>
            </w:r>
            <w:r>
              <w:rPr>
                <w:sz w:val="24"/>
              </w:rPr>
              <w:t>68</w:t>
            </w:r>
            <w:r>
              <w:rPr>
                <w:rFonts w:hAnsi="宋体"/>
                <w:sz w:val="24"/>
              </w:rPr>
              <w:t>亩、存量厂房</w:t>
            </w:r>
            <w:r>
              <w:rPr>
                <w:sz w:val="24"/>
              </w:rPr>
              <w:t>26541.73</w:t>
            </w:r>
            <w:r>
              <w:rPr>
                <w:rFonts w:hAnsi="宋体"/>
                <w:sz w:val="24"/>
              </w:rPr>
              <w:t>平方米，进行厂房改造</w:t>
            </w:r>
            <w:r>
              <w:rPr>
                <w:rFonts w:hint="eastAsia"/>
                <w:sz w:val="24"/>
              </w:rPr>
              <w:t>，生产车间1和生产车间3用于冲压加工；生产车间2</w:t>
            </w:r>
            <w:r>
              <w:rPr>
                <w:rFonts w:hint="eastAsia"/>
                <w:sz w:val="24"/>
                <w:lang w:eastAsia="zh-CN"/>
              </w:rPr>
              <w:t>闲置</w:t>
            </w:r>
            <w:r>
              <w:rPr>
                <w:rFonts w:hint="eastAsia"/>
                <w:sz w:val="24"/>
              </w:rPr>
              <w:t>；生产车间4用于纵剪、仓储；生产车间5用于机加工、攻丝加工等，且内设涂</w:t>
            </w:r>
            <w:r>
              <w:rPr>
                <w:rFonts w:hint="eastAsia"/>
                <w:sz w:val="24"/>
                <w:lang w:eastAsia="zh-CN"/>
              </w:rPr>
              <w:t>敷</w:t>
            </w:r>
            <w:r>
              <w:rPr>
                <w:rFonts w:hint="eastAsia"/>
                <w:sz w:val="24"/>
              </w:rPr>
              <w:t>注塑车间，用于涂敷固化、注塑成型和焊接。本项目车间总平面布置有利于工厂的生产、运输和管理，各分区的布置规划整齐，既方便内外交通联系，又方便原料、产品的运输，平面布置较合理。</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车间平面布置图详见附图3。</w:t>
            </w:r>
          </w:p>
          <w:p>
            <w:pPr>
              <w:pStyle w:val="2"/>
              <w:keepNext w:val="0"/>
              <w:keepLines w:val="0"/>
              <w:suppressLineNumbers w:val="0"/>
              <w:spacing w:before="0" w:beforeAutospacing="0" w:afterAutospacing="0"/>
              <w:rPr>
                <w:rFonts w:hint="eastAsia"/>
                <w:sz w:val="24"/>
              </w:rPr>
            </w:pPr>
          </w:p>
          <w:p>
            <w:pPr>
              <w:pStyle w:val="2"/>
              <w:keepNext w:val="0"/>
              <w:keepLines w:val="0"/>
              <w:suppressLineNumbers w:val="0"/>
              <w:spacing w:before="0" w:beforeAutospacing="0" w:afterAutospacing="0"/>
              <w:rPr>
                <w:rFonts w:hint="eastAsia"/>
                <w:sz w:val="24"/>
              </w:rPr>
            </w:pPr>
          </w:p>
          <w:p>
            <w:pPr>
              <w:pStyle w:val="2"/>
              <w:keepNext w:val="0"/>
              <w:keepLines w:val="0"/>
              <w:suppressLineNumbers w:val="0"/>
              <w:spacing w:before="0" w:beforeAutospacing="0" w:afterAutospacing="0"/>
              <w:rPr>
                <w:rFonts w:hint="eastAsia"/>
                <w:sz w:val="24"/>
              </w:rPr>
            </w:pPr>
          </w:p>
          <w:p>
            <w:pPr>
              <w:pStyle w:val="2"/>
              <w:keepNext w:val="0"/>
              <w:keepLines w:val="0"/>
              <w:suppressLineNumbers w:val="0"/>
              <w:spacing w:before="0" w:beforeAutospacing="0" w:afterAutospacing="0"/>
              <w:rPr>
                <w:rFonts w:hint="eastAsia"/>
                <w:sz w:val="24"/>
              </w:rPr>
            </w:pPr>
          </w:p>
          <w:p>
            <w:pPr>
              <w:pStyle w:val="2"/>
              <w:keepNext w:val="0"/>
              <w:keepLines w:val="0"/>
              <w:suppressLineNumbers w:val="0"/>
              <w:spacing w:before="0" w:beforeAutospacing="0" w:afterAutospacing="0"/>
              <w:rPr>
                <w:rFonts w:hint="eastAsia"/>
                <w:sz w:val="24"/>
              </w:rPr>
            </w:pPr>
          </w:p>
          <w:p>
            <w:pPr>
              <w:keepNext w:val="0"/>
              <w:keepLines w:val="0"/>
              <w:suppressLineNumbers w:val="0"/>
              <w:adjustRightInd w:val="0"/>
              <w:snapToGrid w:val="0"/>
              <w:spacing w:before="0" w:beforeAutospacing="0" w:after="0" w:afterAutospacing="0" w:line="360" w:lineRule="auto"/>
              <w:ind w:left="0" w:right="0" w:firstLine="420" w:firstLineChars="20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jc w:val="center"/>
        </w:trPr>
        <w:tc>
          <w:tcPr>
            <w:tcW w:w="392" w:type="dxa"/>
            <w:vAlign w:val="center"/>
          </w:tcPr>
          <w:p>
            <w:pPr>
              <w:pStyle w:val="18"/>
              <w:keepNext w:val="0"/>
              <w:keepLines w:val="0"/>
              <w:suppressLineNumbers w:val="0"/>
              <w:adjustRightInd w:val="0"/>
              <w:snapToGrid w:val="0"/>
              <w:spacing w:before="0" w:beforeAutospacing="0" w:after="0" w:afterAutospacing="0"/>
              <w:ind w:left="0" w:right="0"/>
              <w:jc w:val="center"/>
              <w:rPr>
                <w:rFonts w:cs="宋体"/>
                <w:sz w:val="21"/>
                <w:szCs w:val="21"/>
              </w:rPr>
            </w:pPr>
            <w:r>
              <w:rPr>
                <w:rFonts w:hint="eastAsia" w:cs="宋体"/>
                <w:sz w:val="21"/>
                <w:szCs w:val="21"/>
              </w:rPr>
              <w:t>工艺流程和产排污环节</w:t>
            </w:r>
          </w:p>
        </w:tc>
        <w:tc>
          <w:tcPr>
            <w:tcW w:w="8668" w:type="dxa"/>
          </w:tcPr>
          <w:p>
            <w:pPr>
              <w:keepNext w:val="0"/>
              <w:keepLines w:val="0"/>
              <w:suppressLineNumbers w:val="0"/>
              <w:adjustRightInd w:val="0"/>
              <w:snapToGrid w:val="0"/>
              <w:spacing w:before="0" w:beforeAutospacing="0" w:after="0" w:afterAutospacing="0"/>
              <w:ind w:left="0" w:right="0"/>
              <w:rPr>
                <w:rFonts w:ascii="宋体" w:hAnsi="宋体"/>
                <w:b/>
                <w:bCs/>
                <w:sz w:val="24"/>
              </w:rPr>
            </w:pPr>
            <w:r>
              <w:rPr>
                <w:rFonts w:ascii="宋体"/>
                <w:b/>
                <w:sz w:val="20"/>
              </w:rPr>
              <w:pict>
                <v:line id="直线 751" o:spid="_x0000_s2088" o:spt="20" style="position:absolute;left:0pt;margin-left:0pt;margin-top:897pt;height:0pt;width:451.5pt;z-index:251664384;mso-width-relative:page;mso-height-relative:page;" coordsize="21600,21600" o:gfxdata="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9511NQAAAAK&#10;AQAADwAAAAAAAAABACAAAAAiAAAAZHJzL2Rvd25yZXYueG1sUEsBAhQAFAAAAAgAh07iQOO6po7n&#10;AQAA4AMAAA4AAAAAAAAAAQAgAAAAIwEAAGRycy9lMm9Eb2MueG1sUEsFBgAAAAAGAAYAWQEAAHwF&#10;AAAAAA==&#10;">
                  <v:path arrowok="t"/>
                  <v:fill focussize="0,0"/>
                  <v:stroke/>
                  <v:imagedata o:title=""/>
                  <o:lock v:ext="edit"/>
                </v:line>
              </w:pict>
            </w:r>
            <w:r>
              <w:rPr>
                <w:rFonts w:hint="eastAsia" w:ascii="宋体" w:hAnsi="宋体"/>
                <w:b/>
                <w:bCs/>
                <w:sz w:val="24"/>
              </w:rPr>
              <w:t>工艺流程简述（图示）：</w:t>
            </w:r>
          </w:p>
          <w:p>
            <w:pPr>
              <w:keepNext w:val="0"/>
              <w:keepLines w:val="0"/>
              <w:suppressLineNumbers w:val="0"/>
              <w:adjustRightInd w:val="0"/>
              <w:snapToGrid w:val="0"/>
              <w:spacing w:before="0" w:beforeAutospacing="0" w:after="0" w:afterAutospacing="0"/>
              <w:ind w:left="0" w:right="0"/>
              <w:rPr>
                <w:rFonts w:ascii="宋体" w:hAnsi="宋体"/>
                <w:b/>
                <w:color w:val="000000"/>
                <w:sz w:val="24"/>
              </w:rPr>
            </w:pPr>
            <w:r>
              <w:rPr>
                <w:rFonts w:hint="eastAsia"/>
                <w:b/>
                <w:color w:val="000000"/>
                <w:sz w:val="24"/>
                <w:lang w:val="en-US" w:eastAsia="zh-CN"/>
              </w:rPr>
              <w:t>1</w:t>
            </w:r>
            <w:r>
              <w:rPr>
                <w:rFonts w:hint="eastAsia" w:ascii="宋体" w:hAnsi="宋体"/>
                <w:b/>
                <w:color w:val="000000"/>
                <w:sz w:val="24"/>
              </w:rPr>
              <w:t>、电机铁芯</w:t>
            </w:r>
            <w:r>
              <w:rPr>
                <w:rFonts w:ascii="宋体" w:hAnsi="宋体"/>
                <w:b/>
                <w:color w:val="000000"/>
                <w:sz w:val="24"/>
              </w:rPr>
              <w:t>工艺流程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textAlignment w:val="auto"/>
              <w:rPr>
                <w:rFonts w:ascii="宋体" w:hAnsi="宋体"/>
                <w:b/>
                <w:sz w:val="24"/>
              </w:rPr>
            </w:pPr>
            <w:r>
              <w:rPr>
                <w:rFonts w:ascii="宋体" w:hAnsi="宋体"/>
                <w:b/>
                <w:sz w:val="24"/>
              </w:rPr>
              <w:pict>
                <v:group id="_x0000_s2109" o:spid="_x0000_s2109" o:spt="203" style="height:522.85pt;width:421.2pt;" coordorigin="2054,2022" coordsize="8424,10457" editas="canvas">
                  <o:lock v:ext="edit"/>
                  <v:shape id="_x0000_s124094" o:spid="_x0000_s124094" o:spt="75" type="#_x0000_t75" style="position:absolute;left:2054;top:2022;height:10457;width:8424;" filled="f" stroked="f" coordsize="21600,21600">
                    <v:path/>
                    <v:fill on="f" focussize="0,0"/>
                    <v:stroke on="f"/>
                    <v:imagedata o:title=""/>
                    <o:lock v:ext="edit" text="t" aspectratio="t"/>
                  </v:shape>
                  <v:shape id="_x0000_s124336" o:spid="_x0000_s124336" o:spt="32" type="#_x0000_t32" style="position:absolute;left:6085;top:10611;height:452;width:1;" filled="f" stroked="t" coordsize="21600,21600">
                    <v:path arrowok="t"/>
                    <v:fill on="f" focussize="0,0"/>
                    <v:stroke color="#000000" endarrow="block"/>
                    <v:imagedata o:title=""/>
                    <o:lock v:ext="edit" aspectratio="f"/>
                  </v:shape>
                  <v:shape id="_x0000_s124337" o:spid="_x0000_s124337" o:spt="202" type="#_x0000_t202" style="position:absolute;left:5613;top:11063;height:439;width:962;" filled="f" stroked="f" coordsize="21600,21600">
                    <v:path/>
                    <v:fill on="f" focussize="0,0"/>
                    <v:stroke on="f"/>
                    <v:imagedata o:title=""/>
                    <o:lock v:ext="edit" aspectratio="f"/>
                    <v:textbox>
                      <w:txbxContent>
                        <w:p>
                          <w:pPr>
                            <w:jc w:val="center"/>
                          </w:pPr>
                          <w:r>
                            <w:rPr>
                              <w:rFonts w:hint="eastAsia"/>
                            </w:rPr>
                            <w:t>成品</w:t>
                          </w:r>
                        </w:p>
                      </w:txbxContent>
                    </v:textbox>
                  </v:shape>
                  <v:shape id="文本框 11" o:spid="_x0000_s124338" o:spt="202" type="#_x0000_t202" style="position:absolute;left:8044;top:10909;height:1045;width:2201;"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LGDridAQAADwMAAA4AAAAAAAAA&#10;AQAgAAAAJQEAAGRycy9lMm9Eb2MueG1sUEsFBgAAAAAGAAYAWQEAADQFAAAAAA==&#10;">
                    <v:path/>
                    <v:fill on="f" focussize="0,0"/>
                    <v:stroke on="f"/>
                    <v:imagedata o:title=""/>
                    <o:lock v:ext="edit" aspectratio="f"/>
                    <v:textbox>
                      <w:txbxContent>
                        <w:p>
                          <w:pPr>
                            <w:rPr>
                              <w:rFonts w:ascii="宋体" w:hAnsi="宋体" w:cs="宋体"/>
                              <w:szCs w:val="21"/>
                            </w:rPr>
                          </w:pPr>
                          <w:r>
                            <w:rPr>
                              <w:rFonts w:hint="eastAsia" w:ascii="宋体" w:hAnsi="宋体" w:cs="宋体"/>
                              <w:szCs w:val="21"/>
                            </w:rPr>
                            <w:t>注：</w:t>
                          </w:r>
                          <w:r>
                            <w:rPr>
                              <w:rFonts w:hint="eastAsia" w:cs="宋体"/>
                              <w:szCs w:val="21"/>
                            </w:rPr>
                            <w:t>G</w:t>
                          </w:r>
                          <w:r>
                            <w:rPr>
                              <w:rFonts w:hint="eastAsia" w:ascii="宋体" w:hAnsi="宋体" w:cs="宋体"/>
                              <w:szCs w:val="21"/>
                            </w:rPr>
                            <w:t>有组织废气</w:t>
                          </w:r>
                        </w:p>
                        <w:p>
                          <w:pPr>
                            <w:ind w:firstLine="420" w:firstLineChars="200"/>
                            <w:rPr>
                              <w:rFonts w:ascii="宋体" w:hAnsi="宋体" w:cs="宋体"/>
                              <w:szCs w:val="21"/>
                            </w:rPr>
                          </w:pPr>
                          <w:r>
                            <w:rPr>
                              <w:rFonts w:hint="eastAsia" w:cs="宋体"/>
                              <w:szCs w:val="21"/>
                            </w:rPr>
                            <w:t>Gu</w:t>
                          </w:r>
                          <w:r>
                            <w:rPr>
                              <w:rFonts w:hint="eastAsia" w:ascii="宋体" w:hAnsi="宋体" w:cs="宋体"/>
                              <w:szCs w:val="21"/>
                            </w:rPr>
                            <w:t>无组织废气</w:t>
                          </w:r>
                        </w:p>
                        <w:p>
                          <w:pPr>
                            <w:ind w:firstLine="420" w:firstLineChars="200"/>
                            <w:rPr>
                              <w:szCs w:val="21"/>
                            </w:rPr>
                          </w:pPr>
                          <w:r>
                            <w:rPr>
                              <w:szCs w:val="21"/>
                            </w:rPr>
                            <w:t>S</w:t>
                          </w:r>
                          <w:r>
                            <w:rPr>
                              <w:rFonts w:hAnsi="宋体"/>
                              <w:szCs w:val="21"/>
                            </w:rPr>
                            <w:t>固体废物</w:t>
                          </w:r>
                        </w:p>
                      </w:txbxContent>
                    </v:textbox>
                  </v:shape>
                  <v:shape id="文本框 26" o:spid="_x0000_s124339" o:spt="202" type="#_x0000_t202" style="position:absolute;left:4073;top:11843;height:444;width:4140;"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cERw2dAQAADgMAAA4AAAAAAAAA&#10;AQAgAAAAJQEAAGRycy9lMm9Eb2MueG1sUEsFBgAAAAAGAAYAWQEAADQFAAAAAA==&#10;">
                    <v:path/>
                    <v:fill on="f" focussize="0,0"/>
                    <v:stroke on="f"/>
                    <v:imagedata o:title=""/>
                    <o:lock v:ext="edit" aspectratio="f"/>
                    <v:textbox>
                      <w:txbxContent>
                        <w:p>
                          <w:pPr>
                            <w:rPr>
                              <w:rFonts w:ascii="宋体" w:hAnsi="宋体" w:cs="宋体"/>
                              <w:b/>
                              <w:bCs/>
                              <w:sz w:val="24"/>
                            </w:rPr>
                          </w:pPr>
                          <w:r>
                            <w:rPr>
                              <w:rFonts w:hint="eastAsia" w:ascii="宋体" w:hAnsi="宋体" w:cs="宋体"/>
                              <w:b/>
                              <w:bCs/>
                              <w:sz w:val="24"/>
                            </w:rPr>
                            <w:t>图</w:t>
                          </w:r>
                          <w:r>
                            <w:rPr>
                              <w:rFonts w:hint="eastAsia" w:cs="宋体"/>
                              <w:b/>
                              <w:bCs/>
                              <w:sz w:val="24"/>
                            </w:rPr>
                            <w:t>2</w:t>
                          </w:r>
                          <w:r>
                            <w:rPr>
                              <w:rFonts w:hint="eastAsia" w:ascii="宋体" w:hAnsi="宋体" w:cs="宋体"/>
                              <w:b/>
                              <w:bCs/>
                              <w:sz w:val="24"/>
                            </w:rPr>
                            <w:t>-</w:t>
                          </w:r>
                          <w:r>
                            <w:rPr>
                              <w:rFonts w:hint="eastAsia" w:cs="宋体"/>
                              <w:b/>
                              <w:bCs/>
                              <w:sz w:val="24"/>
                              <w:lang w:val="en-US" w:eastAsia="zh-CN"/>
                            </w:rPr>
                            <w:t>2</w:t>
                          </w:r>
                          <w:r>
                            <w:rPr>
                              <w:rFonts w:hint="eastAsia" w:ascii="宋体" w:hAnsi="宋体" w:cs="宋体"/>
                              <w:b/>
                              <w:bCs/>
                              <w:sz w:val="24"/>
                            </w:rPr>
                            <w:t xml:space="preserve"> 电机铁芯生产工艺流程图</w:t>
                          </w:r>
                        </w:p>
                      </w:txbxContent>
                    </v:textbox>
                  </v:shape>
                  <v:shape id="_x0000_s124340" o:spid="_x0000_s124340" o:spt="202" type="#_x0000_t202" style="position:absolute;left:5472;top:4100;height:440;width:1379;" filled="f" stroked="t" coordsize="21600,21600">
                    <v:path/>
                    <v:fill on="f" focussize="0,0"/>
                    <v:stroke color="#000000" joinstyle="miter"/>
                    <v:imagedata o:title=""/>
                    <o:lock v:ext="edit" aspectratio="f"/>
                    <v:textbox>
                      <w:txbxContent>
                        <w:p>
                          <w:pPr>
                            <w:jc w:val="center"/>
                          </w:pPr>
                          <w:r>
                            <w:rPr>
                              <w:rFonts w:hint="eastAsia"/>
                            </w:rPr>
                            <w:t>冲压</w:t>
                          </w:r>
                        </w:p>
                      </w:txbxContent>
                    </v:textbox>
                  </v:shape>
                  <v:shape id="_x0000_s124341" o:spid="_x0000_s124341" o:spt="32" type="#_x0000_t32" style="position:absolute;left:6866;top:4311;height:2;width:402;" filled="f" stroked="t" coordsize="21600,21600">
                    <v:path arrowok="t"/>
                    <v:fill on="f" focussize="0,0"/>
                    <v:stroke color="#000000" dashstyle="dash" endarrow="block"/>
                    <v:imagedata o:title=""/>
                    <o:lock v:ext="edit" aspectratio="f"/>
                  </v:shape>
                  <v:shape id="_x0000_s124342" o:spid="_x0000_s124342" o:spt="32" type="#_x0000_t32" style="position:absolute;left:5041;top:4323;height:1;width:401;" filled="f" stroked="t" coordsize="21600,21600">
                    <v:path arrowok="t"/>
                    <v:fill on="f" focussize="0,0"/>
                    <v:stroke color="#000000" endarrow="block"/>
                    <v:imagedata o:title=""/>
                    <o:lock v:ext="edit" aspectratio="f"/>
                  </v:shape>
                  <v:shape id="_x0000_s124343" o:spid="_x0000_s124343" o:spt="202" type="#_x0000_t202" style="position:absolute;left:4055;top:4128;height:412;width:1136;" filled="f" stroked="f" coordsize="21600,21600">
                    <v:path/>
                    <v:fill on="f" focussize="0,0"/>
                    <v:stroke on="f"/>
                    <v:imagedata o:title=""/>
                    <o:lock v:ext="edit" aspectratio="f"/>
                    <v:textbox>
                      <w:txbxContent>
                        <w:p>
                          <w:pPr>
                            <w:jc w:val="center"/>
                          </w:pPr>
                          <w:r>
                            <w:rPr>
                              <w:rFonts w:hint="eastAsia"/>
                            </w:rPr>
                            <w:t>冲压油</w:t>
                          </w:r>
                        </w:p>
                      </w:txbxContent>
                    </v:textbox>
                  </v:shape>
                  <v:shape id="_x0000_s124344" o:spid="_x0000_s124344" o:spt="32" type="#_x0000_t32" style="position:absolute;left:6789;top:10392;height:1;width:401;" filled="f" stroked="t" coordsize="21600,21600">
                    <v:path arrowok="t"/>
                    <v:fill on="f" focussize="0,0"/>
                    <v:stroke color="#000000" dashstyle="dash" endarrow="block"/>
                    <v:imagedata o:title=""/>
                    <o:lock v:ext="edit" aspectratio="f"/>
                  </v:shape>
                  <v:shape id="_x0000_s124345" o:spid="_x0000_s124345" o:spt="202" type="#_x0000_t202" style="position:absolute;left:7078;top:10172;height:439;width:1864;" filled="f" stroked="f" coordsize="21600,21600">
                    <v:path/>
                    <v:fill on="f" focussize="0,0"/>
                    <v:stroke on="f"/>
                    <v:imagedata o:title=""/>
                    <o:lock v:ext="edit" aspectratio="f"/>
                    <v:textbox>
                      <w:txbxContent>
                        <w:p>
                          <w:pPr>
                            <w:jc w:val="center"/>
                          </w:pPr>
                          <w:r>
                            <w:rPr>
                              <w:rFonts w:hint="eastAsia"/>
                              <w:lang w:eastAsia="zh-CN"/>
                            </w:rPr>
                            <w:t>S1</w:t>
                          </w:r>
                          <w:r>
                            <w:rPr>
                              <w:rFonts w:hint="eastAsia"/>
                            </w:rPr>
                            <w:t>-</w:t>
                          </w:r>
                          <w:r>
                            <w:rPr>
                              <w:rFonts w:hint="eastAsia"/>
                              <w:lang w:val="en-US" w:eastAsia="zh-CN"/>
                            </w:rPr>
                            <w:t>5</w:t>
                          </w:r>
                          <w:r>
                            <w:rPr>
                              <w:rFonts w:hint="eastAsia"/>
                            </w:rPr>
                            <w:t>不合格品</w:t>
                          </w:r>
                        </w:p>
                        <w:p>
                          <w:pPr>
                            <w:pStyle w:val="27"/>
                            <w:ind w:left="-84" w:right="-17" w:rightChars="-8" w:firstLine="560"/>
                          </w:pPr>
                        </w:p>
                      </w:txbxContent>
                    </v:textbox>
                  </v:shape>
                  <v:shape id="_x0000_s124346" o:spid="_x0000_s124346" o:spt="202" type="#_x0000_t202" style="position:absolute;left:5413;top:2270;height:461;width:1491;" filled="f" stroked="f" coordsize="21600,21600">
                    <v:path/>
                    <v:fill on="f" focussize="0,0"/>
                    <v:stroke on="f"/>
                    <v:imagedata o:title=""/>
                    <o:lock v:ext="edit" aspectratio="f"/>
                    <v:textbox>
                      <w:txbxContent>
                        <w:p>
                          <w:pPr>
                            <w:pStyle w:val="27"/>
                            <w:spacing w:before="0" w:beforeAutospacing="0" w:after="0" w:afterAutospacing="0" w:line="240" w:lineRule="auto"/>
                            <w:ind w:left="0" w:leftChars="0" w:right="0" w:firstLine="0" w:firstLineChars="0"/>
                            <w:jc w:val="center"/>
                            <w:rPr>
                              <w:rFonts w:ascii="Times New Roman" w:hAnsi="Times New Roman" w:eastAsia="宋体" w:cs="Times New Roman"/>
                              <w:sz w:val="21"/>
                              <w:szCs w:val="24"/>
                            </w:rPr>
                          </w:pPr>
                          <w:r>
                            <w:rPr>
                              <w:rFonts w:hint="eastAsia" w:ascii="Times New Roman" w:hAnsi="Times New Roman" w:eastAsia="宋体" w:cs="Times New Roman"/>
                              <w:sz w:val="21"/>
                              <w:szCs w:val="24"/>
                            </w:rPr>
                            <w:t>硅钢钢材</w:t>
                          </w:r>
                        </w:p>
                      </w:txbxContent>
                    </v:textbox>
                  </v:shape>
                  <v:shape id="_x0000_s124347" o:spid="_x0000_s124347" o:spt="32" type="#_x0000_t32" style="position:absolute;left:6143;top:2731;height:453;width:1;" filled="f" stroked="t" coordsize="21600,21600">
                    <v:path arrowok="t"/>
                    <v:fill on="f" focussize="0,0"/>
                    <v:stroke color="#000000" endarrow="block"/>
                    <v:imagedata o:title=""/>
                    <o:lock v:ext="edit" aspectratio="f"/>
                  </v:shape>
                  <v:shape id="_x0000_s124348" o:spid="_x0000_s124348" o:spt="32" type="#_x0000_t32" style="position:absolute;left:6156;top:3647;height:453;width:1;" filled="f" stroked="t" coordsize="21600,21600">
                    <v:path arrowok="t"/>
                    <v:fill on="f" focussize="0,0"/>
                    <v:stroke color="#000000" endarrow="block"/>
                    <v:imagedata o:title=""/>
                    <o:lock v:ext="edit" aspectratio="f"/>
                  </v:shape>
                  <v:shape id="_x0000_s124349" o:spid="_x0000_s124349" o:spt="202" type="#_x0000_t202" style="position:absolute;left:5472;top:3208;height:439;width:1379;" filled="f" stroked="t" coordsize="21600,21600">
                    <v:path/>
                    <v:fill on="f" focussize="0,0"/>
                    <v:stroke color="#000000" joinstyle="miter"/>
                    <v:imagedata o:title=""/>
                    <o:lock v:ext="edit" aspectratio="f"/>
                    <v:textbox>
                      <w:txbxContent>
                        <w:p>
                          <w:pPr>
                            <w:jc w:val="center"/>
                          </w:pPr>
                          <w:r>
                            <w:rPr>
                              <w:rFonts w:hint="eastAsia"/>
                            </w:rPr>
                            <w:t>纵剪</w:t>
                          </w:r>
                        </w:p>
                      </w:txbxContent>
                    </v:textbox>
                  </v:shape>
                  <v:shape id="_x0000_s124350" o:spid="_x0000_s124350" o:spt="202" type="#_x0000_t202" style="position:absolute;left:5499;top:5880;height:439;width:1379;" filled="f" stroked="t" coordsize="21600,21600">
                    <v:path/>
                    <v:fill on="f" focussize="0,0"/>
                    <v:stroke color="#000000" joinstyle="miter"/>
                    <v:imagedata o:title=""/>
                    <o:lock v:ext="edit" aspectratio="f"/>
                    <v:textbox>
                      <w:txbxContent>
                        <w:p>
                          <w:pPr>
                            <w:jc w:val="center"/>
                          </w:pPr>
                          <w:r>
                            <w:rPr>
                              <w:rFonts w:hint="eastAsia"/>
                            </w:rPr>
                            <w:t>入轴</w:t>
                          </w:r>
                        </w:p>
                      </w:txbxContent>
                    </v:textbox>
                  </v:shape>
                  <v:shape id="_x0000_s124351" o:spid="_x0000_s124351" o:spt="32" type="#_x0000_t32" style="position:absolute;left:6171;top:4540;height:452;width:1;" filled="f" stroked="t" coordsize="21600,21600">
                    <v:path arrowok="t"/>
                    <v:fill on="f" focussize="0,0"/>
                    <v:stroke color="#000000" endarrow="block"/>
                    <v:imagedata o:title=""/>
                    <o:lock v:ext="edit" aspectratio="f"/>
                  </v:shape>
                  <v:shape id="_x0000_s124352" o:spid="_x0000_s124352" o:spt="202" type="#_x0000_t202" style="position:absolute;left:3993;top:7253;height:438;width:1104;" filled="f" stroked="t" coordsize="21600,21600">
                    <v:path/>
                    <v:fill on="f" focussize="0,0"/>
                    <v:stroke color="#000000" joinstyle="miter"/>
                    <v:imagedata o:title=""/>
                    <o:lock v:ext="edit" aspectratio="f"/>
                    <v:textbox>
                      <w:txbxContent>
                        <w:p>
                          <w:pPr>
                            <w:jc w:val="center"/>
                          </w:pPr>
                          <w:r>
                            <w:rPr>
                              <w:rFonts w:hint="eastAsia"/>
                            </w:rPr>
                            <w:t>涂敷</w:t>
                          </w:r>
                        </w:p>
                      </w:txbxContent>
                    </v:textbox>
                  </v:shape>
                  <v:shape id="_x0000_s124353" o:spid="_x0000_s124353" o:spt="32" type="#_x0000_t32" style="position:absolute;left:6183;top:6319;height:453;width:1;" filled="f" stroked="t" coordsize="21600,21600">
                    <v:path arrowok="t"/>
                    <v:fill on="f" focussize="0,0"/>
                    <v:stroke color="#000000" endarrow="block"/>
                    <v:imagedata o:title=""/>
                    <o:lock v:ext="edit" aspectratio="f"/>
                  </v:shape>
                  <v:shape id="_x0000_s124354" o:spid="_x0000_s124354" o:spt="32" type="#_x0000_t32" style="position:absolute;left:4556;top:7701;height:974;width:12;" filled="f" stroked="t" coordsize="21600,21600">
                    <v:path arrowok="t"/>
                    <v:fill on="f" focussize="0,0"/>
                    <v:stroke color="#000000" endarrow="block"/>
                    <v:imagedata o:title=""/>
                    <o:lock v:ext="edit" aspectratio="f"/>
                  </v:shape>
                  <v:shape id="_x0000_s124355" o:spid="_x0000_s124355" o:spt="202" type="#_x0000_t202" style="position:absolute;left:5400;top:10166;height:439;width:1379;" filled="f" stroked="t" coordsize="21600,21600">
                    <v:path/>
                    <v:fill on="f" focussize="0,0"/>
                    <v:stroke color="#000000" joinstyle="miter"/>
                    <v:imagedata o:title=""/>
                    <o:lock v:ext="edit" aspectratio="f"/>
                    <v:textbox>
                      <w:txbxContent>
                        <w:p>
                          <w:pPr>
                            <w:jc w:val="center"/>
                          </w:pPr>
                          <w:r>
                            <w:rPr>
                              <w:rFonts w:hint="eastAsia"/>
                            </w:rPr>
                            <w:t>组装检验</w:t>
                          </w:r>
                        </w:p>
                      </w:txbxContent>
                    </v:textbox>
                  </v:shape>
                  <v:shape id="_x0000_s124356" o:spid="_x0000_s124356" o:spt="32" type="#_x0000_t32" style="position:absolute;left:6866;top:3404;height:1;width:402;" filled="f" stroked="t" coordsize="21600,21600">
                    <v:path arrowok="t"/>
                    <v:fill on="f" focussize="0,0"/>
                    <v:stroke color="#000000" dashstyle="dash" endarrow="block"/>
                    <v:imagedata o:title=""/>
                    <o:lock v:ext="edit" aspectratio="f"/>
                  </v:shape>
                  <v:shape id="_x0000_s124357" o:spid="_x0000_s124357" o:spt="202" type="#_x0000_t202" style="position:absolute;left:7155;top:3184;height:463;width:1646;" filled="f" stroked="f" coordsize="21600,21600">
                    <v:path/>
                    <v:fill on="f" focussize="0,0"/>
                    <v:stroke on="f"/>
                    <v:imagedata o:title=""/>
                    <o:lock v:ext="edit" aspectratio="f"/>
                    <v:textbox>
                      <w:txbxContent>
                        <w:p>
                          <w:pPr>
                            <w:jc w:val="center"/>
                          </w:pPr>
                          <w:r>
                            <w:rPr>
                              <w:rFonts w:hint="eastAsia"/>
                              <w:lang w:eastAsia="zh-CN"/>
                            </w:rPr>
                            <w:t>S1</w:t>
                          </w:r>
                          <w:r>
                            <w:rPr>
                              <w:rFonts w:hint="eastAsia"/>
                            </w:rPr>
                            <w:t>-1边角料</w:t>
                          </w:r>
                        </w:p>
                        <w:p>
                          <w:pPr>
                            <w:pStyle w:val="27"/>
                            <w:ind w:left="-84" w:right="-17" w:rightChars="-8" w:firstLine="560"/>
                          </w:pPr>
                        </w:p>
                      </w:txbxContent>
                    </v:textbox>
                  </v:shape>
                  <v:shape id="_x0000_s124358" o:spid="_x0000_s124358" o:spt="202" type="#_x0000_t202" style="position:absolute;left:6939;top:4079;height:1008;width:2345;" filled="f" stroked="f" coordsize="21600,21600">
                    <v:path/>
                    <v:fill on="f" focussize="0,0"/>
                    <v:stroke on="f"/>
                    <v:imagedata o:title=""/>
                    <o:lock v:ext="edit" aspectratio="f"/>
                    <v:textbox>
                      <w:txbxContent>
                        <w:p>
                          <w:pPr>
                            <w:jc w:val="center"/>
                            <w:rPr>
                              <w:rFonts w:hint="eastAsia"/>
                            </w:rPr>
                          </w:pPr>
                          <w:r>
                            <w:rPr>
                              <w:rFonts w:hint="eastAsia"/>
                              <w:lang w:eastAsia="zh-CN"/>
                            </w:rPr>
                            <w:t>S1</w:t>
                          </w:r>
                          <w:r>
                            <w:rPr>
                              <w:rFonts w:hint="eastAsia"/>
                            </w:rPr>
                            <w:t>-2边角料</w:t>
                          </w:r>
                        </w:p>
                        <w:p>
                          <w:pPr>
                            <w:jc w:val="center"/>
                            <w:rPr>
                              <w:rFonts w:hint="default" w:eastAsia="宋体"/>
                              <w:lang w:val="en-US" w:eastAsia="zh-CN"/>
                            </w:rPr>
                          </w:pPr>
                          <w:r>
                            <w:rPr>
                              <w:rFonts w:hint="eastAsia"/>
                              <w:lang w:val="en-US" w:eastAsia="zh-CN"/>
                            </w:rPr>
                            <w:t>S1-3废冲压油</w:t>
                          </w:r>
                        </w:p>
                      </w:txbxContent>
                    </v:textbox>
                  </v:shape>
                  <v:shape id="_x0000_s124359" o:spid="_x0000_s124359" o:spt="32" type="#_x0000_t32" style="position:absolute;left:5097;top:6074;height:2;width:402;" filled="f" stroked="t" coordsize="21600,21600">
                    <v:path arrowok="t"/>
                    <v:fill on="f" focussize="0,0"/>
                    <v:stroke color="#000000" endarrow="block"/>
                    <v:imagedata o:title=""/>
                    <o:lock v:ext="edit" aspectratio="f"/>
                  </v:shape>
                  <v:shape id="_x0000_s124360" o:spid="_x0000_s124360" o:spt="202" type="#_x0000_t202" style="position:absolute;left:4112;top:5880;height:412;width:1136;" filled="f" stroked="f" coordsize="21600,21600">
                    <v:path/>
                    <v:fill on="f" focussize="0,0"/>
                    <v:stroke on="f"/>
                    <v:imagedata o:title=""/>
                    <o:lock v:ext="edit" aspectratio="f"/>
                    <v:textbox>
                      <w:txbxContent>
                        <w:p>
                          <w:pPr>
                            <w:jc w:val="center"/>
                          </w:pPr>
                          <w:r>
                            <w:rPr>
                              <w:rFonts w:hint="eastAsia"/>
                            </w:rPr>
                            <w:t>转轴</w:t>
                          </w:r>
                        </w:p>
                      </w:txbxContent>
                    </v:textbox>
                  </v:shape>
                  <v:shape id="_x0000_s124361" o:spid="_x0000_s124361" o:spt="32" type="#_x0000_t32" style="position:absolute;left:3568;top:7447;height:1;width:401;" filled="f" stroked="t" coordsize="21600,21600">
                    <v:path arrowok="t"/>
                    <v:fill on="f" focussize="0,0"/>
                    <v:stroke color="#000000" endarrow="block"/>
                    <v:imagedata o:title=""/>
                    <o:lock v:ext="edit" aspectratio="f"/>
                  </v:shape>
                  <v:shape id="_x0000_s124362" o:spid="_x0000_s124362" o:spt="202" type="#_x0000_t202" style="position:absolute;left:2240;top:7217;height:690;width:1383;" filled="f" stroked="f" coordsize="21600,21600">
                    <v:path/>
                    <v:fill on="f" focussize="0,0"/>
                    <v:stroke on="f"/>
                    <v:imagedata o:title=""/>
                    <o:lock v:ext="edit" aspectratio="f"/>
                    <v:textbox>
                      <w:txbxContent>
                        <w:p>
                          <w:pPr>
                            <w:jc w:val="center"/>
                          </w:pPr>
                          <w:r>
                            <w:rPr>
                              <w:rFonts w:hint="eastAsia"/>
                            </w:rPr>
                            <w:t>环氧树脂粉</w:t>
                          </w:r>
                        </w:p>
                      </w:txbxContent>
                    </v:textbox>
                  </v:shape>
                  <v:shape id="_x0000_s124363" o:spid="_x0000_s124363" o:spt="32" type="#_x0000_t32" style="position:absolute;left:5128;top:7460;height:2;width:401;" filled="f" stroked="t" coordsize="21600,21600">
                    <v:path arrowok="t"/>
                    <v:fill on="f" focussize="0,0"/>
                    <v:stroke color="#000000" dashstyle="dash" endarrow="block"/>
                    <v:imagedata o:title=""/>
                    <o:lock v:ext="edit" aspectratio="f"/>
                  </v:shape>
                  <v:shape id="_x0000_s124364" o:spid="_x0000_s124364" o:spt="202" type="#_x0000_t202" style="position:absolute;left:5189;top:7239;height:484;width:1638;" filled="f" stroked="f" coordsize="21600,21600">
                    <v:path/>
                    <v:fill on="f" focussize="0,0"/>
                    <v:stroke on="f"/>
                    <v:imagedata o:title=""/>
                    <o:lock v:ext="edit" aspectratio="f"/>
                    <v:textbox>
                      <w:txbxContent>
                        <w:p>
                          <w:pPr>
                            <w:jc w:val="center"/>
                          </w:pPr>
                          <w:r>
                            <w:rPr>
                              <w:rFonts w:hint="eastAsia"/>
                              <w:lang w:eastAsia="zh-CN"/>
                            </w:rPr>
                            <w:t>G1</w:t>
                          </w:r>
                          <w:r>
                            <w:rPr>
                              <w:rFonts w:hint="eastAsia"/>
                            </w:rPr>
                            <w:t>-2粉尘</w:t>
                          </w:r>
                        </w:p>
                        <w:p/>
                      </w:txbxContent>
                    </v:textbox>
                  </v:shape>
                  <v:shape id="_x0000_s124365" o:spid="_x0000_s124365" o:spt="202" type="#_x0000_t202" style="position:absolute;left:8476;top:7787;height:785;width:1880;" filled="f" stroked="f" coordsize="21600,21600">
                    <v:path/>
                    <v:fill on="f" focussize="0,0"/>
                    <v:stroke on="f"/>
                    <v:imagedata o:title=""/>
                    <o:lock v:ext="edit" aspectratio="f"/>
                    <v:textbox>
                      <w:txbxContent>
                        <w:p>
                          <w:pPr>
                            <w:jc w:val="center"/>
                          </w:pPr>
                          <w:r>
                            <w:rPr>
                              <w:rFonts w:hint="eastAsia"/>
                              <w:lang w:eastAsia="zh-CN"/>
                            </w:rPr>
                            <w:t>G1</w:t>
                          </w:r>
                          <w:r>
                            <w:rPr>
                              <w:rFonts w:hint="eastAsia"/>
                            </w:rPr>
                            <w:t>-4非甲烷总烃</w:t>
                          </w:r>
                          <w:r>
                            <w:rPr>
                              <w:rFonts w:hint="eastAsia"/>
                              <w:lang w:eastAsia="zh-CN"/>
                            </w:rPr>
                            <w:t>S1</w:t>
                          </w:r>
                          <w:r>
                            <w:rPr>
                              <w:rFonts w:hint="eastAsia"/>
                            </w:rPr>
                            <w:t>-</w:t>
                          </w:r>
                          <w:r>
                            <w:rPr>
                              <w:rFonts w:hint="eastAsia"/>
                              <w:lang w:val="en-US" w:eastAsia="zh-CN"/>
                            </w:rPr>
                            <w:t>4</w:t>
                          </w:r>
                          <w:r>
                            <w:rPr>
                              <w:rFonts w:hint="eastAsia"/>
                            </w:rPr>
                            <w:t>塑料边角料</w:t>
                          </w:r>
                        </w:p>
                        <w:p>
                          <w:pPr>
                            <w:jc w:val="center"/>
                          </w:pPr>
                        </w:p>
                      </w:txbxContent>
                    </v:textbox>
                  </v:shape>
                  <v:shape id="_x0000_s124366" o:spid="_x0000_s124366" o:spt="202" type="#_x0000_t202" style="position:absolute;left:6618;top:7951;height:439;width:1595;" filled="f" stroked="t" coordsize="21600,21600">
                    <v:path/>
                    <v:fill on="f" focussize="0,0"/>
                    <v:stroke color="#000000" joinstyle="miter"/>
                    <v:imagedata o:title=""/>
                    <o:lock v:ext="edit" aspectratio="f"/>
                    <v:textbox>
                      <w:txbxContent>
                        <w:p>
                          <w:pPr>
                            <w:jc w:val="center"/>
                          </w:pPr>
                          <w:r>
                            <w:rPr>
                              <w:rFonts w:hint="eastAsia"/>
                            </w:rPr>
                            <w:t>注塑成型</w:t>
                          </w:r>
                        </w:p>
                      </w:txbxContent>
                    </v:textbox>
                  </v:shape>
                  <v:shape id="_x0000_s124367" o:spid="_x0000_s124367" o:spt="32" type="#_x0000_t32" style="position:absolute;left:7457;top:8390;height:1281;width:6;" filled="f" stroked="t" coordsize="21600,21600">
                    <v:path arrowok="t"/>
                    <v:fill on="f" focussize="0,0"/>
                    <v:stroke color="#000000" endarrow="block"/>
                    <v:imagedata o:title=""/>
                    <o:lock v:ext="edit" aspectratio="f"/>
                  </v:shape>
                  <v:shape id="_x0000_s124368" o:spid="_x0000_s124368" o:spt="32" type="#_x0000_t32" style="position:absolute;left:6217;top:8173;height:1;width:401;" filled="f" stroked="t" coordsize="21600,21600">
                    <v:path arrowok="t"/>
                    <v:fill on="f" focussize="0,0"/>
                    <v:stroke color="#000000" endarrow="block"/>
                    <v:imagedata o:title=""/>
                    <o:lock v:ext="edit" aspectratio="f"/>
                  </v:shape>
                  <v:shape id="_x0000_s124369" o:spid="_x0000_s124369" o:spt="202" type="#_x0000_t202" style="position:absolute;left:4889;top:7978;height:412;width:1390;" filled="f" stroked="f" coordsize="21600,21600">
                    <v:path/>
                    <v:fill on="f" focussize="0,0"/>
                    <v:stroke on="f"/>
                    <v:imagedata o:title=""/>
                    <o:lock v:ext="edit" aspectratio="f"/>
                    <v:textbox>
                      <w:txbxContent>
                        <w:p>
                          <w:pPr>
                            <w:jc w:val="center"/>
                          </w:pPr>
                          <w:r>
                            <w:rPr>
                              <w:rFonts w:hint="eastAsia"/>
                            </w:rPr>
                            <w:t>聚丙烯粒子</w:t>
                          </w:r>
                        </w:p>
                      </w:txbxContent>
                    </v:textbox>
                  </v:shape>
                  <v:shape id="_x0000_s124370" o:spid="_x0000_s124370" o:spt="32" type="#_x0000_t32" style="position:absolute;left:8233;top:8161;height:1;width:400;" filled="f" stroked="t" coordsize="21600,21600">
                    <v:path arrowok="t"/>
                    <v:fill on="f" focussize="0,0"/>
                    <v:stroke color="#000000" dashstyle="dash" endarrow="block"/>
                    <v:imagedata o:title=""/>
                    <o:lock v:ext="edit" aspectratio="f"/>
                  </v:shape>
                  <v:shape id="_x0000_s124371" o:spid="_x0000_s124371" o:spt="32" type="#_x0000_t32" style="position:absolute;left:4539;top:6772;height:1;width:2894;" filled="f" stroked="t" coordsize="21600,21600">
                    <v:path arrowok="t"/>
                    <v:fill on="f" focussize="0,0"/>
                    <v:stroke color="#000000"/>
                    <v:imagedata o:title=""/>
                    <o:lock v:ext="edit" aspectratio="f"/>
                  </v:shape>
                  <v:shape id="_x0000_s124372" o:spid="_x0000_s124372" o:spt="32" type="#_x0000_t32" style="position:absolute;left:4557;top:6787;height:453;width:1;" filled="f" stroked="t" coordsize="21600,21600">
                    <v:path arrowok="t"/>
                    <v:fill on="f" focussize="0,0"/>
                    <v:stroke color="#000000" endarrow="block"/>
                    <v:imagedata o:title=""/>
                    <o:lock v:ext="edit" aspectratio="f"/>
                  </v:shape>
                  <v:shape id="_x0000_s124373" o:spid="_x0000_s124373" o:spt="32" type="#_x0000_t32" style="position:absolute;left:4568;top:9686;height:2;width:2895;" filled="f" stroked="t" coordsize="21600,21600">
                    <v:path arrowok="t"/>
                    <v:fill on="f" focussize="0,0"/>
                    <v:stroke color="#000000"/>
                    <v:imagedata o:title=""/>
                    <o:lock v:ext="edit" aspectratio="f"/>
                  </v:shape>
                  <v:shape id="_x0000_s124374" o:spid="_x0000_s124374" o:spt="32" type="#_x0000_t32" style="position:absolute;left:6086;top:9686;height:454;width:1;" filled="f" stroked="t" coordsize="21600,21600">
                    <v:path arrowok="t"/>
                    <v:fill on="f" focussize="0,0"/>
                    <v:stroke color="#000000" endarrow="block"/>
                    <v:imagedata o:title=""/>
                    <o:lock v:ext="edit" aspectratio="f"/>
                  </v:shape>
                  <v:shape id="_x0000_s124375" o:spid="_x0000_s124375" o:spt="202" type="#_x0000_t202" style="position:absolute;left:4003;top:8698;height:438;width:1101;" filled="f" stroked="t" coordsize="21600,21600">
                    <v:path/>
                    <v:fill on="f" focussize="0,0"/>
                    <v:stroke color="#000000" joinstyle="miter"/>
                    <v:imagedata o:title=""/>
                    <o:lock v:ext="edit" aspectratio="f"/>
                    <v:textbox>
                      <w:txbxContent>
                        <w:p>
                          <w:pPr>
                            <w:jc w:val="center"/>
                          </w:pPr>
                          <w:r>
                            <w:rPr>
                              <w:rFonts w:hint="eastAsia"/>
                            </w:rPr>
                            <w:t>固化</w:t>
                          </w:r>
                        </w:p>
                      </w:txbxContent>
                    </v:textbox>
                  </v:shape>
                  <v:shape id="_x0000_s124376" o:spid="_x0000_s124376" o:spt="32" type="#_x0000_t32" style="position:absolute;left:3578;top:8892;height:1;width:401;" filled="f" stroked="t" coordsize="21600,21600">
                    <v:path arrowok="t"/>
                    <v:fill on="f" focussize="0,0"/>
                    <v:stroke color="#000000" endarrow="block"/>
                    <v:imagedata o:title=""/>
                    <o:lock v:ext="edit" aspectratio="f"/>
                  </v:shape>
                  <v:shape id="_x0000_s124377" o:spid="_x0000_s124377" o:spt="202" type="#_x0000_t202" style="position:absolute;left:2478;top:8710;height:411;width:1383;" filled="f" stroked="f" coordsize="21600,21600">
                    <v:path/>
                    <v:fill on="f" focussize="0,0"/>
                    <v:stroke on="f"/>
                    <v:imagedata o:title=""/>
                    <o:lock v:ext="edit" aspectratio="f"/>
                    <v:textbox>
                      <w:txbxContent>
                        <w:p>
                          <w:pPr>
                            <w:jc w:val="center"/>
                          </w:pPr>
                          <w:r>
                            <w:rPr>
                              <w:rFonts w:hint="eastAsia"/>
                            </w:rPr>
                            <w:t>电加热</w:t>
                          </w:r>
                        </w:p>
                      </w:txbxContent>
                    </v:textbox>
                  </v:shape>
                  <v:shape id="_x0000_s124378" o:spid="_x0000_s124378" o:spt="32" type="#_x0000_t32" style="position:absolute;left:5150;top:8934;height:2;width:401;" filled="f" stroked="t" coordsize="21600,21600">
                    <v:path arrowok="t"/>
                    <v:fill on="f" focussize="0,0"/>
                    <v:stroke color="#000000" dashstyle="dash" endarrow="block"/>
                    <v:imagedata o:title=""/>
                    <o:lock v:ext="edit" aspectratio="f"/>
                  </v:shape>
                  <v:shape id="_x0000_s124379" o:spid="_x0000_s124379" o:spt="202" type="#_x0000_t202" style="position:absolute;left:5427;top:8728;height:440;width:1934;" filled="f" stroked="f" coordsize="21600,21600">
                    <v:path/>
                    <v:fill on="f" focussize="0,0"/>
                    <v:stroke on="f"/>
                    <v:imagedata o:title=""/>
                    <o:lock v:ext="edit" aspectratio="f"/>
                    <v:textbox>
                      <w:txbxContent>
                        <w:p>
                          <w:pPr>
                            <w:jc w:val="center"/>
                          </w:pPr>
                          <w:r>
                            <w:rPr>
                              <w:rFonts w:hint="eastAsia"/>
                              <w:lang w:eastAsia="zh-CN"/>
                            </w:rPr>
                            <w:t>G1</w:t>
                          </w:r>
                          <w:r>
                            <w:rPr>
                              <w:rFonts w:hint="eastAsia"/>
                            </w:rPr>
                            <w:t>-3非甲烷总烃</w:t>
                          </w:r>
                        </w:p>
                        <w:p/>
                      </w:txbxContent>
                    </v:textbox>
                  </v:shape>
                  <v:shape id="_x0000_s124380" o:spid="_x0000_s124380" o:spt="32" type="#_x0000_t32" style="position:absolute;left:4547;top:9165;height:518;width:1;" filled="f" stroked="t" coordsize="21600,21600">
                    <v:path arrowok="t"/>
                    <v:fill on="f" focussize="0,0"/>
                    <v:stroke color="#000000" endarrow="block"/>
                    <v:imagedata o:title=""/>
                    <o:lock v:ext="edit" aspectratio="f"/>
                  </v:shape>
                  <v:shape id="_x0000_s124381" o:spid="_x0000_s124381" o:spt="32" type="#_x0000_t32" style="position:absolute;left:7432;top:6787;height:1165;width:1;" filled="f" stroked="t" coordsize="21600,21600">
                    <v:path arrowok="t"/>
                    <v:fill on="f" focussize="0,0"/>
                    <v:stroke color="#000000" endarrow="block"/>
                    <v:imagedata o:title=""/>
                    <o:lock v:ext="edit" aspectratio="f"/>
                  </v:shape>
                  <v:shape id="_x0000_s124382" o:spid="_x0000_s124382" o:spt="202" type="#_x0000_t202" style="position:absolute;left:5472;top:4992;height:439;width:1379;" filled="f" stroked="t" coordsize="21600,21600">
                    <v:path/>
                    <v:fill on="f" focussize="0,0"/>
                    <v:stroke color="#000000" joinstyle="miter"/>
                    <v:imagedata o:title=""/>
                    <o:lock v:ext="edit" aspectratio="f"/>
                    <v:textbox>
                      <w:txbxContent>
                        <w:p>
                          <w:pPr>
                            <w:jc w:val="center"/>
                          </w:pPr>
                          <w:r>
                            <w:rPr>
                              <w:rFonts w:hint="eastAsia"/>
                            </w:rPr>
                            <w:t>焊接</w:t>
                          </w:r>
                        </w:p>
                      </w:txbxContent>
                    </v:textbox>
                  </v:shape>
                  <v:shape id="_x0000_s124383" o:spid="_x0000_s124383" o:spt="32" type="#_x0000_t32" style="position:absolute;left:6156;top:5431;height:453;width:1;" filled="f" stroked="t" coordsize="21600,21600">
                    <v:path arrowok="t"/>
                    <v:fill on="f" focussize="0,0"/>
                    <v:stroke color="#000000" endarrow="block"/>
                    <v:imagedata o:title=""/>
                    <o:lock v:ext="edit" aspectratio="f"/>
                  </v:shape>
                  <v:shape id="_x0000_s124384" o:spid="_x0000_s124384" o:spt="32" type="#_x0000_t32" style="position:absolute;left:5070;top:5186;height:2;width:402;" filled="f" stroked="t" coordsize="21600,21600">
                    <v:path arrowok="t"/>
                    <v:fill on="f" focussize="0,0"/>
                    <v:stroke color="#000000" endarrow="block"/>
                    <v:imagedata o:title=""/>
                    <o:lock v:ext="edit" aspectratio="f"/>
                  </v:shape>
                  <v:shape id="_x0000_s124385" o:spid="_x0000_s124385" o:spt="202" type="#_x0000_t202" style="position:absolute;left:4085;top:4992;height:412;width:1136;" filled="f" stroked="f" coordsize="21600,21600">
                    <v:path/>
                    <v:fill on="f" focussize="0,0"/>
                    <v:stroke on="f"/>
                    <v:imagedata o:title=""/>
                    <o:lock v:ext="edit" aspectratio="f"/>
                    <v:textbox>
                      <w:txbxContent>
                        <w:p>
                          <w:pPr>
                            <w:jc w:val="center"/>
                          </w:pPr>
                          <w:r>
                            <w:rPr>
                              <w:rFonts w:hint="eastAsia"/>
                            </w:rPr>
                            <w:t>氩气</w:t>
                          </w:r>
                        </w:p>
                      </w:txbxContent>
                    </v:textbox>
                  </v:shape>
                  <v:shape id="_x0000_s124386" o:spid="_x0000_s124386" o:spt="32" type="#_x0000_t32" style="position:absolute;left:6866;top:5183;height:2;width:402;" filled="f" stroked="t" coordsize="21600,21600">
                    <v:path arrowok="t"/>
                    <v:fill on="f" focussize="0,0"/>
                    <v:stroke color="#000000" dashstyle="dash" endarrow="block"/>
                    <v:imagedata o:title=""/>
                    <o:lock v:ext="edit" aspectratio="f"/>
                  </v:shape>
                  <v:shape id="_x0000_s124387" o:spid="_x0000_s124387" o:spt="202" type="#_x0000_t202" style="position:absolute;left:7107;top:4951;height:453;width:1835;" filled="f" stroked="f" coordsize="21600,21600">
                    <v:path/>
                    <v:fill on="f" focussize="0,0"/>
                    <v:stroke on="f"/>
                    <v:imagedata o:title=""/>
                    <o:lock v:ext="edit" aspectratio="f"/>
                    <v:textbox>
                      <w:txbxContent>
                        <w:p>
                          <w:pPr>
                            <w:jc w:val="center"/>
                          </w:pPr>
                          <w:r>
                            <w:rPr>
                              <w:rFonts w:hint="eastAsia"/>
                              <w:lang w:eastAsia="zh-CN"/>
                            </w:rPr>
                            <w:t>G1</w:t>
                          </w:r>
                          <w:r>
                            <w:rPr>
                              <w:rFonts w:hint="eastAsia"/>
                            </w:rPr>
                            <w:t>-1焊接烟尘</w:t>
                          </w:r>
                        </w:p>
                      </w:txbxContent>
                    </v:textbox>
                  </v:shape>
                  <v:shape id="_x0000_s124388" o:spid="_x0000_s124388" o:spt="202" type="#_x0000_t202" style="position:absolute;left:4210;top:6429;height:456;width:1380;" filled="f" stroked="f" coordsize="21600,21600">
                    <v:path/>
                    <v:fill on="f" focussize="0,0"/>
                    <v:stroke on="f"/>
                    <v:imagedata o:title=""/>
                    <o:lock v:ext="edit" aspectratio="f"/>
                    <v:textbox>
                      <w:txbxContent>
                        <w:p>
                          <w:pPr>
                            <w:jc w:val="center"/>
                            <w:rPr>
                              <w:rFonts w:hint="eastAsia" w:eastAsia="宋体"/>
                              <w:lang w:eastAsia="zh-CN"/>
                            </w:rPr>
                          </w:pPr>
                          <w:r>
                            <w:rPr>
                              <w:rFonts w:hint="eastAsia"/>
                              <w:lang w:eastAsia="zh-CN"/>
                            </w:rPr>
                            <w:t>转子铁芯</w:t>
                          </w:r>
                        </w:p>
                      </w:txbxContent>
                    </v:textbox>
                  </v:shape>
                  <v:shape id="_x0000_s124389" o:spid="_x0000_s124389" o:spt="202" type="#_x0000_t202" style="position:absolute;left:6335;top:6441;height:440;width:1380;" filled="f" stroked="f" coordsize="21600,21600">
                    <v:path/>
                    <v:fill on="f" focussize="0,0"/>
                    <v:stroke on="f"/>
                    <v:imagedata o:title=""/>
                    <o:lock v:ext="edit" aspectratio="f"/>
                    <v:textbox>
                      <w:txbxContent>
                        <w:p>
                          <w:pPr>
                            <w:jc w:val="center"/>
                            <w:rPr>
                              <w:rFonts w:hint="eastAsia" w:eastAsia="宋体"/>
                              <w:lang w:eastAsia="zh-CN"/>
                            </w:rPr>
                          </w:pPr>
                          <w:r>
                            <w:rPr>
                              <w:rFonts w:hint="eastAsia"/>
                              <w:lang w:eastAsia="zh-CN"/>
                            </w:rPr>
                            <w:t>定子铁芯</w:t>
                          </w:r>
                        </w:p>
                      </w:txbxContent>
                    </v:textbox>
                  </v:shape>
                  <w10:wrap type="none"/>
                  <w10:anchorlock/>
                </v:group>
              </w:pict>
            </w:r>
          </w:p>
          <w:p>
            <w:pPr>
              <w:keepNext w:val="0"/>
              <w:keepLines w:val="0"/>
              <w:suppressLineNumbers w:val="0"/>
              <w:adjustRightInd w:val="0"/>
              <w:snapToGrid w:val="0"/>
              <w:spacing w:before="0" w:beforeAutospacing="0" w:after="0" w:afterAutospacing="0" w:line="360" w:lineRule="auto"/>
              <w:ind w:left="0" w:right="0" w:firstLine="482" w:firstLineChars="200"/>
              <w:rPr>
                <w:rFonts w:ascii="宋体" w:hAnsi="宋体"/>
                <w:b/>
                <w:sz w:val="24"/>
              </w:rPr>
            </w:pPr>
            <w:r>
              <w:rPr>
                <w:rFonts w:hint="eastAsia" w:ascii="宋体" w:hAnsi="宋体"/>
                <w:b/>
                <w:sz w:val="24"/>
              </w:rPr>
              <w:t>工艺流程说明：</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纵剪：</w:t>
            </w:r>
            <w:r>
              <w:rPr>
                <w:rFonts w:hint="eastAsia"/>
                <w:sz w:val="24"/>
              </w:rPr>
              <w:t>外购的硅钢钢材根据客户需求需采用金属纵剪机进行裁剪加工成对应宽度的子卷，该过程会产生边角料（</w:t>
            </w:r>
            <w:r>
              <w:rPr>
                <w:rFonts w:hint="eastAsia"/>
                <w:sz w:val="24"/>
                <w:lang w:eastAsia="zh-CN"/>
              </w:rPr>
              <w:t>S1</w:t>
            </w:r>
            <w:r>
              <w:rPr>
                <w:rFonts w:hint="eastAsia"/>
                <w:sz w:val="24"/>
              </w:rPr>
              <w:t>-1）；</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冲压：</w:t>
            </w:r>
            <w:r>
              <w:rPr>
                <w:rFonts w:hint="eastAsia"/>
                <w:sz w:val="24"/>
              </w:rPr>
              <w:t>将纵剪后的子卷利用高速冲床、普通冲床冲压成型为转子铁芯和定子铁芯；</w:t>
            </w:r>
            <w:r>
              <w:rPr>
                <w:sz w:val="24"/>
              </w:rPr>
              <w:t>冲压是靠</w:t>
            </w:r>
            <w:r>
              <w:fldChar w:fldCharType="begin"/>
            </w:r>
            <w:r>
              <w:instrText xml:space="preserve"> HYPERLINK "https://baike.baidu.com/item/%E5%8E%8B%E5%8A%9B%E6%9C%BA/5290838" \t "_blank" </w:instrText>
            </w:r>
            <w:r>
              <w:fldChar w:fldCharType="separate"/>
            </w:r>
            <w:r>
              <w:rPr>
                <w:sz w:val="24"/>
              </w:rPr>
              <w:t>压力机</w:t>
            </w:r>
            <w:r>
              <w:rPr>
                <w:sz w:val="24"/>
              </w:rPr>
              <w:fldChar w:fldCharType="end"/>
            </w:r>
            <w:r>
              <w:rPr>
                <w:sz w:val="24"/>
              </w:rPr>
              <w:t>和模具对</w:t>
            </w:r>
            <w:r>
              <w:fldChar w:fldCharType="begin"/>
            </w:r>
            <w:r>
              <w:instrText xml:space="preserve"> HYPERLINK "https://baike.baidu.com/item/%E6%9D%BF%E6%9D%90/3727123" \t "_blank" </w:instrText>
            </w:r>
            <w:r>
              <w:fldChar w:fldCharType="separate"/>
            </w:r>
            <w:r>
              <w:rPr>
                <w:sz w:val="24"/>
              </w:rPr>
              <w:t>板材</w:t>
            </w:r>
            <w:r>
              <w:rPr>
                <w:sz w:val="24"/>
              </w:rPr>
              <w:fldChar w:fldCharType="end"/>
            </w:r>
            <w:r>
              <w:rPr>
                <w:sz w:val="24"/>
              </w:rPr>
              <w:t>、</w:t>
            </w:r>
            <w:r>
              <w:fldChar w:fldCharType="begin"/>
            </w:r>
            <w:r>
              <w:instrText xml:space="preserve"> HYPERLINK "https://baike.baidu.com/item/%E5%B8%A6%E6%9D%90/5347178" \t "_blank" </w:instrText>
            </w:r>
            <w:r>
              <w:fldChar w:fldCharType="separate"/>
            </w:r>
            <w:r>
              <w:rPr>
                <w:sz w:val="24"/>
              </w:rPr>
              <w:t>带材</w:t>
            </w:r>
            <w:r>
              <w:rPr>
                <w:sz w:val="24"/>
              </w:rPr>
              <w:fldChar w:fldCharType="end"/>
            </w:r>
            <w:r>
              <w:rPr>
                <w:sz w:val="24"/>
              </w:rPr>
              <w:t>、</w:t>
            </w:r>
            <w:r>
              <w:fldChar w:fldCharType="begin"/>
            </w:r>
            <w:r>
              <w:instrText xml:space="preserve"> HYPERLINK "https://baike.baidu.com/item/%E7%AE%A1%E6%9D%90/3742069" \t "_blank" </w:instrText>
            </w:r>
            <w:r>
              <w:fldChar w:fldCharType="separate"/>
            </w:r>
            <w:r>
              <w:rPr>
                <w:sz w:val="24"/>
              </w:rPr>
              <w:t>管材</w:t>
            </w:r>
            <w:r>
              <w:rPr>
                <w:sz w:val="24"/>
              </w:rPr>
              <w:fldChar w:fldCharType="end"/>
            </w:r>
            <w:r>
              <w:rPr>
                <w:sz w:val="24"/>
              </w:rPr>
              <w:t>和型材等施加外力，使之产生塑性变形或分离，从而获得所需形状和尺寸的</w:t>
            </w:r>
            <w:r>
              <w:fldChar w:fldCharType="begin"/>
            </w:r>
            <w:r>
              <w:instrText xml:space="preserve"> HYPERLINK "https://baike.baidu.com/item/%E5%B7%A5%E4%BB%B6/976341" \t "_blank" </w:instrText>
            </w:r>
            <w:r>
              <w:fldChar w:fldCharType="separate"/>
            </w:r>
            <w:r>
              <w:rPr>
                <w:sz w:val="24"/>
              </w:rPr>
              <w:t>工件</w:t>
            </w:r>
            <w:r>
              <w:rPr>
                <w:sz w:val="24"/>
              </w:rPr>
              <w:fldChar w:fldCharType="end"/>
            </w:r>
            <w:r>
              <w:rPr>
                <w:sz w:val="24"/>
              </w:rPr>
              <w:t>（冲压件）的成形加工方法</w:t>
            </w:r>
            <w:r>
              <w:rPr>
                <w:rFonts w:hint="eastAsia"/>
                <w:sz w:val="24"/>
              </w:rPr>
              <w:t>；冲压过程需定期添加冲压油，以起到润滑和冷却的作用，冲压油循环使用，定期添加</w:t>
            </w:r>
            <w:r>
              <w:rPr>
                <w:rFonts w:hint="eastAsia"/>
                <w:sz w:val="24"/>
                <w:lang w:eastAsia="zh-CN"/>
              </w:rPr>
              <w:t>，</w:t>
            </w:r>
            <w:r>
              <w:rPr>
                <w:rFonts w:hint="eastAsia"/>
                <w:sz w:val="24"/>
              </w:rPr>
              <w:t>部分</w:t>
            </w:r>
            <w:r>
              <w:rPr>
                <w:rFonts w:hint="eastAsia"/>
                <w:sz w:val="24"/>
                <w:lang w:eastAsia="zh-CN"/>
              </w:rPr>
              <w:t>粘于产品表面，随产品一并损耗</w:t>
            </w:r>
            <w:r>
              <w:rPr>
                <w:rFonts w:hint="eastAsia"/>
                <w:sz w:val="24"/>
              </w:rPr>
              <w:t>。该过程会产生边角料（</w:t>
            </w:r>
            <w:r>
              <w:rPr>
                <w:rFonts w:hint="eastAsia"/>
                <w:sz w:val="24"/>
                <w:lang w:eastAsia="zh-CN"/>
              </w:rPr>
              <w:t>S1</w:t>
            </w:r>
            <w:r>
              <w:rPr>
                <w:rFonts w:hint="eastAsia"/>
                <w:sz w:val="24"/>
              </w:rPr>
              <w:t>-2）</w:t>
            </w:r>
            <w:r>
              <w:rPr>
                <w:rFonts w:hint="eastAsia"/>
                <w:sz w:val="24"/>
                <w:lang w:eastAsia="zh-CN"/>
              </w:rPr>
              <w:t>和废冲压油（</w:t>
            </w:r>
            <w:r>
              <w:rPr>
                <w:rFonts w:hint="eastAsia"/>
                <w:sz w:val="24"/>
                <w:lang w:val="en-US" w:eastAsia="zh-CN"/>
              </w:rPr>
              <w:t>S1-3</w:t>
            </w:r>
            <w:r>
              <w:rPr>
                <w:rFonts w:hint="eastAsia"/>
                <w:sz w:val="24"/>
                <w:lang w:eastAsia="zh-CN"/>
              </w:rPr>
              <w:t>）</w:t>
            </w:r>
            <w:r>
              <w:rPr>
                <w:rFonts w:hint="eastAsia"/>
                <w:sz w:val="24"/>
              </w:rPr>
              <w:t>；</w:t>
            </w:r>
          </w:p>
          <w:p>
            <w:pPr>
              <w:keepNext w:val="0"/>
              <w:keepLines w:val="0"/>
              <w:suppressLineNumbers w:val="0"/>
              <w:autoSpaceDE w:val="0"/>
              <w:spacing w:before="0" w:beforeAutospacing="0" w:after="0" w:afterAutospacing="0" w:line="360" w:lineRule="auto"/>
              <w:ind w:left="0" w:right="0" w:firstLine="482" w:firstLineChars="200"/>
              <w:rPr>
                <w:b/>
                <w:sz w:val="24"/>
              </w:rPr>
            </w:pPr>
            <w:r>
              <w:rPr>
                <w:rFonts w:hint="eastAsia"/>
                <w:b/>
                <w:sz w:val="24"/>
              </w:rPr>
              <w:t>焊接：</w:t>
            </w:r>
            <w:r>
              <w:rPr>
                <w:rFonts w:hint="eastAsia"/>
                <w:sz w:val="24"/>
              </w:rPr>
              <w:t>根据客户要求，部分冲压成型的定子铁芯、转子铁芯需利用定子迭压焊机和氩弧焊机进行焊接，焊接采用氩弧焊工艺，不使用焊丝，利用电弧高温把铁芯局部熔化，实现铁芯片之间的连接，该过程会产生焊接烟尘（</w:t>
            </w:r>
            <w:r>
              <w:rPr>
                <w:rFonts w:hint="eastAsia"/>
                <w:sz w:val="24"/>
                <w:lang w:eastAsia="zh-CN"/>
              </w:rPr>
              <w:t>G1</w:t>
            </w:r>
            <w:r>
              <w:rPr>
                <w:rFonts w:hint="eastAsia"/>
                <w:sz w:val="24"/>
              </w:rPr>
              <w:t>-1）。</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入轴：</w:t>
            </w:r>
            <w:r>
              <w:rPr>
                <w:rFonts w:hint="eastAsia"/>
                <w:sz w:val="24"/>
              </w:rPr>
              <w:t>冲压/焊接后所得的转子铁芯和</w:t>
            </w:r>
            <w:r>
              <w:rPr>
                <w:rFonts w:hint="eastAsia"/>
                <w:sz w:val="24"/>
                <w:lang w:eastAsia="zh-CN"/>
              </w:rPr>
              <w:t>定</w:t>
            </w:r>
            <w:r>
              <w:rPr>
                <w:rFonts w:hint="eastAsia"/>
                <w:sz w:val="24"/>
              </w:rPr>
              <w:t>子铁芯需要使用入轴机进行穿转轴。</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涂敷：</w:t>
            </w:r>
            <w:r>
              <w:rPr>
                <w:rFonts w:hint="eastAsia"/>
                <w:sz w:val="24"/>
              </w:rPr>
              <w:t>入轴后的转子铁芯需采用涂敷机进行涂敷，涂敷是在涂敷机中静电粉末涂敷室内的涂敷粉箱上实现的，涂敷粉箱由底部涂敷气室、微孔板、高压静电电极等组成。涂敷粉箱内加入干燥的环氧树脂粉，通过调节涂敷上粉气压（压缩空气）使粉末达到最佳流化状态，由高压静电发生器输出的高压静电，通过电极放电，使粉末带电后均匀地吸附在转子表面。涂敷粉箱下面为供粉箱，工作前由人工加入新粉（加入的粉末在流化起来后最多不得高于离涂敷粉箱底部100mm的位置），送粉泵可匀速循环地将粉末通过送粉管送入涂敷流化箱内，满足涂敷需要。粉箱后侧设有一个粉末送入口，供粉箱内的粉末通过送粉泵将粉末送入涂敷粉箱内，使粉末能够控制在一定的水平面。涂敷全程自动进行，无需人工操作。该过程会产生粉尘（</w:t>
            </w:r>
            <w:r>
              <w:rPr>
                <w:rFonts w:hint="eastAsia"/>
                <w:sz w:val="24"/>
                <w:lang w:eastAsia="zh-CN"/>
              </w:rPr>
              <w:t>G1</w:t>
            </w:r>
            <w:r>
              <w:rPr>
                <w:rFonts w:hint="eastAsia"/>
                <w:sz w:val="24"/>
              </w:rPr>
              <w:t>-2）。</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固化：</w:t>
            </w:r>
            <w:r>
              <w:rPr>
                <w:rFonts w:hint="eastAsia"/>
                <w:sz w:val="24"/>
              </w:rPr>
              <w:t>涂敷完成后的转子铁芯需进行固化处理，固化温度180-220℃，固化时间20-30分钟，固化过程在烘箱内进行，固化过程采用电加热。固化完成后的转子铁芯在涂敷注塑车间内进行自然冷却，恢复到常温。该工序会产生非甲烷总烃（</w:t>
            </w:r>
            <w:r>
              <w:rPr>
                <w:rFonts w:hint="eastAsia"/>
                <w:sz w:val="24"/>
                <w:lang w:eastAsia="zh-CN"/>
              </w:rPr>
              <w:t>G1</w:t>
            </w:r>
            <w:r>
              <w:rPr>
                <w:rFonts w:hint="eastAsia"/>
                <w:sz w:val="24"/>
              </w:rPr>
              <w:t>-3）。</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注塑成型：</w:t>
            </w:r>
            <w:r>
              <w:rPr>
                <w:rFonts w:hint="eastAsia"/>
                <w:sz w:val="24"/>
              </w:rPr>
              <w:t>入轴后的定子铁芯需进行注塑成型处理，</w:t>
            </w:r>
            <w:r>
              <w:rPr>
                <w:sz w:val="24"/>
              </w:rPr>
              <w:t>使用注塑机对</w:t>
            </w:r>
            <w:r>
              <w:rPr>
                <w:rFonts w:hint="eastAsia"/>
                <w:sz w:val="24"/>
              </w:rPr>
              <w:t>聚丙烯粒子</w:t>
            </w:r>
            <w:r>
              <w:rPr>
                <w:sz w:val="24"/>
              </w:rPr>
              <w:t>加热融化，</w:t>
            </w:r>
            <w:r>
              <w:rPr>
                <w:rFonts w:hint="eastAsia"/>
                <w:sz w:val="24"/>
              </w:rPr>
              <w:t>加热方式为电加热，当聚丙烯粒子加热至160℃~18</w:t>
            </w:r>
            <w:r>
              <w:rPr>
                <w:sz w:val="24"/>
              </w:rPr>
              <w:t>0</w:t>
            </w:r>
            <w:r>
              <w:rPr>
                <w:rFonts w:hint="eastAsia"/>
                <w:sz w:val="24"/>
              </w:rPr>
              <w:t>℃时</w:t>
            </w:r>
            <w:r>
              <w:rPr>
                <w:sz w:val="24"/>
              </w:rPr>
              <w:t>，</w:t>
            </w:r>
            <w:r>
              <w:rPr>
                <w:rFonts w:hint="eastAsia"/>
                <w:sz w:val="24"/>
              </w:rPr>
              <w:t>在螺杆旋转的挤压推动作用下，通过注塑机机筒内壁和螺杆的摩擦作用向前输送和压实，在高温、高压条件下塑料粒子熔融、塑化。连续转动的螺杆把熔融塑料推入放有定子铁芯的模具中，塑料熔体通过模具被加工成所需形状。成型过程注塑模具通过夹套内循环冷却水进行间接冷却，从而使产品定型，冷却水循环使用，定期添加，不外排。</w:t>
            </w:r>
            <w:r>
              <w:rPr>
                <w:sz w:val="24"/>
              </w:rPr>
              <w:t>该工序产生</w:t>
            </w:r>
            <w:r>
              <w:rPr>
                <w:rFonts w:hint="eastAsia"/>
                <w:sz w:val="24"/>
              </w:rPr>
              <w:t>非</w:t>
            </w:r>
            <w:r>
              <w:rPr>
                <w:sz w:val="24"/>
              </w:rPr>
              <w:t>甲烷</w:t>
            </w:r>
            <w:r>
              <w:rPr>
                <w:rFonts w:hint="eastAsia"/>
                <w:sz w:val="24"/>
              </w:rPr>
              <w:t>总</w:t>
            </w:r>
            <w:r>
              <w:rPr>
                <w:sz w:val="24"/>
              </w:rPr>
              <w:t>烃</w:t>
            </w:r>
            <w:r>
              <w:rPr>
                <w:rFonts w:hint="eastAsia"/>
                <w:sz w:val="24"/>
              </w:rPr>
              <w:t>（</w:t>
            </w:r>
            <w:r>
              <w:rPr>
                <w:rFonts w:hint="eastAsia"/>
                <w:sz w:val="24"/>
                <w:lang w:eastAsia="zh-CN"/>
              </w:rPr>
              <w:t>G1</w:t>
            </w:r>
            <w:r>
              <w:rPr>
                <w:rFonts w:hint="eastAsia"/>
                <w:sz w:val="24"/>
              </w:rPr>
              <w:t>-4）、塑料边角料（</w:t>
            </w:r>
            <w:r>
              <w:rPr>
                <w:rFonts w:hint="eastAsia"/>
                <w:sz w:val="24"/>
                <w:lang w:eastAsia="zh-CN"/>
              </w:rPr>
              <w:t>S1</w:t>
            </w:r>
            <w:r>
              <w:rPr>
                <w:rFonts w:hint="eastAsia"/>
                <w:sz w:val="24"/>
              </w:rPr>
              <w:t>-</w:t>
            </w:r>
            <w:r>
              <w:rPr>
                <w:rFonts w:hint="eastAsia"/>
                <w:sz w:val="24"/>
                <w:lang w:val="en-US" w:eastAsia="zh-CN"/>
              </w:rPr>
              <w:t>4</w:t>
            </w:r>
            <w:r>
              <w:rPr>
                <w:rFonts w:hint="eastAsia"/>
                <w:sz w:val="24"/>
              </w:rPr>
              <w:t>）。</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组装检验：</w:t>
            </w:r>
            <w:r>
              <w:rPr>
                <w:rFonts w:hint="eastAsia"/>
                <w:sz w:val="24"/>
              </w:rPr>
              <w:t>经注塑成型及固化处理后的半成品需进行人工检验，对检验合格的产品进行组装得到成品。此工序产生不合格品（</w:t>
            </w:r>
            <w:r>
              <w:rPr>
                <w:rFonts w:hint="eastAsia"/>
                <w:sz w:val="24"/>
                <w:lang w:eastAsia="zh-CN"/>
              </w:rPr>
              <w:t>S1</w:t>
            </w:r>
            <w:r>
              <w:rPr>
                <w:rFonts w:hint="eastAsia"/>
                <w:sz w:val="24"/>
              </w:rPr>
              <w:t>-</w:t>
            </w:r>
            <w:r>
              <w:rPr>
                <w:rFonts w:hint="eastAsia"/>
                <w:sz w:val="24"/>
                <w:lang w:val="en-US" w:eastAsia="zh-CN"/>
              </w:rPr>
              <w:t>5</w:t>
            </w:r>
            <w:r>
              <w:rPr>
                <w:rFonts w:hint="eastAsia"/>
                <w:sz w:val="24"/>
              </w:rPr>
              <w:t>）。</w:t>
            </w:r>
          </w:p>
          <w:p>
            <w:pPr>
              <w:keepNext w:val="0"/>
              <w:keepLines w:val="0"/>
              <w:suppressLineNumbers w:val="0"/>
              <w:adjustRightInd w:val="0"/>
              <w:snapToGrid w:val="0"/>
              <w:spacing w:before="0" w:beforeAutospacing="0" w:after="0" w:afterAutospacing="0"/>
              <w:ind w:left="0" w:right="0"/>
              <w:rPr>
                <w:rFonts w:ascii="宋体" w:hAnsi="宋体"/>
                <w:b/>
                <w:color w:val="000000"/>
                <w:sz w:val="24"/>
              </w:rPr>
            </w:pPr>
            <w:r>
              <w:rPr>
                <w:rFonts w:hint="eastAsia"/>
                <w:b/>
                <w:color w:val="000000"/>
                <w:sz w:val="24"/>
                <w:lang w:val="en-US" w:eastAsia="zh-CN"/>
              </w:rPr>
              <w:t>2</w:t>
            </w:r>
            <w:r>
              <w:rPr>
                <w:rFonts w:hint="eastAsia" w:ascii="宋体" w:hAnsi="宋体"/>
                <w:b/>
                <w:color w:val="000000"/>
                <w:sz w:val="24"/>
              </w:rPr>
              <w:t>、电机机壳</w:t>
            </w:r>
            <w:r>
              <w:rPr>
                <w:rFonts w:ascii="宋体" w:hAnsi="宋体"/>
                <w:b/>
                <w:color w:val="000000"/>
                <w:sz w:val="24"/>
              </w:rPr>
              <w:t>工艺流程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firstLineChars="0"/>
              <w:textAlignment w:val="auto"/>
              <w:rPr>
                <w:rFonts w:ascii="宋体" w:hAnsi="宋体"/>
                <w:b/>
                <w:sz w:val="24"/>
              </w:rPr>
            </w:pPr>
            <w:r>
              <w:rPr>
                <w:rFonts w:ascii="宋体" w:hAnsi="宋体"/>
                <w:b/>
                <w:sz w:val="24"/>
              </w:rPr>
              <w:pict>
                <v:group id="_x0000_s124193" o:spid="_x0000_s124193" o:spt="203" style="height:459.3pt;width:421.2pt;" coordorigin="2054,2956" coordsize="8424,9186" editas="canvas">
                  <o:lock v:ext="edit"/>
                  <v:shape id="_x0000_s124192" o:spid="_x0000_s124192" o:spt="75" type="#_x0000_t75" style="position:absolute;left:2054;top:2956;height:9186;width:8424;" filled="f" stroked="f" coordsize="21600,21600">
                    <v:path/>
                    <v:fill on="f" focussize="0,0"/>
                    <v:stroke on="f"/>
                    <v:imagedata o:title=""/>
                    <o:lock v:ext="edit" text="t" aspectratio="t"/>
                  </v:shape>
                  <v:shape id="_x0000_s124235" o:spid="_x0000_s124235" o:spt="32" type="#_x0000_t32" style="position:absolute;left:6229;top:9887;height:453;width:1;" filled="f" stroked="t" coordsize="21600,21600">
                    <v:path arrowok="t"/>
                    <v:fill on="f" focussize="0,0"/>
                    <v:stroke color="#000000" endarrow="block"/>
                    <v:imagedata o:title=""/>
                    <o:lock v:ext="edit" aspectratio="f"/>
                  </v:shape>
                  <v:shape id="_x0000_s124236" o:spid="_x0000_s124236" o:spt="202" type="#_x0000_t202" style="position:absolute;left:5757;top:10340;height:439;width:963;" filled="f" stroked="f" coordsize="21600,21600">
                    <v:path/>
                    <v:fill on="f" focussize="0,0"/>
                    <v:stroke on="f"/>
                    <v:imagedata o:title=""/>
                    <o:lock v:ext="edit" aspectratio="f"/>
                    <v:textbox>
                      <w:txbxContent>
                        <w:p>
                          <w:pPr>
                            <w:jc w:val="center"/>
                          </w:pPr>
                          <w:r>
                            <w:rPr>
                              <w:rFonts w:hint="eastAsia"/>
                            </w:rPr>
                            <w:t>成品</w:t>
                          </w:r>
                        </w:p>
                      </w:txbxContent>
                    </v:textbox>
                  </v:shape>
                  <v:shape id="文本框 11" o:spid="_x0000_s124237" o:spt="202" type="#_x0000_t202" style="position:absolute;left:7822;top:10699;height:498;width:1774;"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LGDridAQAADwMAAA4AAAAAAAAA&#10;AQAgAAAAJQEAAGRycy9lMm9Eb2MueG1sUEsFBgAAAAAGAAYAWQEAADQFAAAAAA==&#10;">
                    <v:path/>
                    <v:fill on="f" focussize="0,0"/>
                    <v:stroke on="f"/>
                    <v:imagedata o:title=""/>
                    <o:lock v:ext="edit" aspectratio="f"/>
                    <v:textbox>
                      <w:txbxContent>
                        <w:p>
                          <w:pPr>
                            <w:rPr>
                              <w:szCs w:val="21"/>
                            </w:rPr>
                          </w:pPr>
                          <w:r>
                            <w:rPr>
                              <w:rFonts w:hint="eastAsia" w:ascii="宋体" w:hAnsi="宋体" w:cs="宋体"/>
                              <w:szCs w:val="21"/>
                            </w:rPr>
                            <w:t>注：</w:t>
                          </w:r>
                          <w:r>
                            <w:rPr>
                              <w:szCs w:val="21"/>
                            </w:rPr>
                            <w:t>S</w:t>
                          </w:r>
                          <w:r>
                            <w:rPr>
                              <w:rFonts w:hAnsi="宋体"/>
                              <w:szCs w:val="21"/>
                            </w:rPr>
                            <w:t>固体废物</w:t>
                          </w:r>
                        </w:p>
                      </w:txbxContent>
                    </v:textbox>
                  </v:shape>
                  <v:shape id="文本框 26" o:spid="_x0000_s124238" o:spt="202" type="#_x0000_t202" style="position:absolute;left:4322;top:11299;height:444;width:4140;"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cERw2dAQAADgMAAA4AAAAAAAAA&#10;AQAgAAAAJQEAAGRycy9lMm9Eb2MueG1sUEsFBgAAAAAGAAYAWQEAADQFAAAAAA==&#10;">
                    <v:path/>
                    <v:fill on="f" focussize="0,0"/>
                    <v:stroke on="f"/>
                    <v:imagedata o:title=""/>
                    <o:lock v:ext="edit" aspectratio="f"/>
                    <v:textbox>
                      <w:txbxContent>
                        <w:p>
                          <w:pPr>
                            <w:rPr>
                              <w:rFonts w:ascii="宋体" w:hAnsi="宋体" w:cs="宋体"/>
                              <w:b/>
                              <w:bCs/>
                              <w:sz w:val="24"/>
                            </w:rPr>
                          </w:pPr>
                          <w:r>
                            <w:rPr>
                              <w:rFonts w:hint="eastAsia" w:ascii="宋体" w:hAnsi="宋体" w:cs="宋体"/>
                              <w:b/>
                              <w:bCs/>
                              <w:sz w:val="24"/>
                            </w:rPr>
                            <w:t>图</w:t>
                          </w:r>
                          <w:r>
                            <w:rPr>
                              <w:rFonts w:hint="eastAsia" w:cs="宋体"/>
                              <w:b/>
                              <w:bCs/>
                              <w:sz w:val="24"/>
                            </w:rPr>
                            <w:t>2</w:t>
                          </w:r>
                          <w:r>
                            <w:rPr>
                              <w:rFonts w:hint="eastAsia" w:ascii="宋体" w:hAnsi="宋体" w:cs="宋体"/>
                              <w:b/>
                              <w:bCs/>
                              <w:sz w:val="24"/>
                            </w:rPr>
                            <w:t>-</w:t>
                          </w:r>
                          <w:r>
                            <w:rPr>
                              <w:rFonts w:hint="eastAsia" w:cs="宋体"/>
                              <w:b/>
                              <w:bCs/>
                              <w:sz w:val="24"/>
                              <w:lang w:val="en-US" w:eastAsia="zh-CN"/>
                            </w:rPr>
                            <w:t>3</w:t>
                          </w:r>
                          <w:r>
                            <w:rPr>
                              <w:rFonts w:hint="eastAsia" w:ascii="宋体" w:hAnsi="宋体" w:cs="宋体"/>
                              <w:b/>
                              <w:bCs/>
                              <w:sz w:val="24"/>
                            </w:rPr>
                            <w:t xml:space="preserve"> 电机机壳生产工艺流程图</w:t>
                          </w:r>
                        </w:p>
                      </w:txbxContent>
                    </v:textbox>
                  </v:shape>
                  <v:shape id="_x0000_s124239" o:spid="_x0000_s124239" o:spt="202" type="#_x0000_t202" style="position:absolute;left:5472;top:5026;height:438;width:1379;" filled="f" stroked="t" coordsize="21600,21600">
                    <v:path/>
                    <v:fill on="f" focussize="0,0"/>
                    <v:stroke color="#000000" joinstyle="miter"/>
                    <v:imagedata o:title=""/>
                    <o:lock v:ext="edit" aspectratio="f"/>
                    <v:textbox>
                      <w:txbxContent>
                        <w:p>
                          <w:pPr>
                            <w:jc w:val="center"/>
                          </w:pPr>
                          <w:r>
                            <w:rPr>
                              <w:rFonts w:hint="eastAsia"/>
                            </w:rPr>
                            <w:t>冲压</w:t>
                          </w:r>
                        </w:p>
                      </w:txbxContent>
                    </v:textbox>
                  </v:shape>
                  <v:shape id="_x0000_s124240" o:spid="_x0000_s124240" o:spt="32" type="#_x0000_t32" style="position:absolute;left:6866;top:5237;height:2;width:402;" filled="f" stroked="t" coordsize="21600,21600">
                    <v:path arrowok="t"/>
                    <v:fill on="f" focussize="0,0"/>
                    <v:stroke color="#000000" dashstyle="dash" endarrow="block"/>
                    <v:imagedata o:title=""/>
                    <o:lock v:ext="edit" aspectratio="f"/>
                  </v:shape>
                  <v:shape id="_x0000_s124241" o:spid="_x0000_s124241" o:spt="32" type="#_x0000_t32" style="position:absolute;left:5041;top:5249;height:1;width:401;" filled="f" stroked="t" coordsize="21600,21600">
                    <v:path arrowok="t"/>
                    <v:fill on="f" focussize="0,0"/>
                    <v:stroke color="#000000" endarrow="block"/>
                    <v:imagedata o:title=""/>
                    <o:lock v:ext="edit" aspectratio="f"/>
                  </v:shape>
                  <v:shape id="_x0000_s124242" o:spid="_x0000_s124242" o:spt="202" type="#_x0000_t202" style="position:absolute;left:4055;top:5054;height:412;width:1136;" filled="f" stroked="f" coordsize="21600,21600">
                    <v:path/>
                    <v:fill on="f" focussize="0,0"/>
                    <v:stroke on="f"/>
                    <v:imagedata o:title=""/>
                    <o:lock v:ext="edit" aspectratio="f"/>
                    <v:textbox>
                      <w:txbxContent>
                        <w:p>
                          <w:pPr>
                            <w:jc w:val="center"/>
                          </w:pPr>
                          <w:r>
                            <w:rPr>
                              <w:rFonts w:hint="eastAsia"/>
                            </w:rPr>
                            <w:t>冲压油</w:t>
                          </w:r>
                        </w:p>
                      </w:txbxContent>
                    </v:textbox>
                  </v:shape>
                  <v:shape id="_x0000_s124243" o:spid="_x0000_s124243" o:spt="32" type="#_x0000_t32" style="position:absolute;left:6932;top:9669;height:1;width:402;" filled="f" stroked="t" coordsize="21600,21600">
                    <v:path arrowok="t"/>
                    <v:fill on="f" focussize="0,0"/>
                    <v:stroke color="#000000" dashstyle="dash" endarrow="block"/>
                    <v:imagedata o:title=""/>
                    <o:lock v:ext="edit" aspectratio="f"/>
                  </v:shape>
                  <v:shape id="_x0000_s124244" o:spid="_x0000_s124244" o:spt="202" type="#_x0000_t202" style="position:absolute;left:7221;top:9449;height:438;width:1871;" filled="f" stroked="f" coordsize="21600,21600">
                    <v:path/>
                    <v:fill on="f" focussize="0,0"/>
                    <v:stroke on="f"/>
                    <v:imagedata o:title=""/>
                    <o:lock v:ext="edit" aspectratio="f"/>
                    <v:textbox>
                      <w:txbxContent>
                        <w:p>
                          <w:pPr>
                            <w:jc w:val="center"/>
                          </w:pPr>
                          <w:r>
                            <w:rPr>
                              <w:rFonts w:hint="eastAsia"/>
                              <w:lang w:eastAsia="zh-CN"/>
                            </w:rPr>
                            <w:t>S2</w:t>
                          </w:r>
                          <w:r>
                            <w:rPr>
                              <w:rFonts w:hint="eastAsia"/>
                            </w:rPr>
                            <w:t>-</w:t>
                          </w:r>
                          <w:r>
                            <w:rPr>
                              <w:rFonts w:hint="eastAsia"/>
                              <w:lang w:val="en-US" w:eastAsia="zh-CN"/>
                            </w:rPr>
                            <w:t>9</w:t>
                          </w:r>
                          <w:r>
                            <w:rPr>
                              <w:rFonts w:hint="eastAsia"/>
                            </w:rPr>
                            <w:t>不合格品</w:t>
                          </w:r>
                        </w:p>
                        <w:p>
                          <w:pPr>
                            <w:pStyle w:val="27"/>
                            <w:ind w:left="-84" w:right="-17" w:rightChars="-8" w:firstLine="560"/>
                          </w:pPr>
                        </w:p>
                      </w:txbxContent>
                    </v:textbox>
                  </v:shape>
                  <v:shape id="_x0000_s124245" o:spid="_x0000_s124245" o:spt="202" type="#_x0000_t202" style="position:absolute;left:5413;top:3196;height:461;width:1491;" filled="f" stroked="f" coordsize="21600,21600">
                    <v:path/>
                    <v:fill on="f" focussize="0,0"/>
                    <v:stroke on="f"/>
                    <v:imagedata o:title=""/>
                    <o:lock v:ext="edit" aspectratio="f"/>
                    <v:textbox>
                      <w:txbxContent>
                        <w:p>
                          <w:pPr>
                            <w:pStyle w:val="27"/>
                            <w:spacing w:before="0" w:beforeAutospacing="0" w:after="0" w:afterAutospacing="0" w:line="240" w:lineRule="auto"/>
                            <w:ind w:left="0" w:leftChars="0" w:right="0" w:firstLine="0" w:firstLineChars="0"/>
                            <w:jc w:val="center"/>
                            <w:rPr>
                              <w:rFonts w:ascii="Times New Roman" w:hAnsi="Times New Roman" w:eastAsia="宋体" w:cs="Times New Roman"/>
                              <w:sz w:val="21"/>
                              <w:szCs w:val="24"/>
                            </w:rPr>
                          </w:pPr>
                          <w:r>
                            <w:rPr>
                              <w:rFonts w:hint="eastAsia" w:ascii="Times New Roman" w:hAnsi="Times New Roman" w:eastAsia="宋体" w:cs="Times New Roman"/>
                              <w:sz w:val="21"/>
                              <w:szCs w:val="24"/>
                            </w:rPr>
                            <w:t>镀锌钢材</w:t>
                          </w:r>
                        </w:p>
                      </w:txbxContent>
                    </v:textbox>
                  </v:shape>
                  <v:shape id="_x0000_s124246" o:spid="_x0000_s124246" o:spt="32" type="#_x0000_t32" style="position:absolute;left:6143;top:3657;height:453;width:1;" filled="f" stroked="t" coordsize="21600,21600">
                    <v:path arrowok="t"/>
                    <v:fill on="f" focussize="0,0"/>
                    <v:stroke color="#000000" endarrow="block"/>
                    <v:imagedata o:title=""/>
                    <o:lock v:ext="edit" aspectratio="f"/>
                  </v:shape>
                  <v:shape id="_x0000_s124247" o:spid="_x0000_s124247" o:spt="32" type="#_x0000_t32" style="position:absolute;left:6156;top:4573;height:453;width:1;" filled="f" stroked="t" coordsize="21600,21600">
                    <v:path arrowok="t"/>
                    <v:fill on="f" focussize="0,0"/>
                    <v:stroke color="#000000" endarrow="block"/>
                    <v:imagedata o:title=""/>
                    <o:lock v:ext="edit" aspectratio="f"/>
                  </v:shape>
                  <v:shape id="_x0000_s124248" o:spid="_x0000_s124248" o:spt="202" type="#_x0000_t202" style="position:absolute;left:5472;top:4134;height:439;width:1379;" filled="f" stroked="t" coordsize="21600,21600">
                    <v:path/>
                    <v:fill on="f" focussize="0,0"/>
                    <v:stroke color="#000000" joinstyle="miter"/>
                    <v:imagedata o:title=""/>
                    <o:lock v:ext="edit" aspectratio="f"/>
                    <v:textbox>
                      <w:txbxContent>
                        <w:p>
                          <w:pPr>
                            <w:jc w:val="center"/>
                          </w:pPr>
                          <w:r>
                            <w:rPr>
                              <w:rFonts w:hint="eastAsia"/>
                            </w:rPr>
                            <w:t>纵剪</w:t>
                          </w:r>
                        </w:p>
                      </w:txbxContent>
                    </v:textbox>
                  </v:shape>
                  <v:shape id="_x0000_s124249" o:spid="_x0000_s124249" o:spt="202" type="#_x0000_t202" style="position:absolute;left:5487;top:5918;height:439;width:1379;" filled="f" stroked="t" coordsize="21600,21600">
                    <v:path/>
                    <v:fill on="f" focussize="0,0"/>
                    <v:stroke color="#000000" joinstyle="miter"/>
                    <v:imagedata o:title=""/>
                    <o:lock v:ext="edit" aspectratio="f"/>
                    <v:textbox>
                      <w:txbxContent>
                        <w:p>
                          <w:pPr>
                            <w:jc w:val="center"/>
                          </w:pPr>
                          <w:r>
                            <w:rPr>
                              <w:rFonts w:hint="eastAsia"/>
                            </w:rPr>
                            <w:t>机加工</w:t>
                          </w:r>
                        </w:p>
                      </w:txbxContent>
                    </v:textbox>
                  </v:shape>
                  <v:shape id="_x0000_s124250" o:spid="_x0000_s124250" o:spt="32" type="#_x0000_t32" style="position:absolute;left:6171;top:5464;height:454;width:1;" filled="f" stroked="t" coordsize="21600,21600">
                    <v:path arrowok="t"/>
                    <v:fill on="f" focussize="0,0"/>
                    <v:stroke color="#000000" endarrow="block"/>
                    <v:imagedata o:title=""/>
                    <o:lock v:ext="edit" aspectratio="f"/>
                  </v:shape>
                  <v:shape id="_x0000_s124251" o:spid="_x0000_s124251" o:spt="32" type="#_x0000_t32" style="position:absolute;left:6171;top:6357;height:453;width:1;" filled="f" stroked="t" coordsize="21600,21600">
                    <v:path arrowok="t"/>
                    <v:fill on="f" focussize="0,0"/>
                    <v:stroke color="#000000" endarrow="block"/>
                    <v:imagedata o:title=""/>
                    <o:lock v:ext="edit" aspectratio="f"/>
                  </v:shape>
                  <v:shape id="_x0000_s124252" o:spid="_x0000_s124252" o:spt="202" type="#_x0000_t202" style="position:absolute;left:5544;top:9442;height:439;width:1379;" filled="f" stroked="t" coordsize="21600,21600">
                    <v:path/>
                    <v:fill on="f" focussize="0,0"/>
                    <v:stroke color="#000000" joinstyle="miter"/>
                    <v:imagedata o:title=""/>
                    <o:lock v:ext="edit" aspectratio="f"/>
                    <v:textbox>
                      <w:txbxContent>
                        <w:p>
                          <w:pPr>
                            <w:jc w:val="center"/>
                          </w:pPr>
                          <w:r>
                            <w:rPr>
                              <w:rFonts w:hint="eastAsia"/>
                            </w:rPr>
                            <w:t>检验</w:t>
                          </w:r>
                        </w:p>
                      </w:txbxContent>
                    </v:textbox>
                  </v:shape>
                  <v:shape id="_x0000_s124253" o:spid="_x0000_s124253" o:spt="32" type="#_x0000_t32" style="position:absolute;left:6866;top:4330;height:1;width:402;" filled="f" stroked="t" coordsize="21600,21600">
                    <v:path arrowok="t"/>
                    <v:fill on="f" focussize="0,0"/>
                    <v:stroke color="#000000" dashstyle="dash" endarrow="block"/>
                    <v:imagedata o:title=""/>
                    <o:lock v:ext="edit" aspectratio="f"/>
                  </v:shape>
                  <v:shape id="_x0000_s124254" o:spid="_x0000_s124254" o:spt="202" type="#_x0000_t202" style="position:absolute;left:7155;top:4110;height:463;width:1646;" filled="f" stroked="f" coordsize="21600,21600">
                    <v:path/>
                    <v:fill on="f" focussize="0,0"/>
                    <v:stroke on="f"/>
                    <v:imagedata o:title=""/>
                    <o:lock v:ext="edit" aspectratio="f"/>
                    <v:textbox>
                      <w:txbxContent>
                        <w:p>
                          <w:pPr>
                            <w:jc w:val="center"/>
                          </w:pPr>
                          <w:r>
                            <w:rPr>
                              <w:rFonts w:hint="eastAsia"/>
                              <w:lang w:eastAsia="zh-CN"/>
                            </w:rPr>
                            <w:t>S2</w:t>
                          </w:r>
                          <w:r>
                            <w:rPr>
                              <w:rFonts w:hint="eastAsia"/>
                            </w:rPr>
                            <w:t>-1边角料</w:t>
                          </w:r>
                        </w:p>
                        <w:p>
                          <w:pPr>
                            <w:pStyle w:val="27"/>
                            <w:ind w:left="-84" w:right="-17" w:rightChars="-8" w:firstLine="560"/>
                          </w:pPr>
                        </w:p>
                      </w:txbxContent>
                    </v:textbox>
                  </v:shape>
                  <v:shape id="_x0000_s124255" o:spid="_x0000_s124255" o:spt="202" type="#_x0000_t202" style="position:absolute;left:6867;top:4903;height:849;width:2374;" filled="f" stroked="f" coordsize="21600,21600">
                    <v:path/>
                    <v:fill on="f" focussize="0,0"/>
                    <v:stroke on="f"/>
                    <v:imagedata o:title=""/>
                    <o:lock v:ext="edit" aspectratio="f"/>
                    <v:textbox>
                      <w:txbxContent>
                        <w:p>
                          <w:pPr>
                            <w:jc w:val="center"/>
                            <w:rPr>
                              <w:rFonts w:hint="eastAsia"/>
                            </w:rPr>
                          </w:pPr>
                          <w:r>
                            <w:rPr>
                              <w:rFonts w:hint="eastAsia"/>
                              <w:lang w:eastAsia="zh-CN"/>
                            </w:rPr>
                            <w:t>S2</w:t>
                          </w:r>
                          <w:r>
                            <w:rPr>
                              <w:rFonts w:hint="eastAsia"/>
                            </w:rPr>
                            <w:t>-2边角料</w:t>
                          </w:r>
                        </w:p>
                        <w:p>
                          <w:pPr>
                            <w:jc w:val="center"/>
                            <w:rPr>
                              <w:rFonts w:hint="default" w:eastAsia="宋体"/>
                              <w:lang w:val="en-US" w:eastAsia="zh-CN"/>
                            </w:rPr>
                          </w:pPr>
                          <w:r>
                            <w:rPr>
                              <w:rFonts w:hint="eastAsia"/>
                              <w:lang w:val="en-US" w:eastAsia="zh-CN"/>
                            </w:rPr>
                            <w:t>S2-3废冲压油</w:t>
                          </w:r>
                        </w:p>
                      </w:txbxContent>
                    </v:textbox>
                  </v:shape>
                  <v:shape id="_x0000_s124256" o:spid="_x0000_s124256" o:spt="32" type="#_x0000_t32" style="position:absolute;left:5085;top:6113;height:1;width:402;" filled="f" stroked="t" coordsize="21600,21600">
                    <v:path arrowok="t"/>
                    <v:fill on="f" focussize="0,0"/>
                    <v:stroke color="#000000" endarrow="block"/>
                    <v:imagedata o:title=""/>
                    <o:lock v:ext="edit" aspectratio="f"/>
                  </v:shape>
                  <v:shape id="_x0000_s124257" o:spid="_x0000_s124257" o:spt="202" type="#_x0000_t202" style="position:absolute;left:4100;top:5774;height:892;width:1136;" filled="f" stroked="f" coordsize="21600,21600">
                    <v:path/>
                    <v:fill on="f" focussize="0,0"/>
                    <v:stroke on="f"/>
                    <v:imagedata o:title=""/>
                    <o:lock v:ext="edit" aspectratio="f"/>
                    <v:textbox>
                      <w:txbxContent>
                        <w:p>
                          <w:pPr>
                            <w:jc w:val="center"/>
                          </w:pPr>
                          <w:r>
                            <w:rPr>
                              <w:rFonts w:hint="eastAsia"/>
                            </w:rPr>
                            <w:t>液压油</w:t>
                          </w:r>
                        </w:p>
                        <w:p>
                          <w:pPr>
                            <w:jc w:val="center"/>
                            <w:rPr>
                              <w:rFonts w:hint="eastAsia" w:eastAsia="宋体"/>
                              <w:lang w:eastAsia="zh-CN"/>
                            </w:rPr>
                          </w:pPr>
                          <w:r>
                            <w:rPr>
                              <w:rFonts w:hint="eastAsia"/>
                              <w:lang w:eastAsia="zh-CN"/>
                            </w:rPr>
                            <w:t>切削油</w:t>
                          </w:r>
                        </w:p>
                      </w:txbxContent>
                    </v:textbox>
                  </v:shape>
                  <v:shape id="_x0000_s124258" o:spid="_x0000_s124258" o:spt="32" type="#_x0000_t32" style="position:absolute;left:6886;top:6149;height:1;width:401;" filled="f" stroked="t" coordsize="21600,21600">
                    <v:path arrowok="t"/>
                    <v:fill on="f" focussize="0,0"/>
                    <v:stroke color="#000000" dashstyle="dash" endarrow="block"/>
                    <v:imagedata o:title=""/>
                    <o:lock v:ext="edit" aspectratio="f"/>
                  </v:shape>
                  <v:shape id="_x0000_s124259" o:spid="_x0000_s124259" o:spt="202" type="#_x0000_t202" style="position:absolute;left:6959;top:5640;height:1139;width:2133;" filled="f" stroked="f" coordsize="21600,21600">
                    <v:path/>
                    <v:fill on="f" focussize="0,0"/>
                    <v:stroke on="f"/>
                    <v:imagedata o:title=""/>
                    <o:lock v:ext="edit" aspectratio="f"/>
                    <v:textbox>
                      <w:txbxContent>
                        <w:p>
                          <w:pPr>
                            <w:jc w:val="center"/>
                          </w:pPr>
                          <w:r>
                            <w:rPr>
                              <w:rFonts w:hint="eastAsia"/>
                              <w:lang w:eastAsia="zh-CN"/>
                            </w:rPr>
                            <w:t>S2</w:t>
                          </w:r>
                          <w:r>
                            <w:rPr>
                              <w:rFonts w:hint="eastAsia"/>
                            </w:rPr>
                            <w:t>-</w:t>
                          </w:r>
                          <w:r>
                            <w:rPr>
                              <w:rFonts w:hint="eastAsia"/>
                              <w:lang w:val="en-US" w:eastAsia="zh-CN"/>
                            </w:rPr>
                            <w:t>4</w:t>
                          </w:r>
                          <w:r>
                            <w:rPr>
                              <w:rFonts w:hint="eastAsia"/>
                            </w:rPr>
                            <w:t>边角料</w:t>
                          </w:r>
                        </w:p>
                        <w:p>
                          <w:pPr>
                            <w:jc w:val="center"/>
                          </w:pPr>
                          <w:r>
                            <w:rPr>
                              <w:rFonts w:hint="eastAsia"/>
                              <w:lang w:eastAsia="zh-CN"/>
                            </w:rPr>
                            <w:t>S2</w:t>
                          </w:r>
                          <w:r>
                            <w:rPr>
                              <w:rFonts w:hint="eastAsia"/>
                            </w:rPr>
                            <w:t>-</w:t>
                          </w:r>
                          <w:r>
                            <w:rPr>
                              <w:rFonts w:hint="eastAsia"/>
                              <w:lang w:val="en-US" w:eastAsia="zh-CN"/>
                            </w:rPr>
                            <w:t>5</w:t>
                          </w:r>
                          <w:r>
                            <w:rPr>
                              <w:rFonts w:hint="eastAsia"/>
                            </w:rPr>
                            <w:t>废液压油</w:t>
                          </w:r>
                        </w:p>
                        <w:p>
                          <w:pPr>
                            <w:jc w:val="center"/>
                            <w:rPr>
                              <w:rFonts w:hint="eastAsia" w:eastAsia="宋体"/>
                              <w:lang w:eastAsia="zh-CN"/>
                            </w:rPr>
                          </w:pPr>
                          <w:r>
                            <w:rPr>
                              <w:rFonts w:hint="eastAsia"/>
                              <w:lang w:eastAsia="zh-CN"/>
                            </w:rPr>
                            <w:t>S2</w:t>
                          </w:r>
                          <w:r>
                            <w:rPr>
                              <w:rFonts w:hint="eastAsia"/>
                            </w:rPr>
                            <w:t>-</w:t>
                          </w:r>
                          <w:r>
                            <w:rPr>
                              <w:rFonts w:hint="eastAsia"/>
                              <w:lang w:val="en-US" w:eastAsia="zh-CN"/>
                            </w:rPr>
                            <w:t>6</w:t>
                          </w:r>
                          <w:r>
                            <w:rPr>
                              <w:rFonts w:hint="eastAsia"/>
                            </w:rPr>
                            <w:t>废</w:t>
                          </w:r>
                          <w:r>
                            <w:rPr>
                              <w:rFonts w:hint="eastAsia"/>
                              <w:lang w:eastAsia="zh-CN"/>
                            </w:rPr>
                            <w:t>切削油</w:t>
                          </w:r>
                        </w:p>
                      </w:txbxContent>
                    </v:textbox>
                  </v:shape>
                  <v:shape id="_x0000_s124260" o:spid="_x0000_s124260" o:spt="202" type="#_x0000_t202" style="position:absolute;left:5525;top:6788;height:439;width:1379;" filled="f" stroked="t" coordsize="21600,21600">
                    <v:path/>
                    <v:fill on="f" focussize="0,0"/>
                    <v:stroke color="#000000" joinstyle="miter"/>
                    <v:imagedata o:title=""/>
                    <o:lock v:ext="edit" aspectratio="f"/>
                    <v:textbox>
                      <w:txbxContent>
                        <w:p>
                          <w:pPr>
                            <w:jc w:val="center"/>
                          </w:pPr>
                          <w:r>
                            <w:rPr>
                              <w:rFonts w:hint="eastAsia"/>
                            </w:rPr>
                            <w:t>攻丝加工</w:t>
                          </w:r>
                        </w:p>
                      </w:txbxContent>
                    </v:textbox>
                  </v:shape>
                  <v:shape id="_x0000_s124261" o:spid="_x0000_s124261" o:spt="32" type="#_x0000_t32" style="position:absolute;left:6209;top:7227;height:453;width:1;" filled="f" stroked="t" coordsize="21600,21600">
                    <v:path arrowok="t"/>
                    <v:fill on="f" focussize="0,0"/>
                    <v:stroke color="#000000" endarrow="block"/>
                    <v:imagedata o:title=""/>
                    <o:lock v:ext="edit" aspectratio="f"/>
                  </v:shape>
                  <v:shape id="_x0000_s124262" o:spid="_x0000_s124262" o:spt="202" type="#_x0000_t202" style="position:absolute;left:5507;top:7680;height:439;width:1379;" filled="f" stroked="t" coordsize="21600,21600">
                    <v:path/>
                    <v:fill on="f" focussize="0,0"/>
                    <v:stroke color="#000000" joinstyle="miter"/>
                    <v:imagedata o:title=""/>
                    <o:lock v:ext="edit" aspectratio="f"/>
                    <v:textbox>
                      <w:txbxContent>
                        <w:p>
                          <w:pPr>
                            <w:jc w:val="center"/>
                          </w:pPr>
                          <w:r>
                            <w:rPr>
                              <w:rFonts w:hint="eastAsia"/>
                            </w:rPr>
                            <w:t>清洗（委外）</w:t>
                          </w:r>
                        </w:p>
                      </w:txbxContent>
                    </v:textbox>
                  </v:shape>
                  <v:shape id="_x0000_s124263" o:spid="_x0000_s124263" o:spt="32" type="#_x0000_t32" style="position:absolute;left:6191;top:8119;height:453;width:1;" filled="f" stroked="t" coordsize="21600,21600">
                    <v:path arrowok="t"/>
                    <v:fill on="f" focussize="0,0"/>
                    <v:stroke color="#000000" endarrow="block"/>
                    <v:imagedata o:title=""/>
                    <o:lock v:ext="edit" aspectratio="f"/>
                  </v:shape>
                  <v:shape id="_x0000_s124272" o:spid="_x0000_s124272" o:spt="202" type="#_x0000_t202" style="position:absolute;left:5527;top:8572;height:439;width:1379;" filled="f" stroked="t" coordsize="21600,21600">
                    <v:path/>
                    <v:fill on="f" focussize="0,0"/>
                    <v:stroke color="#000000" joinstyle="miter"/>
                    <v:imagedata o:title=""/>
                    <o:lock v:ext="edit" aspectratio="f"/>
                    <v:textbox>
                      <w:txbxContent>
                        <w:p>
                          <w:pPr>
                            <w:jc w:val="center"/>
                          </w:pPr>
                          <w:r>
                            <w:rPr>
                              <w:rFonts w:hint="eastAsia"/>
                            </w:rPr>
                            <w:t>涂抹防锈油</w:t>
                          </w:r>
                        </w:p>
                      </w:txbxContent>
                    </v:textbox>
                  </v:shape>
                  <v:shape id="_x0000_s124273" o:spid="_x0000_s124273" o:spt="32" type="#_x0000_t32" style="position:absolute;left:5126;top:8767;height:1;width:401;" filled="f" stroked="t" coordsize="21600,21600">
                    <v:path arrowok="t"/>
                    <v:fill on="f" focussize="0,0"/>
                    <v:stroke color="#000000" endarrow="block"/>
                    <v:imagedata o:title=""/>
                    <o:lock v:ext="edit" aspectratio="f"/>
                  </v:shape>
                  <v:shape id="_x0000_s124274" o:spid="_x0000_s124274" o:spt="202" type="#_x0000_t202" style="position:absolute;left:4140;top:8572;height:412;width:1136;" filled="f" stroked="f" coordsize="21600,21600">
                    <v:path/>
                    <v:fill on="f" focussize="0,0"/>
                    <v:stroke on="f"/>
                    <v:imagedata o:title=""/>
                    <o:lock v:ext="edit" aspectratio="f"/>
                    <v:textbox>
                      <w:txbxContent>
                        <w:p>
                          <w:pPr>
                            <w:jc w:val="center"/>
                          </w:pPr>
                          <w:r>
                            <w:rPr>
                              <w:rFonts w:hint="eastAsia"/>
                            </w:rPr>
                            <w:t>防锈油</w:t>
                          </w:r>
                        </w:p>
                      </w:txbxContent>
                    </v:textbox>
                  </v:shape>
                  <v:shape id="_x0000_s124275" o:spid="_x0000_s124275" o:spt="32" type="#_x0000_t32" style="position:absolute;left:6194;top:9011;height:453;width:1;" filled="f" stroked="t" coordsize="21600,21600">
                    <v:path arrowok="t"/>
                    <v:fill on="f" focussize="0,0"/>
                    <v:stroke color="#000000" endarrow="block"/>
                    <v:imagedata o:title=""/>
                    <o:lock v:ext="edit" aspectratio="f"/>
                  </v:shape>
                  <v:shape id="_x0000_s124276" o:spid="_x0000_s124276" o:spt="32" type="#_x0000_t32" style="position:absolute;left:5123;top:7005;height:1;width:402;" filled="f" stroked="t" coordsize="21600,21600">
                    <v:path arrowok="t"/>
                    <v:fill on="f" focussize="0,0"/>
                    <v:stroke color="#000000" endarrow="block"/>
                    <v:imagedata o:title=""/>
                    <o:lock v:ext="edit" aspectratio="f"/>
                  </v:shape>
                  <v:shape id="_x0000_s124277" o:spid="_x0000_s124277" o:spt="202" type="#_x0000_t202" style="position:absolute;left:4138;top:6810;height:499;width:1136;" filled="f" stroked="f" coordsize="21600,21600">
                    <v:path/>
                    <v:fill on="f" focussize="0,0"/>
                    <v:stroke on="f"/>
                    <v:imagedata o:title=""/>
                    <o:lock v:ext="edit" aspectratio="f"/>
                    <v:textbox>
                      <w:txbxContent>
                        <w:p>
                          <w:pPr>
                            <w:jc w:val="center"/>
                            <w:rPr>
                              <w:rFonts w:hint="eastAsia" w:eastAsia="宋体"/>
                              <w:lang w:eastAsia="zh-CN"/>
                            </w:rPr>
                          </w:pPr>
                          <w:r>
                            <w:rPr>
                              <w:rFonts w:hint="eastAsia"/>
                              <w:lang w:eastAsia="zh-CN"/>
                            </w:rPr>
                            <w:t>切削油</w:t>
                          </w:r>
                        </w:p>
                      </w:txbxContent>
                    </v:textbox>
                  </v:shape>
                  <v:shape id="_x0000_s124278" o:spid="_x0000_s124278" o:spt="32" type="#_x0000_t32" style="position:absolute;left:6895;top:6987;height:1;width:401;" filled="f" stroked="t" coordsize="21600,21600">
                    <v:path arrowok="t"/>
                    <v:fill on="f" focussize="0,0"/>
                    <v:stroke color="#000000" dashstyle="dash" endarrow="block"/>
                    <v:imagedata o:title=""/>
                    <o:lock v:ext="edit" aspectratio="f"/>
                  </v:shape>
                  <v:shape id="_x0000_s124279" o:spid="_x0000_s124279" o:spt="202" type="#_x0000_t202" style="position:absolute;left:6956;top:6658;height:671;width:1961;" filled="f" stroked="f" coordsize="21600,21600">
                    <v:path/>
                    <v:fill on="f" focussize="0,0"/>
                    <v:stroke on="f"/>
                    <v:imagedata o:title=""/>
                    <o:lock v:ext="edit" aspectratio="f"/>
                    <v:textbox>
                      <w:txbxContent>
                        <w:p>
                          <w:pPr>
                            <w:jc w:val="center"/>
                          </w:pPr>
                          <w:r>
                            <w:rPr>
                              <w:rFonts w:hint="eastAsia"/>
                              <w:lang w:eastAsia="zh-CN"/>
                            </w:rPr>
                            <w:t>S2</w:t>
                          </w:r>
                          <w:r>
                            <w:rPr>
                              <w:rFonts w:hint="eastAsia"/>
                            </w:rPr>
                            <w:t>-</w:t>
                          </w:r>
                          <w:r>
                            <w:rPr>
                              <w:rFonts w:hint="eastAsia"/>
                              <w:lang w:val="en-US" w:eastAsia="zh-CN"/>
                            </w:rPr>
                            <w:t>7</w:t>
                          </w:r>
                          <w:r>
                            <w:rPr>
                              <w:rFonts w:hint="eastAsia"/>
                            </w:rPr>
                            <w:t>边角料</w:t>
                          </w:r>
                        </w:p>
                        <w:p>
                          <w:pPr>
                            <w:jc w:val="center"/>
                            <w:rPr>
                              <w:rFonts w:hint="eastAsia" w:eastAsia="宋体"/>
                              <w:lang w:eastAsia="zh-CN"/>
                            </w:rPr>
                          </w:pPr>
                          <w:r>
                            <w:rPr>
                              <w:rFonts w:hint="eastAsia"/>
                              <w:lang w:eastAsia="zh-CN"/>
                            </w:rPr>
                            <w:t>S2</w:t>
                          </w:r>
                          <w:r>
                            <w:rPr>
                              <w:rFonts w:hint="eastAsia"/>
                            </w:rPr>
                            <w:t>-</w:t>
                          </w:r>
                          <w:r>
                            <w:rPr>
                              <w:rFonts w:hint="eastAsia"/>
                              <w:lang w:val="en-US" w:eastAsia="zh-CN"/>
                            </w:rPr>
                            <w:t>8</w:t>
                          </w:r>
                          <w:r>
                            <w:rPr>
                              <w:rFonts w:hint="eastAsia"/>
                            </w:rPr>
                            <w:t>废</w:t>
                          </w:r>
                          <w:r>
                            <w:rPr>
                              <w:rFonts w:hint="eastAsia"/>
                              <w:lang w:eastAsia="zh-CN"/>
                            </w:rPr>
                            <w:t>切削油</w:t>
                          </w:r>
                        </w:p>
                      </w:txbxContent>
                    </v:textbox>
                  </v:shape>
                  <w10:wrap type="none"/>
                  <w10:anchorlock/>
                </v:group>
              </w:pict>
            </w:r>
            <w:r>
              <w:rPr>
                <w:rFonts w:hint="eastAsia" w:ascii="宋体" w:hAnsi="宋体"/>
                <w:b/>
                <w:sz w:val="24"/>
              </w:rPr>
              <w:t>工艺流程说明：</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纵剪：</w:t>
            </w:r>
            <w:r>
              <w:rPr>
                <w:rFonts w:hint="eastAsia"/>
                <w:sz w:val="24"/>
              </w:rPr>
              <w:t>外购的镀锌钢材根据客户需求需采用金属纵剪机进行裁剪加工成对应宽度的子卷，该过程会产生边角料（</w:t>
            </w:r>
            <w:r>
              <w:rPr>
                <w:rFonts w:hint="eastAsia"/>
                <w:sz w:val="24"/>
                <w:lang w:eastAsia="zh-CN"/>
              </w:rPr>
              <w:t>S2</w:t>
            </w:r>
            <w:r>
              <w:rPr>
                <w:rFonts w:hint="eastAsia"/>
                <w:sz w:val="24"/>
              </w:rPr>
              <w:t>-1）；</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冲压：</w:t>
            </w:r>
            <w:r>
              <w:rPr>
                <w:rFonts w:hint="eastAsia"/>
                <w:sz w:val="24"/>
              </w:rPr>
              <w:t>将纵剪后的子卷利用冲床自动冲压成型为机壳；</w:t>
            </w:r>
            <w:r>
              <w:rPr>
                <w:sz w:val="24"/>
              </w:rPr>
              <w:t>冲压是靠</w:t>
            </w:r>
            <w:r>
              <w:fldChar w:fldCharType="begin"/>
            </w:r>
            <w:r>
              <w:instrText xml:space="preserve"> HYPERLINK "https://baike.baidu.com/item/%E5%8E%8B%E5%8A%9B%E6%9C%BA/5290838" \t "_blank" </w:instrText>
            </w:r>
            <w:r>
              <w:fldChar w:fldCharType="separate"/>
            </w:r>
            <w:r>
              <w:rPr>
                <w:sz w:val="24"/>
              </w:rPr>
              <w:t>压力机</w:t>
            </w:r>
            <w:r>
              <w:rPr>
                <w:sz w:val="24"/>
              </w:rPr>
              <w:fldChar w:fldCharType="end"/>
            </w:r>
            <w:r>
              <w:rPr>
                <w:sz w:val="24"/>
              </w:rPr>
              <w:t>和模具对</w:t>
            </w:r>
            <w:r>
              <w:fldChar w:fldCharType="begin"/>
            </w:r>
            <w:r>
              <w:instrText xml:space="preserve"> HYPERLINK "https://baike.baidu.com/item/%E6%9D%BF%E6%9D%90/3727123" \t "_blank" </w:instrText>
            </w:r>
            <w:r>
              <w:fldChar w:fldCharType="separate"/>
            </w:r>
            <w:r>
              <w:rPr>
                <w:sz w:val="24"/>
              </w:rPr>
              <w:t>板材</w:t>
            </w:r>
            <w:r>
              <w:rPr>
                <w:sz w:val="24"/>
              </w:rPr>
              <w:fldChar w:fldCharType="end"/>
            </w:r>
            <w:r>
              <w:rPr>
                <w:sz w:val="24"/>
              </w:rPr>
              <w:t>、</w:t>
            </w:r>
            <w:r>
              <w:fldChar w:fldCharType="begin"/>
            </w:r>
            <w:r>
              <w:instrText xml:space="preserve"> HYPERLINK "https://baike.baidu.com/item/%E5%B8%A6%E6%9D%90/5347178" \t "_blank" </w:instrText>
            </w:r>
            <w:r>
              <w:fldChar w:fldCharType="separate"/>
            </w:r>
            <w:r>
              <w:rPr>
                <w:sz w:val="24"/>
              </w:rPr>
              <w:t>带材</w:t>
            </w:r>
            <w:r>
              <w:rPr>
                <w:sz w:val="24"/>
              </w:rPr>
              <w:fldChar w:fldCharType="end"/>
            </w:r>
            <w:r>
              <w:rPr>
                <w:sz w:val="24"/>
              </w:rPr>
              <w:t>、</w:t>
            </w:r>
            <w:r>
              <w:fldChar w:fldCharType="begin"/>
            </w:r>
            <w:r>
              <w:instrText xml:space="preserve"> HYPERLINK "https://baike.baidu.com/item/%E7%AE%A1%E6%9D%90/3742069" \t "_blank" </w:instrText>
            </w:r>
            <w:r>
              <w:fldChar w:fldCharType="separate"/>
            </w:r>
            <w:r>
              <w:rPr>
                <w:sz w:val="24"/>
              </w:rPr>
              <w:t>管材</w:t>
            </w:r>
            <w:r>
              <w:rPr>
                <w:sz w:val="24"/>
              </w:rPr>
              <w:fldChar w:fldCharType="end"/>
            </w:r>
            <w:r>
              <w:rPr>
                <w:sz w:val="24"/>
              </w:rPr>
              <w:t>和型材等施加外力，使之产生塑性变形或分离，从而获得所需形状和尺寸的</w:t>
            </w:r>
            <w:r>
              <w:fldChar w:fldCharType="begin"/>
            </w:r>
            <w:r>
              <w:instrText xml:space="preserve"> HYPERLINK "https://baike.baidu.com/item/%E5%B7%A5%E4%BB%B6/976341" \t "_blank" </w:instrText>
            </w:r>
            <w:r>
              <w:fldChar w:fldCharType="separate"/>
            </w:r>
            <w:r>
              <w:rPr>
                <w:sz w:val="24"/>
              </w:rPr>
              <w:t>工件</w:t>
            </w:r>
            <w:r>
              <w:rPr>
                <w:sz w:val="24"/>
              </w:rPr>
              <w:fldChar w:fldCharType="end"/>
            </w:r>
            <w:r>
              <w:rPr>
                <w:sz w:val="24"/>
              </w:rPr>
              <w:t>（冲压件）的成形加工方法</w:t>
            </w:r>
            <w:r>
              <w:rPr>
                <w:rFonts w:hint="eastAsia"/>
                <w:sz w:val="24"/>
              </w:rPr>
              <w:t>；冲压油循环使用，定期添加</w:t>
            </w:r>
            <w:r>
              <w:rPr>
                <w:rFonts w:hint="eastAsia"/>
                <w:sz w:val="24"/>
                <w:lang w:eastAsia="zh-CN"/>
              </w:rPr>
              <w:t>，</w:t>
            </w:r>
            <w:r>
              <w:rPr>
                <w:rFonts w:hint="eastAsia"/>
                <w:sz w:val="24"/>
              </w:rPr>
              <w:t>部分</w:t>
            </w:r>
            <w:r>
              <w:rPr>
                <w:rFonts w:hint="eastAsia"/>
                <w:sz w:val="24"/>
                <w:lang w:eastAsia="zh-CN"/>
              </w:rPr>
              <w:t>粘于产品表面，随产品一并损耗</w:t>
            </w:r>
            <w:r>
              <w:rPr>
                <w:rFonts w:hint="eastAsia"/>
                <w:sz w:val="24"/>
              </w:rPr>
              <w:t>。该过程会产生边角料（</w:t>
            </w:r>
            <w:r>
              <w:rPr>
                <w:rFonts w:hint="eastAsia"/>
                <w:sz w:val="24"/>
                <w:lang w:eastAsia="zh-CN"/>
              </w:rPr>
              <w:t>S2</w:t>
            </w:r>
            <w:r>
              <w:rPr>
                <w:rFonts w:hint="eastAsia"/>
                <w:sz w:val="24"/>
              </w:rPr>
              <w:t>-2）</w:t>
            </w:r>
            <w:r>
              <w:rPr>
                <w:rFonts w:hint="eastAsia"/>
                <w:sz w:val="24"/>
                <w:lang w:eastAsia="zh-CN"/>
              </w:rPr>
              <w:t>和废冲压油（</w:t>
            </w:r>
            <w:r>
              <w:rPr>
                <w:rFonts w:hint="eastAsia"/>
                <w:sz w:val="24"/>
                <w:lang w:val="en-US" w:eastAsia="zh-CN"/>
              </w:rPr>
              <w:t>S2-3</w:t>
            </w:r>
            <w:r>
              <w:rPr>
                <w:rFonts w:hint="eastAsia"/>
                <w:sz w:val="24"/>
                <w:lang w:eastAsia="zh-CN"/>
              </w:rPr>
              <w:t>）</w:t>
            </w:r>
            <w:r>
              <w:rPr>
                <w:rFonts w:hint="eastAsia"/>
                <w:sz w:val="24"/>
              </w:rPr>
              <w:t>；</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机加工：</w:t>
            </w:r>
            <w:r>
              <w:rPr>
                <w:rFonts w:hint="eastAsia"/>
                <w:sz w:val="24"/>
              </w:rPr>
              <w:t>冲压后的半成品机壳根据客户需求采用铣床、磨床、车床、摇臂钻床、液压机等设备进行铣加工、磨加工、车加工、钻孔、液压等机加工处理</w:t>
            </w:r>
            <w:r>
              <w:rPr>
                <w:rFonts w:hint="eastAsia"/>
                <w:sz w:val="24"/>
                <w:lang w:eastAsia="zh-CN"/>
              </w:rPr>
              <w:t>；其中</w:t>
            </w:r>
            <w:r>
              <w:rPr>
                <w:rFonts w:hint="eastAsia"/>
                <w:sz w:val="24"/>
              </w:rPr>
              <w:t>液压过程中需使用液压油，以起到</w:t>
            </w:r>
            <w:r>
              <w:rPr>
                <w:sz w:val="24"/>
              </w:rPr>
              <w:t>能量传递、抗磨、系统润滑、防腐、防锈、冷却等作用</w:t>
            </w:r>
            <w:r>
              <w:rPr>
                <w:rFonts w:hint="eastAsia"/>
                <w:sz w:val="24"/>
              </w:rPr>
              <w:t>，液压油循环使用，</w:t>
            </w:r>
            <w:r>
              <w:rPr>
                <w:sz w:val="24"/>
              </w:rPr>
              <w:t>使用过程中，部分蒸发损耗，需定期添加，且每</w:t>
            </w:r>
            <w:r>
              <w:rPr>
                <w:rFonts w:hint="eastAsia"/>
                <w:sz w:val="24"/>
                <w:lang w:eastAsia="zh-CN"/>
              </w:rPr>
              <w:t>两</w:t>
            </w:r>
            <w:r>
              <w:rPr>
                <w:sz w:val="24"/>
              </w:rPr>
              <w:t>年更换一次</w:t>
            </w:r>
            <w:r>
              <w:rPr>
                <w:rFonts w:hint="eastAsia"/>
                <w:sz w:val="24"/>
              </w:rPr>
              <w:t>；铣加工、磨加工、车</w:t>
            </w:r>
            <w:r>
              <w:rPr>
                <w:sz w:val="24"/>
              </w:rPr>
              <w:t>加工过程中</w:t>
            </w:r>
            <w:r>
              <w:rPr>
                <w:rFonts w:hint="eastAsia"/>
                <w:sz w:val="24"/>
              </w:rPr>
              <w:t>需</w:t>
            </w:r>
            <w:r>
              <w:rPr>
                <w:sz w:val="24"/>
              </w:rPr>
              <w:t>使用</w:t>
            </w:r>
            <w:r>
              <w:rPr>
                <w:rFonts w:hint="eastAsia"/>
                <w:sz w:val="24"/>
              </w:rPr>
              <w:t>切削</w:t>
            </w:r>
            <w:r>
              <w:rPr>
                <w:rFonts w:hint="eastAsia"/>
                <w:sz w:val="24"/>
                <w:lang w:eastAsia="zh-CN"/>
              </w:rPr>
              <w:t>油</w:t>
            </w:r>
            <w:r>
              <w:rPr>
                <w:rFonts w:hint="eastAsia"/>
                <w:sz w:val="24"/>
              </w:rPr>
              <w:t>，以</w:t>
            </w:r>
            <w:r>
              <w:rPr>
                <w:sz w:val="24"/>
              </w:rPr>
              <w:t>起到降温、润滑及清洁的作用，切削</w:t>
            </w:r>
            <w:r>
              <w:rPr>
                <w:rFonts w:hint="eastAsia"/>
                <w:sz w:val="24"/>
                <w:lang w:eastAsia="zh-CN"/>
              </w:rPr>
              <w:t>油</w:t>
            </w:r>
            <w:r>
              <w:rPr>
                <w:sz w:val="24"/>
              </w:rPr>
              <w:t>循环使用，使用过程中，部分蒸发损耗，需定期添加，且每年更换一次。此工序产生</w:t>
            </w:r>
            <w:r>
              <w:rPr>
                <w:rFonts w:hint="eastAsia"/>
                <w:sz w:val="24"/>
              </w:rPr>
              <w:t>边角料</w:t>
            </w:r>
            <w:r>
              <w:rPr>
                <w:sz w:val="24"/>
              </w:rPr>
              <w:t>（</w:t>
            </w:r>
            <w:r>
              <w:rPr>
                <w:rFonts w:hint="eastAsia"/>
                <w:sz w:val="24"/>
                <w:lang w:eastAsia="zh-CN"/>
              </w:rPr>
              <w:t>S2</w:t>
            </w:r>
            <w:r>
              <w:rPr>
                <w:rFonts w:hint="eastAsia"/>
                <w:sz w:val="24"/>
              </w:rPr>
              <w:t>-</w:t>
            </w:r>
            <w:r>
              <w:rPr>
                <w:rFonts w:hint="eastAsia"/>
                <w:sz w:val="24"/>
                <w:lang w:val="en-US" w:eastAsia="zh-CN"/>
              </w:rPr>
              <w:t>4</w:t>
            </w:r>
            <w:r>
              <w:rPr>
                <w:sz w:val="24"/>
              </w:rPr>
              <w:t>）</w:t>
            </w:r>
            <w:r>
              <w:rPr>
                <w:rFonts w:hint="eastAsia"/>
                <w:sz w:val="24"/>
              </w:rPr>
              <w:t>、废液压油（</w:t>
            </w:r>
            <w:r>
              <w:rPr>
                <w:rFonts w:hint="eastAsia"/>
                <w:sz w:val="24"/>
                <w:lang w:eastAsia="zh-CN"/>
              </w:rPr>
              <w:t>S2</w:t>
            </w:r>
            <w:r>
              <w:rPr>
                <w:rFonts w:hint="eastAsia"/>
                <w:sz w:val="24"/>
              </w:rPr>
              <w:t>-</w:t>
            </w:r>
            <w:r>
              <w:rPr>
                <w:rFonts w:hint="eastAsia"/>
                <w:sz w:val="24"/>
                <w:lang w:val="en-US" w:eastAsia="zh-CN"/>
              </w:rPr>
              <w:t>5</w:t>
            </w:r>
            <w:r>
              <w:rPr>
                <w:rFonts w:hint="eastAsia"/>
                <w:sz w:val="24"/>
              </w:rPr>
              <w:t>）</w:t>
            </w:r>
            <w:r>
              <w:rPr>
                <w:sz w:val="24"/>
              </w:rPr>
              <w:t>和废</w:t>
            </w:r>
            <w:r>
              <w:rPr>
                <w:rFonts w:hint="eastAsia"/>
                <w:sz w:val="24"/>
                <w:lang w:eastAsia="zh-CN"/>
              </w:rPr>
              <w:t>切削油</w:t>
            </w:r>
            <w:r>
              <w:rPr>
                <w:sz w:val="24"/>
              </w:rPr>
              <w:t>（</w:t>
            </w:r>
            <w:r>
              <w:rPr>
                <w:rFonts w:hint="eastAsia"/>
                <w:sz w:val="24"/>
                <w:lang w:eastAsia="zh-CN"/>
              </w:rPr>
              <w:t>S2</w:t>
            </w:r>
            <w:r>
              <w:rPr>
                <w:rFonts w:hint="eastAsia"/>
                <w:sz w:val="24"/>
              </w:rPr>
              <w:t>-</w:t>
            </w:r>
            <w:r>
              <w:rPr>
                <w:rFonts w:hint="eastAsia"/>
                <w:sz w:val="24"/>
                <w:lang w:val="en-US" w:eastAsia="zh-CN"/>
              </w:rPr>
              <w:t>6</w:t>
            </w:r>
            <w:r>
              <w:rPr>
                <w:sz w:val="24"/>
              </w:rPr>
              <w:t>）。</w:t>
            </w:r>
            <w:r>
              <w:rPr>
                <w:rFonts w:hint="eastAsia"/>
                <w:sz w:val="24"/>
                <w:lang w:eastAsia="zh-CN"/>
              </w:rPr>
              <w:t>机加工</w:t>
            </w:r>
            <w:r>
              <w:rPr>
                <w:sz w:val="24"/>
              </w:rPr>
              <w:t>过程中，</w:t>
            </w:r>
            <w:r>
              <w:rPr>
                <w:rFonts w:hint="eastAsia"/>
                <w:sz w:val="24"/>
                <w:lang w:eastAsia="zh-CN"/>
              </w:rPr>
              <w:t>切削油、液压油</w:t>
            </w:r>
            <w:r>
              <w:rPr>
                <w:sz w:val="24"/>
              </w:rPr>
              <w:t>会挥发出少量的有机废气，由于原料用料少，挥发的有机废气</w:t>
            </w:r>
            <w:r>
              <w:rPr>
                <w:rFonts w:hint="eastAsia"/>
                <w:sz w:val="24"/>
              </w:rPr>
              <w:t>可忽略不计，本环评不做定量分析</w:t>
            </w:r>
            <w:r>
              <w:rPr>
                <w:sz w:val="24"/>
              </w:rPr>
              <w:t>。</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攻丝加工：</w:t>
            </w:r>
            <w:r>
              <w:rPr>
                <w:rFonts w:hint="eastAsia"/>
                <w:sz w:val="24"/>
              </w:rPr>
              <w:t>机加工后的半成品需采用攻丝机进行攻丝加工处理，</w:t>
            </w:r>
            <w:r>
              <w:rPr>
                <w:sz w:val="24"/>
              </w:rPr>
              <w:t>攻丝指的是用一定的扭矩将丝锥旋入要钻的底孔中加工出内螺纹</w:t>
            </w:r>
            <w:r>
              <w:rPr>
                <w:rFonts w:hint="eastAsia"/>
                <w:sz w:val="24"/>
              </w:rPr>
              <w:t>，</w:t>
            </w:r>
            <w:r>
              <w:rPr>
                <w:sz w:val="24"/>
              </w:rPr>
              <w:t>加工过程中</w:t>
            </w:r>
            <w:r>
              <w:rPr>
                <w:rFonts w:hint="eastAsia"/>
                <w:sz w:val="24"/>
              </w:rPr>
              <w:t>需</w:t>
            </w:r>
            <w:r>
              <w:rPr>
                <w:sz w:val="24"/>
              </w:rPr>
              <w:t>使用</w:t>
            </w:r>
            <w:r>
              <w:rPr>
                <w:rFonts w:hint="eastAsia"/>
                <w:sz w:val="24"/>
                <w:highlight w:val="none"/>
                <w:lang w:eastAsia="zh-CN"/>
              </w:rPr>
              <w:t>切削油</w:t>
            </w:r>
            <w:r>
              <w:rPr>
                <w:rFonts w:hint="eastAsia"/>
                <w:sz w:val="24"/>
              </w:rPr>
              <w:t>，以</w:t>
            </w:r>
            <w:r>
              <w:rPr>
                <w:sz w:val="24"/>
              </w:rPr>
              <w:t>起到降温、润滑及清洁的作用，</w:t>
            </w:r>
            <w:r>
              <w:rPr>
                <w:rFonts w:hint="eastAsia"/>
                <w:sz w:val="24"/>
                <w:lang w:eastAsia="zh-CN"/>
              </w:rPr>
              <w:t>切削油</w:t>
            </w:r>
            <w:r>
              <w:rPr>
                <w:sz w:val="24"/>
              </w:rPr>
              <w:t>循环使用，使用过程中，部分蒸发损耗，需定期添加，且每年更换一次。此工序产生</w:t>
            </w:r>
            <w:r>
              <w:rPr>
                <w:rFonts w:hint="eastAsia"/>
                <w:sz w:val="24"/>
              </w:rPr>
              <w:t>边角料</w:t>
            </w:r>
            <w:r>
              <w:rPr>
                <w:sz w:val="24"/>
              </w:rPr>
              <w:t>（</w:t>
            </w:r>
            <w:r>
              <w:rPr>
                <w:rFonts w:hint="eastAsia"/>
                <w:sz w:val="24"/>
                <w:lang w:eastAsia="zh-CN"/>
              </w:rPr>
              <w:t>S2</w:t>
            </w:r>
            <w:r>
              <w:rPr>
                <w:rFonts w:hint="eastAsia"/>
                <w:sz w:val="24"/>
              </w:rPr>
              <w:t>-</w:t>
            </w:r>
            <w:r>
              <w:rPr>
                <w:rFonts w:hint="eastAsia"/>
                <w:sz w:val="24"/>
                <w:lang w:val="en-US" w:eastAsia="zh-CN"/>
              </w:rPr>
              <w:t>7</w:t>
            </w:r>
            <w:r>
              <w:rPr>
                <w:sz w:val="24"/>
              </w:rPr>
              <w:t>）和废</w:t>
            </w:r>
            <w:r>
              <w:rPr>
                <w:rFonts w:hint="eastAsia"/>
                <w:sz w:val="24"/>
                <w:lang w:eastAsia="zh-CN"/>
              </w:rPr>
              <w:t>切削油</w:t>
            </w:r>
            <w:r>
              <w:rPr>
                <w:sz w:val="24"/>
              </w:rPr>
              <w:t>（</w:t>
            </w:r>
            <w:r>
              <w:rPr>
                <w:rFonts w:hint="eastAsia"/>
                <w:sz w:val="24"/>
                <w:lang w:eastAsia="zh-CN"/>
              </w:rPr>
              <w:t>S2</w:t>
            </w:r>
            <w:r>
              <w:rPr>
                <w:rFonts w:hint="eastAsia"/>
                <w:sz w:val="24"/>
              </w:rPr>
              <w:t>-</w:t>
            </w:r>
            <w:r>
              <w:rPr>
                <w:rFonts w:hint="eastAsia"/>
                <w:sz w:val="24"/>
                <w:lang w:val="en-US" w:eastAsia="zh-CN"/>
              </w:rPr>
              <w:t>8</w:t>
            </w:r>
            <w:r>
              <w:rPr>
                <w:sz w:val="24"/>
              </w:rPr>
              <w:t>）。</w:t>
            </w:r>
            <w:r>
              <w:rPr>
                <w:rFonts w:hint="eastAsia"/>
                <w:sz w:val="24"/>
                <w:lang w:eastAsia="zh-CN"/>
              </w:rPr>
              <w:t>攻丝</w:t>
            </w:r>
            <w:r>
              <w:rPr>
                <w:rFonts w:hint="eastAsia"/>
                <w:sz w:val="24"/>
              </w:rPr>
              <w:t>加工</w:t>
            </w:r>
            <w:r>
              <w:rPr>
                <w:sz w:val="24"/>
              </w:rPr>
              <w:t>过程中，</w:t>
            </w:r>
            <w:r>
              <w:rPr>
                <w:rFonts w:hint="eastAsia"/>
                <w:sz w:val="24"/>
                <w:lang w:eastAsia="zh-CN"/>
              </w:rPr>
              <w:t>切削油</w:t>
            </w:r>
            <w:r>
              <w:rPr>
                <w:sz w:val="24"/>
              </w:rPr>
              <w:t>会挥发出少量的有机废气，由于原料用料少，挥发的有机废气</w:t>
            </w:r>
            <w:r>
              <w:rPr>
                <w:rFonts w:hint="eastAsia"/>
                <w:sz w:val="24"/>
              </w:rPr>
              <w:t>可忽略不计，本环评不做定量分析</w:t>
            </w:r>
            <w:r>
              <w:rPr>
                <w:sz w:val="24"/>
              </w:rPr>
              <w:t>。</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清洗：</w:t>
            </w:r>
            <w:r>
              <w:rPr>
                <w:rFonts w:hint="eastAsia"/>
                <w:sz w:val="24"/>
              </w:rPr>
              <w:t>攻丝加工后的半成品委外进行清洗处理。</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涂抹防锈油：</w:t>
            </w:r>
            <w:r>
              <w:rPr>
                <w:rFonts w:hint="eastAsia"/>
                <w:sz w:val="24"/>
              </w:rPr>
              <w:t>委外清洗后的机壳，需涂抹防锈油，以起到</w:t>
            </w:r>
            <w:r>
              <w:rPr>
                <w:sz w:val="24"/>
              </w:rPr>
              <w:t>防锈</w:t>
            </w:r>
            <w:r>
              <w:rPr>
                <w:rFonts w:hint="eastAsia"/>
                <w:sz w:val="24"/>
              </w:rPr>
              <w:t>的</w:t>
            </w:r>
            <w:r>
              <w:rPr>
                <w:sz w:val="24"/>
              </w:rPr>
              <w:t>作用</w:t>
            </w:r>
            <w:r>
              <w:rPr>
                <w:rFonts w:hint="eastAsia"/>
                <w:sz w:val="24"/>
                <w:lang w:eastAsia="zh-CN"/>
              </w:rPr>
              <w:t>，本项目所用防锈油属于重油，不易挥发，随产品一并损耗</w:t>
            </w:r>
            <w:r>
              <w:rPr>
                <w:rFonts w:hint="eastAsia"/>
                <w:sz w:val="24"/>
              </w:rPr>
              <w:t>。</w:t>
            </w:r>
          </w:p>
          <w:p>
            <w:pPr>
              <w:keepNext w:val="0"/>
              <w:keepLines w:val="0"/>
              <w:suppressLineNumbers w:val="0"/>
              <w:autoSpaceDE w:val="0"/>
              <w:spacing w:before="0" w:beforeAutospacing="0" w:after="0" w:afterAutospacing="0" w:line="360" w:lineRule="auto"/>
              <w:ind w:left="0" w:right="0" w:firstLine="482" w:firstLineChars="200"/>
              <w:rPr>
                <w:sz w:val="24"/>
              </w:rPr>
            </w:pPr>
            <w:r>
              <w:rPr>
                <w:rFonts w:hint="eastAsia"/>
                <w:b/>
                <w:sz w:val="24"/>
              </w:rPr>
              <w:t>检验：</w:t>
            </w:r>
            <w:r>
              <w:rPr>
                <w:rFonts w:hint="eastAsia"/>
                <w:sz w:val="24"/>
              </w:rPr>
              <w:t>涂抹防锈油后的机壳需进行人工检验，对检验合格的产品即为成品。此工序产生不合格品（</w:t>
            </w:r>
            <w:r>
              <w:rPr>
                <w:rFonts w:hint="eastAsia"/>
                <w:sz w:val="24"/>
                <w:lang w:eastAsia="zh-CN"/>
              </w:rPr>
              <w:t>S2</w:t>
            </w:r>
            <w:r>
              <w:rPr>
                <w:rFonts w:hint="eastAsia"/>
                <w:sz w:val="24"/>
              </w:rPr>
              <w:t>-</w:t>
            </w:r>
            <w:r>
              <w:rPr>
                <w:rFonts w:hint="eastAsia"/>
                <w:sz w:val="24"/>
                <w:lang w:val="en-US" w:eastAsia="zh-CN"/>
              </w:rPr>
              <w:t>9</w:t>
            </w:r>
            <w:r>
              <w:rPr>
                <w:rFonts w:hint="eastAsia"/>
                <w:sz w:val="24"/>
              </w:rPr>
              <w:t>）。</w:t>
            </w: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keepNext w:val="0"/>
              <w:keepLines w:val="0"/>
              <w:suppressLineNumbers w:val="0"/>
              <w:adjustRightInd w:val="0"/>
              <w:snapToGrid w:val="0"/>
              <w:spacing w:before="0" w:beforeAutospacing="0" w:after="0" w:afterAutospacing="0"/>
              <w:ind w:left="0" w:right="0" w:firstLine="482" w:firstLineChars="200"/>
              <w:jc w:val="center"/>
              <w:rPr>
                <w:rFonts w:hAnsi="宋体"/>
                <w:b/>
                <w:bCs/>
                <w:sz w:val="24"/>
              </w:rPr>
            </w:pPr>
          </w:p>
          <w:p>
            <w:pPr>
              <w:pStyle w:val="2"/>
              <w:keepNext w:val="0"/>
              <w:keepLines w:val="0"/>
              <w:suppressLineNumbers w:val="0"/>
              <w:spacing w:before="0" w:beforeAutospacing="0" w:afterAutospacing="0"/>
            </w:pPr>
          </w:p>
          <w:p>
            <w:pPr>
              <w:keepNext w:val="0"/>
              <w:keepLines w:val="0"/>
              <w:suppressLineNumbers w:val="0"/>
              <w:adjustRightInd w:val="0"/>
              <w:snapToGrid w:val="0"/>
              <w:spacing w:before="0" w:beforeAutospacing="0" w:after="0" w:afterAutospacing="0"/>
              <w:ind w:left="0" w:right="0" w:firstLine="482" w:firstLineChars="200"/>
              <w:jc w:val="center"/>
              <w:rPr>
                <w:sz w:val="24"/>
              </w:rPr>
            </w:pPr>
            <w:r>
              <w:rPr>
                <w:rFonts w:hAnsi="宋体"/>
                <w:b/>
                <w:bCs/>
                <w:sz w:val="24"/>
              </w:rPr>
              <w:t>表</w:t>
            </w:r>
            <w:r>
              <w:rPr>
                <w:b/>
                <w:bCs/>
                <w:sz w:val="24"/>
              </w:rPr>
              <w:t xml:space="preserve">2-7 </w:t>
            </w:r>
            <w:r>
              <w:rPr>
                <w:rFonts w:hAnsi="宋体"/>
                <w:b/>
                <w:bCs/>
                <w:sz w:val="24"/>
              </w:rPr>
              <w:t>全厂</w:t>
            </w:r>
            <w:r>
              <w:rPr>
                <w:b/>
                <w:bCs/>
                <w:sz w:val="24"/>
              </w:rPr>
              <w:t>VOCs</w:t>
            </w:r>
            <w:r>
              <w:rPr>
                <w:rFonts w:hAnsi="宋体"/>
                <w:b/>
                <w:bCs/>
                <w:sz w:val="24"/>
              </w:rPr>
              <w:t>平衡表（单位：</w:t>
            </w:r>
            <w:r>
              <w:rPr>
                <w:b/>
                <w:bCs/>
                <w:sz w:val="24"/>
              </w:rPr>
              <w:t>t/a</w:t>
            </w:r>
            <w:r>
              <w:rPr>
                <w:rFonts w:hAnsi="宋体"/>
                <w:b/>
                <w:bCs/>
                <w:sz w:val="24"/>
              </w:rPr>
              <w:t>）</w:t>
            </w:r>
          </w:p>
          <w:tbl>
            <w:tblPr>
              <w:tblStyle w:val="21"/>
              <w:tblW w:w="82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78"/>
              <w:gridCol w:w="1850"/>
              <w:gridCol w:w="1784"/>
              <w:gridCol w:w="31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25" w:type="dxa"/>
                  <w:gridSpan w:val="2"/>
                  <w:vMerge w:val="restart"/>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b/>
                      <w:bCs/>
                      <w:sz w:val="21"/>
                      <w:szCs w:val="21"/>
                    </w:rPr>
                  </w:pPr>
                  <w:r>
                    <w:rPr>
                      <w:rFonts w:ascii="Times New Roman" w:hAnsi="宋体"/>
                      <w:b/>
                      <w:bCs/>
                      <w:sz w:val="21"/>
                      <w:szCs w:val="21"/>
                    </w:rPr>
                    <w:t>产生工段及产生量</w:t>
                  </w:r>
                </w:p>
              </w:tc>
              <w:tc>
                <w:tcPr>
                  <w:tcW w:w="6754" w:type="dxa"/>
                  <w:gridSpan w:val="3"/>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宋体"/>
                      <w:b/>
                      <w:bCs/>
                      <w:sz w:val="21"/>
                      <w:szCs w:val="21"/>
                    </w:rPr>
                  </w:pPr>
                  <w:r>
                    <w:rPr>
                      <w:rFonts w:ascii="Times New Roman" w:hAnsi="宋体"/>
                      <w:b/>
                      <w:bCs/>
                      <w:sz w:val="21"/>
                      <w:szCs w:val="21"/>
                    </w:rPr>
                    <w:t>出料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25" w:type="dxa"/>
                  <w:gridSpan w:val="2"/>
                  <w:vMerge w:val="continue"/>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宋体"/>
                      <w:b/>
                      <w:bCs/>
                      <w:sz w:val="21"/>
                      <w:szCs w:val="21"/>
                    </w:rPr>
                  </w:pPr>
                </w:p>
              </w:tc>
              <w:tc>
                <w:tcPr>
                  <w:tcW w:w="3634" w:type="dxa"/>
                  <w:gridSpan w:val="2"/>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eastAsia" w:ascii="Times New Roman" w:hAnsi="宋体" w:eastAsia="宋体"/>
                      <w:b/>
                      <w:bCs/>
                      <w:sz w:val="21"/>
                      <w:szCs w:val="21"/>
                      <w:lang w:eastAsia="zh-CN"/>
                    </w:rPr>
                  </w:pPr>
                  <w:r>
                    <w:rPr>
                      <w:rFonts w:hint="eastAsia" w:ascii="Times New Roman" w:hAnsi="宋体"/>
                      <w:b/>
                      <w:bCs/>
                      <w:sz w:val="21"/>
                      <w:szCs w:val="21"/>
                      <w:lang w:eastAsia="zh-CN"/>
                    </w:rPr>
                    <w:t>废气</w:t>
                  </w:r>
                </w:p>
              </w:tc>
              <w:tc>
                <w:tcPr>
                  <w:tcW w:w="312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eastAsia" w:ascii="Times New Roman" w:hAnsi="宋体" w:eastAsia="宋体"/>
                      <w:b/>
                      <w:bCs/>
                      <w:sz w:val="21"/>
                      <w:szCs w:val="21"/>
                      <w:lang w:eastAsia="zh-CN"/>
                    </w:rPr>
                  </w:pPr>
                  <w:r>
                    <w:rPr>
                      <w:rFonts w:hint="eastAsia" w:ascii="Times New Roman" w:hAnsi="宋体"/>
                      <w:b/>
                      <w:bCs/>
                      <w:sz w:val="21"/>
                      <w:szCs w:val="21"/>
                      <w:lang w:eastAsia="zh-CN"/>
                    </w:rPr>
                    <w:t>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25" w:type="dxa"/>
                  <w:gridSpan w:val="2"/>
                  <w:vMerge w:val="continue"/>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b/>
                      <w:bCs/>
                      <w:sz w:val="21"/>
                      <w:szCs w:val="21"/>
                    </w:rPr>
                  </w:pPr>
                </w:p>
              </w:tc>
              <w:tc>
                <w:tcPr>
                  <w:tcW w:w="185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b/>
                      <w:bCs/>
                      <w:sz w:val="21"/>
                      <w:szCs w:val="21"/>
                    </w:rPr>
                  </w:pPr>
                  <w:r>
                    <w:rPr>
                      <w:rFonts w:ascii="Times New Roman" w:hAnsi="宋体"/>
                      <w:b/>
                      <w:bCs/>
                      <w:sz w:val="21"/>
                      <w:szCs w:val="21"/>
                    </w:rPr>
                    <w:t>有组织废气</w:t>
                  </w:r>
                </w:p>
              </w:tc>
              <w:tc>
                <w:tcPr>
                  <w:tcW w:w="1784"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b/>
                      <w:bCs/>
                      <w:sz w:val="21"/>
                      <w:szCs w:val="21"/>
                    </w:rPr>
                  </w:pPr>
                  <w:r>
                    <w:rPr>
                      <w:rFonts w:ascii="Times New Roman" w:hAnsi="宋体"/>
                      <w:b/>
                      <w:bCs/>
                      <w:sz w:val="21"/>
                      <w:szCs w:val="21"/>
                    </w:rPr>
                    <w:t>无组织废气</w:t>
                  </w:r>
                </w:p>
              </w:tc>
              <w:tc>
                <w:tcPr>
                  <w:tcW w:w="312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宋体"/>
                      <w:b/>
                      <w:bCs/>
                      <w:sz w:val="21"/>
                      <w:szCs w:val="21"/>
                    </w:rPr>
                  </w:pPr>
                  <w:r>
                    <w:rPr>
                      <w:rFonts w:hint="eastAsia" w:ascii="Times New Roman" w:hAnsi="宋体"/>
                      <w:b/>
                      <w:bCs/>
                      <w:sz w:val="21"/>
                      <w:szCs w:val="21"/>
                      <w:lang w:eastAsia="zh-CN"/>
                    </w:rPr>
                    <w:t>二级</w:t>
                  </w:r>
                  <w:r>
                    <w:rPr>
                      <w:rFonts w:ascii="Times New Roman" w:hAnsi="宋体"/>
                      <w:b/>
                      <w:bCs/>
                      <w:sz w:val="21"/>
                      <w:szCs w:val="21"/>
                    </w:rPr>
                    <w:t>活性炭吸附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525" w:type="dxa"/>
                  <w:gridSpan w:val="2"/>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宋体"/>
                      <w:sz w:val="21"/>
                      <w:szCs w:val="21"/>
                    </w:rPr>
                    <w:t>固化</w:t>
                  </w:r>
                  <w:r>
                    <w:rPr>
                      <w:rFonts w:ascii="Times New Roman" w:hAnsi="宋体"/>
                      <w:sz w:val="21"/>
                      <w:szCs w:val="21"/>
                    </w:rPr>
                    <w:t>工段</w:t>
                  </w:r>
                  <w:r>
                    <w:rPr>
                      <w:rFonts w:ascii="Times New Roman" w:hAnsi="Times New Roman"/>
                      <w:sz w:val="21"/>
                      <w:szCs w:val="21"/>
                    </w:rPr>
                    <w:t>0.</w:t>
                  </w:r>
                  <w:r>
                    <w:rPr>
                      <w:rFonts w:hint="eastAsia" w:ascii="Times New Roman" w:hAnsi="Times New Roman"/>
                      <w:sz w:val="21"/>
                      <w:szCs w:val="21"/>
                      <w:lang w:val="en-US" w:eastAsia="zh-CN"/>
                    </w:rPr>
                    <w:t>6</w:t>
                  </w:r>
                </w:p>
              </w:tc>
              <w:tc>
                <w:tcPr>
                  <w:tcW w:w="185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0.108</w:t>
                  </w:r>
                </w:p>
              </w:tc>
              <w:tc>
                <w:tcPr>
                  <w:tcW w:w="1784"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0.06</w:t>
                  </w:r>
                </w:p>
              </w:tc>
              <w:tc>
                <w:tcPr>
                  <w:tcW w:w="312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0.432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25" w:type="dxa"/>
                  <w:gridSpan w:val="2"/>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宋体"/>
                      <w:sz w:val="21"/>
                      <w:szCs w:val="21"/>
                    </w:rPr>
                    <w:t>注塑成型</w:t>
                  </w:r>
                  <w:r>
                    <w:rPr>
                      <w:rFonts w:ascii="Times New Roman" w:hAnsi="宋体"/>
                      <w:sz w:val="21"/>
                      <w:szCs w:val="21"/>
                    </w:rPr>
                    <w:t>工段</w:t>
                  </w:r>
                  <w:r>
                    <w:rPr>
                      <w:rFonts w:hint="eastAsia" w:ascii="Times New Roman" w:hAnsi="Times New Roman"/>
                      <w:sz w:val="21"/>
                      <w:szCs w:val="21"/>
                    </w:rPr>
                    <w:t>0.0</w:t>
                  </w:r>
                  <w:r>
                    <w:rPr>
                      <w:rFonts w:hint="eastAsia" w:ascii="Times New Roman" w:hAnsi="Times New Roman"/>
                      <w:sz w:val="21"/>
                      <w:szCs w:val="21"/>
                      <w:lang w:val="en-US" w:eastAsia="zh-CN"/>
                    </w:rPr>
                    <w:t>18</w:t>
                  </w:r>
                </w:p>
              </w:tc>
              <w:tc>
                <w:tcPr>
                  <w:tcW w:w="185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0.003</w:t>
                  </w:r>
                </w:p>
              </w:tc>
              <w:tc>
                <w:tcPr>
                  <w:tcW w:w="1784"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0.0018</w:t>
                  </w:r>
                </w:p>
              </w:tc>
              <w:tc>
                <w:tcPr>
                  <w:tcW w:w="312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0.0132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7" w:type="dxa"/>
                  <w:vMerge w:val="restart"/>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sz w:val="21"/>
                      <w:szCs w:val="21"/>
                    </w:rPr>
                  </w:pPr>
                  <w:r>
                    <w:rPr>
                      <w:rFonts w:ascii="Times New Roman" w:hAnsi="宋体"/>
                      <w:sz w:val="21"/>
                      <w:szCs w:val="21"/>
                    </w:rPr>
                    <w:t>合计</w:t>
                  </w:r>
                </w:p>
              </w:tc>
              <w:tc>
                <w:tcPr>
                  <w:tcW w:w="778" w:type="dxa"/>
                  <w:vMerge w:val="restart"/>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rPr>
                    <w:t>0.</w:t>
                  </w:r>
                  <w:r>
                    <w:rPr>
                      <w:rFonts w:hint="eastAsia" w:ascii="Times New Roman" w:hAnsi="Times New Roman"/>
                      <w:sz w:val="21"/>
                      <w:szCs w:val="21"/>
                      <w:lang w:val="en-US" w:eastAsia="zh-CN"/>
                    </w:rPr>
                    <w:t>618</w:t>
                  </w:r>
                </w:p>
              </w:tc>
              <w:tc>
                <w:tcPr>
                  <w:tcW w:w="185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0.111</w:t>
                  </w:r>
                </w:p>
              </w:tc>
              <w:tc>
                <w:tcPr>
                  <w:tcW w:w="1784"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0.0618</w:t>
                  </w:r>
                </w:p>
              </w:tc>
              <w:tc>
                <w:tcPr>
                  <w:tcW w:w="3120" w:type="dxa"/>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sz w:val="21"/>
                      <w:szCs w:val="21"/>
                      <w:lang w:val="en-US" w:eastAsia="zh-CN"/>
                    </w:rPr>
                  </w:pPr>
                  <w:r>
                    <w:rPr>
                      <w:rFonts w:hint="eastAsia" w:ascii="Times New Roman" w:hAnsi="Times New Roman"/>
                      <w:sz w:val="21"/>
                      <w:szCs w:val="21"/>
                      <w:lang w:val="en-US" w:eastAsia="zh-CN"/>
                    </w:rPr>
                    <w:t>0.4452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47" w:type="dxa"/>
                  <w:vMerge w:val="continue"/>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sz w:val="21"/>
                      <w:szCs w:val="21"/>
                    </w:rPr>
                  </w:pPr>
                </w:p>
              </w:tc>
              <w:tc>
                <w:tcPr>
                  <w:tcW w:w="778" w:type="dxa"/>
                  <w:vMerge w:val="continue"/>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ascii="Times New Roman" w:hAnsi="Times New Roman"/>
                      <w:sz w:val="21"/>
                      <w:szCs w:val="21"/>
                    </w:rPr>
                  </w:pPr>
                </w:p>
              </w:tc>
              <w:tc>
                <w:tcPr>
                  <w:tcW w:w="6754" w:type="dxa"/>
                  <w:gridSpan w:val="3"/>
                  <w:vAlign w:val="center"/>
                </w:tcPr>
                <w:p>
                  <w:pPr>
                    <w:pStyle w:val="50"/>
                    <w:keepNext w:val="0"/>
                    <w:keepLines w:val="0"/>
                    <w:suppressLineNumbers w:val="0"/>
                    <w:adjustRightInd w:val="0"/>
                    <w:snapToGrid w:val="0"/>
                    <w:spacing w:before="0" w:beforeAutospacing="0" w:after="0" w:afterAutospacing="0" w:line="240" w:lineRule="auto"/>
                    <w:ind w:left="0" w:right="0"/>
                    <w:jc w:val="center"/>
                    <w:rPr>
                      <w:rFonts w:hint="default" w:ascii="Times New Roman" w:hAnsi="Times New Roman"/>
                      <w:sz w:val="21"/>
                      <w:szCs w:val="21"/>
                      <w:lang w:val="en-US"/>
                    </w:rPr>
                  </w:pPr>
                  <w:r>
                    <w:rPr>
                      <w:rFonts w:hint="eastAsia" w:ascii="Times New Roman" w:hAnsi="Times New Roman"/>
                      <w:sz w:val="21"/>
                      <w:szCs w:val="21"/>
                    </w:rPr>
                    <w:t>0.</w:t>
                  </w:r>
                  <w:r>
                    <w:rPr>
                      <w:rFonts w:hint="eastAsia" w:ascii="Times New Roman" w:hAnsi="Times New Roman"/>
                      <w:sz w:val="21"/>
                      <w:szCs w:val="21"/>
                      <w:lang w:val="en-US" w:eastAsia="zh-CN"/>
                    </w:rPr>
                    <w:t>618</w:t>
                  </w:r>
                </w:p>
              </w:tc>
            </w:tr>
          </w:tbl>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eastAsia"/>
                <w:lang w:val="en-US" w:eastAsia="zh-CN"/>
              </w:rPr>
            </w:pPr>
          </w:p>
          <w:p>
            <w:pPr>
              <w:keepNext w:val="0"/>
              <w:keepLines w:val="0"/>
              <w:suppressLineNumbers w:val="0"/>
              <w:tabs>
                <w:tab w:val="left" w:pos="2039"/>
              </w:tabs>
              <w:spacing w:before="0" w:beforeAutospacing="0" w:after="0" w:afterAutospacing="0"/>
              <w:ind w:left="0" w:right="0"/>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392" w:type="dxa"/>
            <w:vAlign w:val="center"/>
          </w:tcPr>
          <w:p>
            <w:pPr>
              <w:pStyle w:val="18"/>
              <w:keepNext w:val="0"/>
              <w:keepLines w:val="0"/>
              <w:suppressLineNumbers w:val="0"/>
              <w:adjustRightInd w:val="0"/>
              <w:snapToGrid w:val="0"/>
              <w:spacing w:before="0" w:beforeAutospacing="0" w:after="0" w:afterAutospacing="0"/>
              <w:ind w:left="0" w:right="0"/>
              <w:jc w:val="center"/>
              <w:rPr>
                <w:rFonts w:cs="宋体"/>
                <w:sz w:val="21"/>
                <w:szCs w:val="21"/>
              </w:rPr>
            </w:pPr>
            <w:r>
              <w:rPr>
                <w:rFonts w:hint="eastAsia" w:cs="宋体"/>
                <w:bCs/>
                <w:kern w:val="2"/>
                <w:sz w:val="21"/>
                <w:szCs w:val="21"/>
              </w:rPr>
              <w:t>与项目有关的原有环境污染问题</w:t>
            </w:r>
          </w:p>
        </w:tc>
        <w:tc>
          <w:tcPr>
            <w:tcW w:w="8668" w:type="dxa"/>
          </w:tcPr>
          <w:p>
            <w:pPr>
              <w:pStyle w:val="12"/>
              <w:keepNext w:val="0"/>
              <w:keepLines w:val="0"/>
              <w:suppressLineNumbers w:val="0"/>
              <w:adjustRightInd w:val="0"/>
              <w:snapToGrid w:val="0"/>
              <w:spacing w:before="0" w:beforeAutospacing="0" w:after="0" w:afterAutospacing="0" w:line="360" w:lineRule="auto"/>
              <w:ind w:left="0" w:right="0" w:firstLine="482"/>
              <w:rPr>
                <w:rFonts w:ascii="Times New Roman" w:hAnsi="Times New Roman"/>
                <w:b/>
                <w:szCs w:val="24"/>
              </w:rPr>
            </w:pPr>
            <w:r>
              <w:rPr>
                <w:rFonts w:hint="eastAsia" w:ascii="Times New Roman" w:hAnsi="Times New Roman"/>
                <w:b/>
                <w:szCs w:val="24"/>
              </w:rPr>
              <w:t>一、公司原有环保手续履行情况</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
                <w:bCs/>
                <w:szCs w:val="21"/>
              </w:rPr>
            </w:pPr>
            <w:r>
              <w:rPr>
                <w:rFonts w:hint="eastAsia" w:ascii="Times New Roman" w:hAnsi="Times New Roman"/>
                <w:b/>
                <w:bCs/>
                <w:szCs w:val="21"/>
              </w:rPr>
              <w:t>1、公司原有环保手续情况</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ascii="Times New Roman" w:hAnsi="Times New Roman"/>
                <w:bCs w:val="0"/>
                <w:szCs w:val="21"/>
              </w:rPr>
              <w:t>企业成立于</w:t>
            </w:r>
            <w:r>
              <w:rPr>
                <w:rFonts w:ascii="Times New Roman" w:hAnsi="Times New Roman"/>
              </w:rPr>
              <w:t>2003年09月25日</w:t>
            </w:r>
            <w:r>
              <w:rPr>
                <w:rFonts w:ascii="Times New Roman" w:hAnsi="Times New Roman"/>
                <w:bCs w:val="0"/>
                <w:szCs w:val="21"/>
              </w:rPr>
              <w:t>，</w:t>
            </w:r>
            <w:r>
              <w:rPr>
                <w:rFonts w:ascii="Times New Roman" w:hAnsi="Times New Roman"/>
              </w:rPr>
              <w:t>原项目</w:t>
            </w:r>
            <w:r>
              <w:rPr>
                <w:rFonts w:ascii="Times New Roman" w:hAnsi="宋体"/>
              </w:rPr>
              <w:t>位于常州市东方东路</w:t>
            </w:r>
            <w:r>
              <w:rPr>
                <w:rFonts w:ascii="Times New Roman" w:hAnsi="Times New Roman"/>
              </w:rPr>
              <w:t>161</w:t>
            </w:r>
            <w:r>
              <w:rPr>
                <w:rFonts w:ascii="Times New Roman" w:hAnsi="宋体"/>
              </w:rPr>
              <w:t>号，</w:t>
            </w:r>
            <w:r>
              <w:rPr>
                <w:rFonts w:ascii="Times New Roman" w:hAnsi="Times New Roman"/>
                <w:bCs w:val="0"/>
                <w:szCs w:val="21"/>
              </w:rPr>
              <w:t>企业</w:t>
            </w:r>
            <w:r>
              <w:rPr>
                <w:rFonts w:ascii="Times New Roman" w:hAnsi="Times New Roman"/>
              </w:rPr>
              <w:t>“新建金属冲片生产厂房项目环境影响评价报告表”于2007年4月9日取得了常州市戚墅堰区环境保护局的环评批复，并于2019年9月3日通过常州市生态环境局环保竣工验收（常环经开验【2019】66号）；“新建金属纵剪及冲压车间项目环境影响报告表”于2015年6月2日取得了常州市戚墅堰区环境保护局的环评批复，批复文号：戚环管表【2015】5号，并于2019年9月3日通过常州市生态环境局环保竣工验收（常环经开验【2019】66号）；“废气治理设施提升改造项目环境影响登记表”于2019年7月1日完成备案，备案号：20193204000100000659；“中小电机铁芯项目环境影响报告表”于2018年1月2日取得了江苏常州经济开发区管理委员会的环评批复，批复文号：常经审建【2017】364号。</w:t>
            </w:r>
          </w:p>
          <w:p>
            <w:pPr>
              <w:keepNext w:val="0"/>
              <w:keepLines w:val="0"/>
              <w:suppressLineNumbers w:val="0"/>
              <w:adjustRightInd w:val="0"/>
              <w:snapToGrid w:val="0"/>
              <w:spacing w:before="0" w:beforeAutospacing="0" w:after="0" w:afterAutospacing="0"/>
              <w:ind w:left="0" w:right="0"/>
              <w:jc w:val="center"/>
              <w:rPr>
                <w:sz w:val="24"/>
              </w:rPr>
            </w:pPr>
            <w:r>
              <w:rPr>
                <w:rFonts w:hint="eastAsia"/>
                <w:b/>
                <w:sz w:val="24"/>
                <w:szCs w:val="22"/>
              </w:rPr>
              <w:t>表2-8 公司原有环保手续一览表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474"/>
              <w:gridCol w:w="1118"/>
              <w:gridCol w:w="2308"/>
              <w:gridCol w:w="1659"/>
              <w:gridCol w:w="14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52"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序号</w:t>
                  </w:r>
                </w:p>
              </w:tc>
              <w:tc>
                <w:tcPr>
                  <w:tcW w:w="872"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项目</w:t>
                  </w:r>
                  <w:r>
                    <w:rPr>
                      <w:b/>
                      <w:bCs/>
                      <w:szCs w:val="21"/>
                    </w:rPr>
                    <w:t>名称</w:t>
                  </w:r>
                </w:p>
              </w:tc>
              <w:tc>
                <w:tcPr>
                  <w:tcW w:w="661" w:type="pct"/>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报告类型</w:t>
                  </w:r>
                </w:p>
              </w:tc>
              <w:tc>
                <w:tcPr>
                  <w:tcW w:w="1365"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审批部门及时间</w:t>
                  </w:r>
                </w:p>
              </w:tc>
              <w:tc>
                <w:tcPr>
                  <w:tcW w:w="981"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验收部门及时间</w:t>
                  </w:r>
                </w:p>
              </w:tc>
              <w:tc>
                <w:tcPr>
                  <w:tcW w:w="868"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生产情况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w:t>
                  </w:r>
                </w:p>
              </w:tc>
              <w:tc>
                <w:tcPr>
                  <w:tcW w:w="87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新建金属冲片生产厂房</w:t>
                  </w:r>
                </w:p>
              </w:tc>
              <w:tc>
                <w:tcPr>
                  <w:tcW w:w="661" w:type="pct"/>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报告表</w:t>
                  </w:r>
                </w:p>
              </w:tc>
              <w:tc>
                <w:tcPr>
                  <w:tcW w:w="136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2007年4月9日取得</w:t>
                  </w:r>
                  <w:r>
                    <w:rPr>
                      <w:szCs w:val="21"/>
                    </w:rPr>
                    <w:t>常州市戚墅堰区环境保护局</w:t>
                  </w:r>
                  <w:r>
                    <w:rPr>
                      <w:rFonts w:hint="eastAsia"/>
                      <w:szCs w:val="21"/>
                    </w:rPr>
                    <w:t>批复</w:t>
                  </w:r>
                </w:p>
              </w:tc>
              <w:tc>
                <w:tcPr>
                  <w:tcW w:w="9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2019年9月3日通过</w:t>
                  </w:r>
                  <w:r>
                    <w:rPr>
                      <w:szCs w:val="21"/>
                    </w:rPr>
                    <w:t>常州市生态环境局</w:t>
                  </w:r>
                  <w:r>
                    <w:rPr>
                      <w:rFonts w:hint="eastAsia"/>
                      <w:szCs w:val="21"/>
                    </w:rPr>
                    <w:t>环保竣工验收</w:t>
                  </w:r>
                </w:p>
              </w:tc>
              <w:tc>
                <w:tcPr>
                  <w:tcW w:w="86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w:t>
                  </w:r>
                </w:p>
              </w:tc>
              <w:tc>
                <w:tcPr>
                  <w:tcW w:w="87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新建金属纵剪及冲压车间</w:t>
                  </w:r>
                </w:p>
              </w:tc>
              <w:tc>
                <w:tcPr>
                  <w:tcW w:w="661" w:type="pct"/>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报告表</w:t>
                  </w:r>
                </w:p>
              </w:tc>
              <w:tc>
                <w:tcPr>
                  <w:tcW w:w="136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2015年6月2日</w:t>
                  </w:r>
                  <w:r>
                    <w:rPr>
                      <w:rFonts w:hint="eastAsia"/>
                      <w:szCs w:val="21"/>
                    </w:rPr>
                    <w:t>取得</w:t>
                  </w:r>
                  <w:r>
                    <w:rPr>
                      <w:szCs w:val="21"/>
                    </w:rPr>
                    <w:t>常州市戚墅堰区环境保护局</w:t>
                  </w:r>
                  <w:r>
                    <w:rPr>
                      <w:rFonts w:hint="eastAsia"/>
                      <w:szCs w:val="21"/>
                    </w:rPr>
                    <w:t>批复</w:t>
                  </w:r>
                </w:p>
              </w:tc>
              <w:tc>
                <w:tcPr>
                  <w:tcW w:w="9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2019年9月3日通过</w:t>
                  </w:r>
                  <w:r>
                    <w:rPr>
                      <w:szCs w:val="21"/>
                    </w:rPr>
                    <w:t>常州市生态环境局</w:t>
                  </w:r>
                  <w:r>
                    <w:rPr>
                      <w:rFonts w:hint="eastAsia"/>
                      <w:szCs w:val="21"/>
                    </w:rPr>
                    <w:t>环保竣工验收</w:t>
                  </w:r>
                </w:p>
              </w:tc>
              <w:tc>
                <w:tcPr>
                  <w:tcW w:w="86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w:t>
                  </w:r>
                </w:p>
              </w:tc>
              <w:tc>
                <w:tcPr>
                  <w:tcW w:w="87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废气治理设施提升改造</w:t>
                  </w:r>
                </w:p>
              </w:tc>
              <w:tc>
                <w:tcPr>
                  <w:tcW w:w="661" w:type="pct"/>
                  <w:tcBorders>
                    <w:top w:val="sing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登记表</w:t>
                  </w:r>
                </w:p>
              </w:tc>
              <w:tc>
                <w:tcPr>
                  <w:tcW w:w="136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2019年7月1日</w:t>
                  </w:r>
                  <w:r>
                    <w:rPr>
                      <w:rFonts w:hint="eastAsia"/>
                      <w:szCs w:val="21"/>
                    </w:rPr>
                    <w:t>在建设项目环境影响登记表备案系统（江苏省）完成备案（备案号：</w:t>
                  </w:r>
                  <w:r>
                    <w:rPr>
                      <w:szCs w:val="21"/>
                    </w:rPr>
                    <w:t>20193204000100000659</w:t>
                  </w:r>
                  <w:r>
                    <w:rPr>
                      <w:rFonts w:hint="eastAsia"/>
                      <w:szCs w:val="21"/>
                    </w:rPr>
                    <w:t>）</w:t>
                  </w:r>
                </w:p>
              </w:tc>
              <w:tc>
                <w:tcPr>
                  <w:tcW w:w="9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86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5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w:t>
                  </w:r>
                </w:p>
              </w:tc>
              <w:tc>
                <w:tcPr>
                  <w:tcW w:w="87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中小电机铁芯</w:t>
                  </w:r>
                </w:p>
              </w:tc>
              <w:tc>
                <w:tcPr>
                  <w:tcW w:w="661" w:type="pct"/>
                  <w:tcBorders>
                    <w:top w:val="single" w:color="auto" w:sz="4" w:space="0"/>
                    <w:bottom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报告表</w:t>
                  </w:r>
                </w:p>
              </w:tc>
              <w:tc>
                <w:tcPr>
                  <w:tcW w:w="1365" w:type="pct"/>
                  <w:vAlign w:val="center"/>
                </w:tcPr>
                <w:p>
                  <w:pPr>
                    <w:keepNext w:val="0"/>
                    <w:keepLines w:val="0"/>
                    <w:suppressLineNumbers w:val="0"/>
                    <w:adjustRightInd w:val="0"/>
                    <w:snapToGrid w:val="0"/>
                    <w:spacing w:before="0" w:beforeAutospacing="0" w:after="0" w:afterAutospacing="0"/>
                    <w:ind w:left="0" w:right="0"/>
                    <w:jc w:val="center"/>
                    <w:rPr>
                      <w:color w:val="FF0000"/>
                      <w:szCs w:val="21"/>
                    </w:rPr>
                  </w:pPr>
                  <w:r>
                    <w:rPr>
                      <w:szCs w:val="21"/>
                    </w:rPr>
                    <w:t>2018年1月2日</w:t>
                  </w:r>
                  <w:r>
                    <w:rPr>
                      <w:rFonts w:hint="eastAsia"/>
                      <w:szCs w:val="21"/>
                    </w:rPr>
                    <w:t>取得</w:t>
                  </w:r>
                  <w:r>
                    <w:rPr>
                      <w:szCs w:val="21"/>
                    </w:rPr>
                    <w:t>江苏常州经济开发区管理委员会</w:t>
                  </w:r>
                  <w:r>
                    <w:rPr>
                      <w:rFonts w:hint="eastAsia"/>
                      <w:szCs w:val="21"/>
                    </w:rPr>
                    <w:t>的环评批复，批准文号：</w:t>
                  </w:r>
                  <w:r>
                    <w:rPr>
                      <w:szCs w:val="21"/>
                    </w:rPr>
                    <w:t>常经审建【2017】364号</w:t>
                  </w:r>
                </w:p>
              </w:tc>
              <w:tc>
                <w:tcPr>
                  <w:tcW w:w="9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w:t>
                  </w:r>
                </w:p>
              </w:tc>
              <w:tc>
                <w:tcPr>
                  <w:tcW w:w="86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未建设，且今后不再建设</w:t>
                  </w:r>
                </w:p>
              </w:tc>
            </w:tr>
          </w:tbl>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
                <w:bCs/>
                <w:szCs w:val="21"/>
              </w:rPr>
            </w:pPr>
            <w:r>
              <w:rPr>
                <w:rFonts w:hint="eastAsia" w:ascii="Times New Roman" w:hAnsi="Times New Roman"/>
                <w:b/>
                <w:bCs/>
                <w:szCs w:val="21"/>
              </w:rPr>
              <w:t>2、排污许可证申领情况</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ascii="Times New Roman" w:hAnsi="Times New Roman"/>
                <w:bCs w:val="0"/>
                <w:szCs w:val="21"/>
              </w:rPr>
              <w:t>企业于2020年7月7日取得排污许可证</w:t>
            </w:r>
            <w:r>
              <w:rPr>
                <w:rFonts w:hint="eastAsia" w:ascii="Times New Roman" w:hAnsi="Times New Roman"/>
                <w:bCs w:val="0"/>
                <w:szCs w:val="21"/>
              </w:rPr>
              <w:t>（编号：</w:t>
            </w:r>
            <w:r>
              <w:rPr>
                <w:rFonts w:ascii="Times New Roman" w:hAnsi="Times New Roman"/>
              </w:rPr>
              <w:t>91320405754622981B001Q</w:t>
            </w:r>
            <w:r>
              <w:rPr>
                <w:rFonts w:hint="eastAsia" w:ascii="Times New Roman" w:hAnsi="Times New Roman"/>
              </w:rPr>
              <w:t>），已按时提交执行报告</w:t>
            </w:r>
            <w:r>
              <w:rPr>
                <w:rFonts w:ascii="Times New Roman" w:hAnsi="Times New Roman"/>
                <w:bCs w:val="0"/>
                <w:szCs w:val="21"/>
              </w:rPr>
              <w:t>。</w:t>
            </w:r>
          </w:p>
          <w:p>
            <w:pPr>
              <w:pStyle w:val="12"/>
              <w:keepNext w:val="0"/>
              <w:keepLines w:val="0"/>
              <w:suppressLineNumbers w:val="0"/>
              <w:adjustRightInd w:val="0"/>
              <w:snapToGrid w:val="0"/>
              <w:spacing w:before="0" w:beforeAutospacing="0" w:after="0" w:afterAutospacing="0" w:line="360" w:lineRule="auto"/>
              <w:ind w:left="0" w:right="0" w:firstLine="482"/>
              <w:rPr>
                <w:rFonts w:hint="eastAsia" w:ascii="Times New Roman" w:hAnsi="Times New Roman"/>
                <w:b/>
                <w:bCs w:val="0"/>
                <w:szCs w:val="21"/>
              </w:rPr>
            </w:pPr>
            <w:r>
              <w:rPr>
                <w:rFonts w:hint="eastAsia" w:ascii="Times New Roman" w:hAnsi="Times New Roman"/>
                <w:b/>
                <w:bCs w:val="0"/>
                <w:szCs w:val="21"/>
              </w:rPr>
              <w:t>二、原有项目情况</w:t>
            </w:r>
          </w:p>
          <w:p>
            <w:pPr>
              <w:pStyle w:val="12"/>
              <w:keepNext w:val="0"/>
              <w:keepLines w:val="0"/>
              <w:suppressLineNumbers w:val="0"/>
              <w:adjustRightInd w:val="0"/>
              <w:snapToGrid w:val="0"/>
              <w:spacing w:before="0" w:beforeAutospacing="0" w:after="0" w:afterAutospacing="0" w:line="360" w:lineRule="auto"/>
              <w:ind w:left="0" w:right="0" w:firstLine="482"/>
              <w:rPr>
                <w:rFonts w:hint="eastAsia" w:ascii="Times New Roman" w:hAnsi="Times New Roman"/>
                <w:b/>
                <w:bCs w:val="0"/>
                <w:szCs w:val="21"/>
              </w:rPr>
            </w:pPr>
            <w:r>
              <w:rPr>
                <w:rFonts w:hint="eastAsia" w:ascii="Times New Roman" w:hAnsi="Times New Roman"/>
                <w:b/>
                <w:bCs w:val="0"/>
                <w:szCs w:val="21"/>
              </w:rPr>
              <w:t>1、产品方案</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原有项目产品方案见下表。</w:t>
            </w: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2-9 原有项目</w:t>
            </w:r>
            <w:r>
              <w:rPr>
                <w:b/>
                <w:bCs/>
                <w:sz w:val="24"/>
              </w:rPr>
              <w:t>产品方案</w:t>
            </w:r>
            <w:r>
              <w:rPr>
                <w:rFonts w:hint="eastAsia"/>
                <w:b/>
                <w:bCs/>
                <w:sz w:val="24"/>
              </w:rPr>
              <w:t>一览表</w:t>
            </w:r>
          </w:p>
          <w:tbl>
            <w:tblPr>
              <w:tblStyle w:val="21"/>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482"/>
              <w:gridCol w:w="2492"/>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124" w:type="pct"/>
                  <w:tcBorders>
                    <w:top w:val="single" w:color="auto" w:sz="12" w:space="0"/>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项目名称</w:t>
                  </w:r>
                </w:p>
              </w:tc>
              <w:tc>
                <w:tcPr>
                  <w:tcW w:w="878" w:type="pct"/>
                  <w:tcBorders>
                    <w:top w:val="single" w:color="auto" w:sz="12" w:space="0"/>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产品名称</w:t>
                  </w:r>
                </w:p>
              </w:tc>
              <w:tc>
                <w:tcPr>
                  <w:tcW w:w="1477" w:type="pct"/>
                  <w:tcBorders>
                    <w:top w:val="single" w:color="auto" w:sz="12"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设计能力（单位/</w:t>
                  </w:r>
                  <w:r>
                    <w:rPr>
                      <w:rFonts w:ascii="宋体" w:hAnsi="宋体"/>
                      <w:b/>
                      <w:bCs/>
                      <w:szCs w:val="21"/>
                    </w:rPr>
                    <w:t>年）</w:t>
                  </w:r>
                </w:p>
              </w:tc>
              <w:tc>
                <w:tcPr>
                  <w:tcW w:w="1518" w:type="pct"/>
                  <w:tcBorders>
                    <w:top w:val="single" w:color="auto" w:sz="12" w:space="0"/>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vMerge w:val="restart"/>
                  <w:tcBorders>
                    <w:top w:val="nil"/>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新建金属冲片生产厂房</w:t>
                  </w:r>
                </w:p>
              </w:tc>
              <w:tc>
                <w:tcPr>
                  <w:tcW w:w="878" w:type="pct"/>
                  <w:tcBorders>
                    <w:top w:val="nil"/>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电机定转子</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150万套</w:t>
                  </w:r>
                </w:p>
              </w:tc>
              <w:tc>
                <w:tcPr>
                  <w:tcW w:w="1518" w:type="pct"/>
                  <w:vMerge w:val="restart"/>
                  <w:tcBorders>
                    <w:top w:val="single" w:color="auto" w:sz="4" w:space="0"/>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搬迁后不再建设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vMerge w:val="continue"/>
                  <w:tcBorders>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878" w:type="pct"/>
                  <w:tcBorders>
                    <w:top w:val="nil"/>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橡塑制品</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50万副</w:t>
                  </w:r>
                </w:p>
              </w:tc>
              <w:tc>
                <w:tcPr>
                  <w:tcW w:w="1518" w:type="pct"/>
                  <w:vMerge w:val="continue"/>
                  <w:tcBorders>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vMerge w:val="continue"/>
                  <w:tcBorders>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878" w:type="pct"/>
                  <w:tcBorders>
                    <w:top w:val="nil"/>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rPr>
                    <w:t>铝压铸</w:t>
                  </w:r>
                  <w:r>
                    <w:rPr>
                      <w:rFonts w:hint="eastAsia"/>
                      <w:szCs w:val="21"/>
                      <w:lang w:eastAsia="zh-CN"/>
                    </w:rPr>
                    <w:t>件</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100万只</w:t>
                  </w:r>
                </w:p>
              </w:tc>
              <w:tc>
                <w:tcPr>
                  <w:tcW w:w="1518" w:type="pct"/>
                  <w:vMerge w:val="continue"/>
                  <w:tcBorders>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vMerge w:val="restart"/>
                  <w:tcBorders>
                    <w:top w:val="single" w:color="auto" w:sz="4" w:space="0"/>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新建金属纵剪及冲压车间</w:t>
                  </w:r>
                </w:p>
              </w:tc>
              <w:tc>
                <w:tcPr>
                  <w:tcW w:w="878"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纵剪金属</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20000吨</w:t>
                  </w:r>
                </w:p>
              </w:tc>
              <w:tc>
                <w:tcPr>
                  <w:tcW w:w="1518" w:type="pct"/>
                  <w:vMerge w:val="continue"/>
                  <w:tcBorders>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vMerge w:val="continue"/>
                  <w:tcBorders>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878"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r>
                    <w:rPr>
                      <w:rFonts w:hint="eastAsia"/>
                      <w:szCs w:val="21"/>
                    </w:rPr>
                    <w:t>冲压</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3000吨</w:t>
                  </w:r>
                </w:p>
              </w:tc>
              <w:tc>
                <w:tcPr>
                  <w:tcW w:w="1518" w:type="pct"/>
                  <w:vMerge w:val="continue"/>
                  <w:tcBorders>
                    <w:left w:val="nil"/>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124"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中小电机铁芯</w:t>
                  </w:r>
                </w:p>
              </w:tc>
              <w:tc>
                <w:tcPr>
                  <w:tcW w:w="878"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电机铁芯</w:t>
                  </w:r>
                </w:p>
              </w:tc>
              <w:tc>
                <w:tcPr>
                  <w:tcW w:w="1477" w:type="pct"/>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600万套</w:t>
                  </w:r>
                </w:p>
              </w:tc>
              <w:tc>
                <w:tcPr>
                  <w:tcW w:w="1518" w:type="pct"/>
                  <w:vMerge w:val="continue"/>
                  <w:tcBorders>
                    <w:left w:val="nil"/>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p>
              </w:tc>
            </w:tr>
          </w:tbl>
          <w:p>
            <w:pPr>
              <w:pStyle w:val="12"/>
              <w:keepNext w:val="0"/>
              <w:keepLines w:val="0"/>
              <w:suppressLineNumbers w:val="0"/>
              <w:adjustRightInd w:val="0"/>
              <w:snapToGrid w:val="0"/>
              <w:spacing w:before="0" w:beforeAutospacing="0" w:after="0" w:afterAutospacing="0" w:line="360" w:lineRule="auto"/>
              <w:ind w:left="0" w:right="0" w:firstLine="482"/>
              <w:rPr>
                <w:rFonts w:ascii="Times New Roman" w:hAnsi="Times New Roman"/>
                <w:b/>
                <w:bCs w:val="0"/>
                <w:szCs w:val="21"/>
              </w:rPr>
            </w:pPr>
            <w:r>
              <w:rPr>
                <w:rFonts w:hint="eastAsia" w:ascii="Times New Roman" w:hAnsi="Times New Roman"/>
                <w:b/>
                <w:bCs w:val="0"/>
                <w:szCs w:val="21"/>
              </w:rPr>
              <w:t>2、产废情况</w:t>
            </w: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r>
              <w:rPr>
                <w:rFonts w:hint="eastAsia" w:ascii="Times New Roman" w:hAnsi="Times New Roman"/>
                <w:bCs w:val="0"/>
                <w:szCs w:val="21"/>
              </w:rPr>
              <w:t>原有项目污染物排放情况结合原环评报告进行论述。</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（1）废水</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原有项目无生产废水排放，主要为员工生活污水。生活污水经城市污水管网接入常州市戚墅堰污水处理厂集中处理，达标尾水排入京杭运河。</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（2）废气</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原有项目熔铸烟尘经集气罩收集后通过水喷淋+光催化氧化+活性炭吸附装置处理后通过一根15米高排气筒排放</w:t>
            </w:r>
            <w:r>
              <w:rPr>
                <w:rFonts w:hint="eastAsia" w:ascii="Times New Roman" w:hAnsi="Times New Roman"/>
                <w:bCs w:val="0"/>
                <w:szCs w:val="21"/>
                <w:lang w:eastAsia="zh-CN"/>
              </w:rPr>
              <w:t>；未捕集废气在车间内无组织排放</w:t>
            </w:r>
            <w:r>
              <w:rPr>
                <w:rFonts w:hint="eastAsia" w:ascii="Times New Roman" w:hAnsi="Times New Roman"/>
                <w:bCs w:val="0"/>
                <w:szCs w:val="21"/>
              </w:rPr>
              <w:t>。</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（3）噪声</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原有项目噪声主要来源于金属纵剪机、高速冲床等设备运行时产生的噪声。通过合理布局、厂房建筑隔音降噪，各厂界噪声均符合《声环境质量标准》（GB3096-2008）中3类标准，对周边环境影响较小。</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（4）固废</w:t>
            </w: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r>
              <w:rPr>
                <w:rFonts w:hint="eastAsia" w:ascii="Times New Roman" w:hAnsi="Times New Roman"/>
                <w:bCs w:val="0"/>
                <w:szCs w:val="21"/>
              </w:rPr>
              <w:t>生活垃圾：由环卫部门统一清运；</w:t>
            </w: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r>
              <w:rPr>
                <w:rFonts w:hint="eastAsia" w:ascii="Times New Roman" w:hAnsi="Times New Roman"/>
                <w:bCs w:val="0"/>
                <w:szCs w:val="21"/>
              </w:rPr>
              <w:t>一般固废：边角料、浮渣收集外售综合利用；</w:t>
            </w: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r>
              <w:rPr>
                <w:rFonts w:hint="eastAsia" w:ascii="Times New Roman" w:hAnsi="Times New Roman"/>
                <w:bCs w:val="0"/>
                <w:szCs w:val="21"/>
              </w:rPr>
              <w:t>危险固废：废活性炭、废灯管、废矿物油、水喷淋更换废液，收集后暂存危废库房，定期委托有资质单位处置。</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lang w:eastAsia="zh-CN"/>
              </w:rPr>
              <w:t>原有项目</w:t>
            </w:r>
            <w:r>
              <w:rPr>
                <w:rFonts w:hint="eastAsia" w:ascii="Times New Roman" w:hAnsi="Times New Roman"/>
                <w:bCs w:val="0"/>
                <w:szCs w:val="21"/>
              </w:rPr>
              <w:t>所有固废均得到有效处置，固废实现“零排放”。</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（5）原有项目总量控制情况</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企业原有项目污染物排放总量为：生活污水量≤960t/a；颗粒物≤0.216t/a，SO</w:t>
            </w:r>
            <w:r>
              <w:rPr>
                <w:rFonts w:hint="eastAsia" w:ascii="Times New Roman" w:hAnsi="Times New Roman"/>
                <w:bCs w:val="0"/>
                <w:szCs w:val="21"/>
                <w:vertAlign w:val="subscript"/>
              </w:rPr>
              <w:t>2</w:t>
            </w:r>
            <w:r>
              <w:rPr>
                <w:rFonts w:hint="eastAsia" w:ascii="Times New Roman" w:hAnsi="Times New Roman"/>
                <w:bCs w:val="0"/>
                <w:szCs w:val="21"/>
              </w:rPr>
              <w:t>≤0.04t/a，NO</w:t>
            </w:r>
            <w:r>
              <w:rPr>
                <w:rFonts w:hint="eastAsia" w:ascii="Times New Roman" w:hAnsi="Times New Roman"/>
                <w:bCs w:val="0"/>
                <w:szCs w:val="21"/>
                <w:vertAlign w:val="subscript"/>
              </w:rPr>
              <w:t>x</w:t>
            </w:r>
            <w:r>
              <w:rPr>
                <w:rFonts w:hint="eastAsia" w:ascii="Times New Roman" w:hAnsi="Times New Roman"/>
                <w:bCs w:val="0"/>
                <w:szCs w:val="21"/>
              </w:rPr>
              <w:t>≤0.19t/a。</w:t>
            </w:r>
          </w:p>
          <w:p>
            <w:pPr>
              <w:pStyle w:val="12"/>
              <w:keepNext w:val="0"/>
              <w:keepLines w:val="0"/>
              <w:suppressLineNumbers w:val="0"/>
              <w:adjustRightInd w:val="0"/>
              <w:snapToGrid w:val="0"/>
              <w:spacing w:before="0" w:beforeAutospacing="0" w:after="0" w:afterAutospacing="0" w:line="360" w:lineRule="auto"/>
              <w:ind w:left="0" w:right="0" w:firstLine="482"/>
              <w:rPr>
                <w:rFonts w:ascii="Times New Roman" w:hAnsi="Times New Roman"/>
                <w:b/>
                <w:bCs w:val="0"/>
                <w:szCs w:val="21"/>
              </w:rPr>
            </w:pPr>
            <w:r>
              <w:rPr>
                <w:rFonts w:hint="eastAsia" w:ascii="Times New Roman" w:hAnsi="Times New Roman"/>
                <w:b/>
                <w:bCs w:val="0"/>
                <w:szCs w:val="21"/>
              </w:rPr>
              <w:t>三、原有项目存在问题及以新带老采取措施</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r>
              <w:rPr>
                <w:rFonts w:hint="eastAsia" w:ascii="Times New Roman" w:hAnsi="Times New Roman"/>
                <w:bCs w:val="0"/>
                <w:szCs w:val="21"/>
              </w:rPr>
              <w:t>本项目为整体搬迁，</w:t>
            </w:r>
            <w:r>
              <w:rPr>
                <w:rFonts w:hint="eastAsia" w:ascii="Times New Roman" w:hAnsi="Times New Roman"/>
                <w:bCs w:val="0"/>
                <w:szCs w:val="21"/>
                <w:lang w:eastAsia="zh-CN"/>
              </w:rPr>
              <w:t>不存在</w:t>
            </w:r>
            <w:r>
              <w:rPr>
                <w:rFonts w:hint="eastAsia" w:ascii="Times New Roman" w:hAnsi="Times New Roman"/>
                <w:bCs w:val="0"/>
                <w:szCs w:val="21"/>
              </w:rPr>
              <w:t>“以新带老”。</w:t>
            </w:r>
            <w:r>
              <w:rPr>
                <w:rFonts w:ascii="Times New Roman" w:hAnsi="Times New Roman"/>
                <w:bCs w:val="0"/>
                <w:szCs w:val="21"/>
              </w:rPr>
              <w:t>待本次迁建项目审批后，企业将整体搬迁至</w:t>
            </w:r>
            <w:r>
              <w:rPr>
                <w:rFonts w:ascii="Times New Roman" w:hAnsi="宋体"/>
                <w:szCs w:val="21"/>
              </w:rPr>
              <w:t>江苏省常州市武进区洛阳镇新科西路</w:t>
            </w:r>
            <w:r>
              <w:rPr>
                <w:rFonts w:ascii="Times New Roman" w:hAnsi="Times New Roman"/>
                <w:szCs w:val="21"/>
              </w:rPr>
              <w:t>21</w:t>
            </w:r>
            <w:r>
              <w:rPr>
                <w:rFonts w:ascii="Times New Roman" w:hAnsi="宋体"/>
                <w:szCs w:val="21"/>
              </w:rPr>
              <w:t>号</w:t>
            </w:r>
            <w:r>
              <w:rPr>
                <w:rFonts w:hint="eastAsia" w:ascii="Times New Roman" w:hAnsi="宋体"/>
                <w:szCs w:val="21"/>
                <w:lang w:eastAsia="zh-CN"/>
              </w:rPr>
              <w:t>进行</w:t>
            </w:r>
            <w:r>
              <w:rPr>
                <w:rFonts w:ascii="Times New Roman" w:hAnsi="Times New Roman"/>
                <w:bCs w:val="0"/>
                <w:szCs w:val="21"/>
              </w:rPr>
              <w:t>生产，企业原有项目废水、废气、固废等污染物均按环保要求落实了治理措施，搬迁后，原厂址不存在遗留环境问题。</w:t>
            </w: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hint="eastAsia"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p>
            <w:pPr>
              <w:pStyle w:val="12"/>
              <w:keepNext w:val="0"/>
              <w:keepLines w:val="0"/>
              <w:suppressLineNumbers w:val="0"/>
              <w:adjustRightInd w:val="0"/>
              <w:snapToGrid w:val="0"/>
              <w:spacing w:before="0" w:beforeAutospacing="0" w:after="0" w:afterAutospacing="0" w:line="360" w:lineRule="auto"/>
              <w:ind w:left="0" w:right="0"/>
              <w:rPr>
                <w:rFonts w:ascii="Times New Roman" w:hAnsi="Times New Roman"/>
                <w:bCs w:val="0"/>
                <w:szCs w:val="21"/>
              </w:rPr>
            </w:pPr>
          </w:p>
        </w:tc>
      </w:tr>
    </w:tbl>
    <w:p>
      <w:pPr>
        <w:pStyle w:val="18"/>
        <w:jc w:val="center"/>
        <w:rPr>
          <w:rFonts w:ascii="黑体" w:hAnsi="黑体" w:eastAsia="黑体"/>
          <w:snapToGrid w:val="0"/>
          <w:sz w:val="36"/>
          <w:szCs w:val="36"/>
        </w:rPr>
        <w:sectPr>
          <w:footerReference r:id="rId7" w:type="default"/>
          <w:pgSz w:w="11906" w:h="16838"/>
          <w:pgMar w:top="1701" w:right="1531" w:bottom="1701" w:left="1531" w:header="851" w:footer="851" w:gutter="0"/>
          <w:cols w:space="720" w:num="1"/>
          <w:docGrid w:linePitch="312" w:charSpace="0"/>
        </w:sectPr>
      </w:pPr>
    </w:p>
    <w:p>
      <w:pPr>
        <w:pStyle w:val="18"/>
        <w:adjustRightInd w:val="0"/>
        <w:snapToGrid w:val="0"/>
        <w:spacing w:before="0" w:beforeAutospacing="0" w:after="0" w:afterAutospacing="0" w:line="14" w:lineRule="auto"/>
        <w:jc w:val="center"/>
        <w:outlineLvl w:val="9"/>
        <w:rPr>
          <w:rFonts w:ascii="黑体" w:hAnsi="黑体" w:eastAsia="黑体"/>
          <w:snapToGrid w:val="0"/>
          <w:sz w:val="30"/>
          <w:szCs w:val="30"/>
        </w:rPr>
      </w:pPr>
    </w:p>
    <w:p>
      <w:pPr>
        <w:pStyle w:val="18"/>
        <w:spacing w:before="0" w:beforeAutospacing="0" w:after="0" w:afterAutospacing="0"/>
        <w:jc w:val="center"/>
        <w:outlineLvl w:val="0"/>
        <w:rPr>
          <w:rFonts w:ascii="黑体" w:hAnsi="黑体" w:eastAsia="黑体"/>
          <w:snapToGrid w:val="0"/>
          <w:sz w:val="30"/>
          <w:szCs w:val="30"/>
        </w:rPr>
      </w:pPr>
      <w:bookmarkStart w:id="4" w:name="_Toc26313"/>
      <w:r>
        <w:rPr>
          <w:rFonts w:hint="eastAsia" w:ascii="黑体" w:hAnsi="黑体" w:eastAsia="黑体"/>
          <w:snapToGrid w:val="0"/>
          <w:sz w:val="30"/>
          <w:szCs w:val="30"/>
        </w:rPr>
        <w:t>三、区域环境质量现状、环境保护目标及评价标准</w:t>
      </w:r>
      <w:bookmarkEnd w:id="4"/>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区域</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环境</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质量</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现状</w:t>
            </w:r>
          </w:p>
        </w:tc>
        <w:tc>
          <w:tcPr>
            <w:tcW w:w="8190" w:type="dxa"/>
            <w:vAlign w:val="center"/>
          </w:tcPr>
          <w:p>
            <w:pPr>
              <w:keepNext w:val="0"/>
              <w:keepLines w:val="0"/>
              <w:suppressLineNumbers w:val="0"/>
              <w:spacing w:before="0" w:beforeAutospacing="0" w:after="0" w:afterAutospacing="0" w:line="360" w:lineRule="auto"/>
              <w:ind w:left="0" w:right="0"/>
              <w:rPr>
                <w:b/>
                <w:bCs/>
                <w:sz w:val="24"/>
              </w:rPr>
            </w:pPr>
            <w:r>
              <w:rPr>
                <w:b/>
                <w:bCs/>
                <w:sz w:val="24"/>
              </w:rPr>
              <w:t>1</w:t>
            </w:r>
            <w:r>
              <w:rPr>
                <w:rFonts w:hint="eastAsia"/>
                <w:b/>
                <w:bCs/>
                <w:sz w:val="24"/>
              </w:rPr>
              <w:t>、</w:t>
            </w:r>
            <w:r>
              <w:rPr>
                <w:b/>
                <w:bCs/>
                <w:sz w:val="24"/>
              </w:rPr>
              <w:t>环境空气质量现状</w:t>
            </w:r>
          </w:p>
          <w:p>
            <w:pPr>
              <w:keepNext w:val="0"/>
              <w:keepLines w:val="0"/>
              <w:suppressLineNumbers w:val="0"/>
              <w:spacing w:before="0" w:beforeAutospacing="0" w:after="0" w:afterAutospacing="0" w:line="360" w:lineRule="auto"/>
              <w:ind w:left="0" w:right="0" w:firstLine="480" w:firstLineChars="200"/>
              <w:rPr>
                <w:sz w:val="24"/>
              </w:rPr>
            </w:pPr>
            <w:r>
              <w:rPr>
                <w:sz w:val="24"/>
              </w:rPr>
              <w:t>（1）区域达标判定</w:t>
            </w:r>
          </w:p>
          <w:p>
            <w:pPr>
              <w:keepNext w:val="0"/>
              <w:keepLines w:val="0"/>
              <w:suppressLineNumbers w:val="0"/>
              <w:spacing w:before="0" w:beforeAutospacing="0" w:after="0" w:afterAutospacing="0" w:line="360" w:lineRule="auto"/>
              <w:ind w:left="0" w:right="0" w:firstLine="480" w:firstLineChars="200"/>
              <w:rPr>
                <w:sz w:val="24"/>
                <w:szCs w:val="22"/>
              </w:rPr>
            </w:pPr>
            <w:r>
              <w:rPr>
                <w:sz w:val="24"/>
                <w:szCs w:val="22"/>
              </w:rPr>
              <w:t>根据《环境影响评价技术导则大气环境》（HJ2.2-2018），项目所在区域达标情况判定优先采用国家或地方生态环境主管部门公开发布的环境质量报告或环境质量报告书中的数据或结论。</w:t>
            </w:r>
          </w:p>
          <w:p>
            <w:pPr>
              <w:keepNext w:val="0"/>
              <w:keepLines w:val="0"/>
              <w:suppressLineNumbers w:val="0"/>
              <w:spacing w:before="0" w:beforeAutospacing="0" w:after="0" w:afterAutospacing="0" w:line="360" w:lineRule="auto"/>
              <w:ind w:left="0" w:right="0" w:firstLine="480" w:firstLineChars="200"/>
              <w:rPr>
                <w:sz w:val="24"/>
                <w:szCs w:val="22"/>
              </w:rPr>
            </w:pPr>
            <w:r>
              <w:rPr>
                <w:sz w:val="24"/>
                <w:szCs w:val="22"/>
              </w:rPr>
              <w:t>本次评价选取20</w:t>
            </w:r>
            <w:r>
              <w:rPr>
                <w:rFonts w:hint="eastAsia"/>
                <w:sz w:val="24"/>
                <w:szCs w:val="22"/>
              </w:rPr>
              <w:t>2</w:t>
            </w:r>
            <w:r>
              <w:rPr>
                <w:rFonts w:hint="eastAsia"/>
                <w:sz w:val="24"/>
                <w:szCs w:val="22"/>
                <w:lang w:val="en-US" w:eastAsia="zh-CN"/>
              </w:rPr>
              <w:t>1</w:t>
            </w:r>
            <w:r>
              <w:rPr>
                <w:sz w:val="24"/>
                <w:szCs w:val="22"/>
              </w:rPr>
              <w:t>年作为评价基准年，根据《</w:t>
            </w:r>
            <w:r>
              <w:rPr>
                <w:rFonts w:hint="eastAsia"/>
                <w:sz w:val="24"/>
                <w:szCs w:val="22"/>
              </w:rPr>
              <w:t>202</w:t>
            </w:r>
            <w:r>
              <w:rPr>
                <w:rFonts w:hint="eastAsia"/>
                <w:sz w:val="24"/>
                <w:szCs w:val="22"/>
                <w:lang w:val="en-US" w:eastAsia="zh-CN"/>
              </w:rPr>
              <w:t>1</w:t>
            </w:r>
            <w:r>
              <w:rPr>
                <w:rFonts w:hint="eastAsia"/>
                <w:sz w:val="24"/>
                <w:szCs w:val="22"/>
              </w:rPr>
              <w:t>常州市生态环境状况公报</w:t>
            </w:r>
            <w:r>
              <w:rPr>
                <w:sz w:val="24"/>
                <w:szCs w:val="22"/>
              </w:rPr>
              <w:t>》项目所在区域常州市各评价因子数据见表</w:t>
            </w:r>
            <w:r>
              <w:rPr>
                <w:rFonts w:hint="eastAsia"/>
                <w:sz w:val="24"/>
                <w:szCs w:val="22"/>
              </w:rPr>
              <w:t>3-1</w:t>
            </w:r>
            <w:r>
              <w:rPr>
                <w:sz w:val="24"/>
                <w:szCs w:val="22"/>
              </w:rPr>
              <w:t>。</w:t>
            </w:r>
          </w:p>
          <w:p>
            <w:pPr>
              <w:keepNext w:val="0"/>
              <w:keepLines w:val="0"/>
              <w:suppressLineNumbers w:val="0"/>
              <w:spacing w:before="0" w:beforeAutospacing="0" w:after="0" w:afterAutospacing="0"/>
              <w:ind w:left="0" w:right="0"/>
              <w:jc w:val="center"/>
              <w:rPr>
                <w:b/>
                <w:sz w:val="24"/>
              </w:rPr>
            </w:pPr>
            <w:r>
              <w:rPr>
                <w:b/>
                <w:sz w:val="24"/>
              </w:rPr>
              <w:t>表</w:t>
            </w:r>
            <w:r>
              <w:rPr>
                <w:rFonts w:hint="eastAsia"/>
                <w:b/>
                <w:sz w:val="24"/>
              </w:rPr>
              <w:t>3-1</w:t>
            </w:r>
            <w:r>
              <w:rPr>
                <w:b/>
                <w:sz w:val="24"/>
              </w:rPr>
              <w:t xml:space="preserve"> 环境空气质量现状</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79" w:type="dxa"/>
                <w:bottom w:w="0" w:type="dxa"/>
                <w:right w:w="79" w:type="dxa"/>
              </w:tblCellMar>
            </w:tblPr>
            <w:tblGrid>
              <w:gridCol w:w="595"/>
              <w:gridCol w:w="754"/>
              <w:gridCol w:w="2262"/>
              <w:gridCol w:w="1352"/>
              <w:gridCol w:w="1143"/>
              <w:gridCol w:w="972"/>
              <w:gridCol w:w="8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区域</w:t>
                  </w:r>
                </w:p>
              </w:tc>
              <w:tc>
                <w:tcPr>
                  <w:tcW w:w="472"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评价因子</w:t>
                  </w:r>
                </w:p>
              </w:tc>
              <w:tc>
                <w:tcPr>
                  <w:tcW w:w="1417" w:type="pct"/>
                  <w:vAlign w:val="center"/>
                </w:tcPr>
                <w:p>
                  <w:pPr>
                    <w:keepNext w:val="0"/>
                    <w:keepLines w:val="0"/>
                    <w:suppressLineNumbers w:val="0"/>
                    <w:snapToGrid w:val="0"/>
                    <w:spacing w:before="0" w:beforeAutospacing="0" w:after="0" w:afterAutospacing="0"/>
                    <w:ind w:left="0" w:right="0"/>
                    <w:jc w:val="center"/>
                    <w:rPr>
                      <w:b/>
                      <w:szCs w:val="21"/>
                      <w:vertAlign w:val="subscript"/>
                    </w:rPr>
                  </w:pPr>
                  <w:r>
                    <w:rPr>
                      <w:b/>
                      <w:szCs w:val="21"/>
                    </w:rPr>
                    <w:t>平均时段</w:t>
                  </w:r>
                </w:p>
              </w:tc>
              <w:tc>
                <w:tcPr>
                  <w:tcW w:w="847"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现状浓度（ug/m</w:t>
                  </w:r>
                  <w:r>
                    <w:rPr>
                      <w:b/>
                      <w:szCs w:val="21"/>
                      <w:vertAlign w:val="superscript"/>
                    </w:rPr>
                    <w:t>3</w:t>
                  </w:r>
                  <w:r>
                    <w:rPr>
                      <w:b/>
                      <w:szCs w:val="21"/>
                    </w:rPr>
                    <w:t>）</w:t>
                  </w:r>
                </w:p>
              </w:tc>
              <w:tc>
                <w:tcPr>
                  <w:tcW w:w="716"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标准值（ug/m</w:t>
                  </w:r>
                  <w:r>
                    <w:rPr>
                      <w:b/>
                      <w:szCs w:val="21"/>
                      <w:vertAlign w:val="superscript"/>
                    </w:rPr>
                    <w:t>3</w:t>
                  </w:r>
                  <w:r>
                    <w:rPr>
                      <w:b/>
                      <w:szCs w:val="21"/>
                    </w:rPr>
                    <w:t>）</w:t>
                  </w:r>
                </w:p>
              </w:tc>
              <w:tc>
                <w:tcPr>
                  <w:tcW w:w="609"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超标</w:t>
                  </w:r>
                </w:p>
                <w:p>
                  <w:pPr>
                    <w:keepNext w:val="0"/>
                    <w:keepLines w:val="0"/>
                    <w:suppressLineNumbers w:val="0"/>
                    <w:snapToGrid w:val="0"/>
                    <w:spacing w:before="0" w:beforeAutospacing="0" w:after="0" w:afterAutospacing="0"/>
                    <w:ind w:left="0" w:right="0"/>
                    <w:jc w:val="center"/>
                    <w:rPr>
                      <w:b/>
                      <w:szCs w:val="21"/>
                    </w:rPr>
                  </w:pPr>
                  <w:r>
                    <w:rPr>
                      <w:b/>
                      <w:szCs w:val="21"/>
                    </w:rPr>
                    <w:t>倍数</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达标</w:t>
                  </w:r>
                </w:p>
                <w:p>
                  <w:pPr>
                    <w:keepNext w:val="0"/>
                    <w:keepLines w:val="0"/>
                    <w:suppressLineNumbers w:val="0"/>
                    <w:snapToGrid w:val="0"/>
                    <w:spacing w:before="0" w:beforeAutospacing="0" w:after="0" w:afterAutospacing="0"/>
                    <w:ind w:left="0" w:right="0"/>
                    <w:jc w:val="center"/>
                    <w:rPr>
                      <w:b/>
                      <w:szCs w:val="21"/>
                    </w:rPr>
                  </w:pPr>
                  <w:r>
                    <w:rPr>
                      <w:b/>
                      <w:szCs w:val="21"/>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restart"/>
                  <w:vAlign w:val="center"/>
                </w:tcPr>
                <w:p>
                  <w:pPr>
                    <w:keepNext w:val="0"/>
                    <w:keepLines w:val="0"/>
                    <w:suppressLineNumbers w:val="0"/>
                    <w:adjustRightInd w:val="0"/>
                    <w:snapToGrid w:val="0"/>
                    <w:spacing w:before="0" w:beforeAutospacing="0" w:after="0" w:afterAutospacing="0"/>
                    <w:ind w:left="0" w:right="92"/>
                    <w:jc w:val="center"/>
                  </w:pPr>
                  <w:r>
                    <w:t>常</w:t>
                  </w:r>
                  <w:r>
                    <w:rPr>
                      <w:bCs/>
                      <w:szCs w:val="21"/>
                    </w:rPr>
                    <w:t>州</w:t>
                  </w:r>
                  <w:r>
                    <w:t>全市</w:t>
                  </w:r>
                </w:p>
                <w:p>
                  <w:pPr>
                    <w:pStyle w:val="2"/>
                    <w:keepNext w:val="0"/>
                    <w:keepLines w:val="0"/>
                    <w:suppressLineNumbers w:val="0"/>
                    <w:spacing w:before="0" w:beforeAutospacing="0" w:afterAutospacing="0"/>
                    <w:ind w:left="1470" w:right="1470"/>
                    <w:jc w:val="center"/>
                    <w:rPr>
                      <w:rFonts w:ascii="Times New Roman" w:hAnsi="Times New Roman"/>
                    </w:rPr>
                  </w:pPr>
                </w:p>
              </w:tc>
              <w:tc>
                <w:tcPr>
                  <w:tcW w:w="472" w:type="pct"/>
                  <w:vMerge w:val="restar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SO</w:t>
                  </w:r>
                  <w:r>
                    <w:rPr>
                      <w:bCs/>
                      <w:szCs w:val="21"/>
                      <w:vertAlign w:val="subscript"/>
                    </w:rPr>
                    <w:t>2</w:t>
                  </w: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年均值</w:t>
                  </w:r>
                </w:p>
              </w:tc>
              <w:tc>
                <w:tcPr>
                  <w:tcW w:w="84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9</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60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pStyle w:val="2"/>
                    <w:keepNext w:val="0"/>
                    <w:keepLines w:val="0"/>
                    <w:suppressLineNumbers w:val="0"/>
                    <w:spacing w:before="0" w:beforeAutospacing="0" w:afterAutospacing="0"/>
                    <w:ind w:left="1470" w:right="1470"/>
                    <w:jc w:val="center"/>
                    <w:rPr>
                      <w:rFonts w:ascii="Times New Roman" w:hAnsi="Times New Roman"/>
                    </w:rPr>
                  </w:pPr>
                </w:p>
              </w:tc>
              <w:tc>
                <w:tcPr>
                  <w:tcW w:w="472"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日均值浓度范围</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Cs/>
                      <w:szCs w:val="21"/>
                      <w:lang w:val="en-US" w:eastAsia="zh-CN"/>
                    </w:rPr>
                  </w:pPr>
                  <w:r>
                    <w:rPr>
                      <w:rFonts w:hint="eastAsia"/>
                      <w:bCs/>
                      <w:szCs w:val="21"/>
                      <w:lang w:val="en-US" w:eastAsia="zh-CN"/>
                    </w:rPr>
                    <w:t>5</w:t>
                  </w:r>
                  <w:r>
                    <w:rPr>
                      <w:bCs/>
                      <w:szCs w:val="21"/>
                    </w:rPr>
                    <w:t>～</w:t>
                  </w:r>
                  <w:r>
                    <w:rPr>
                      <w:rFonts w:hint="eastAsia"/>
                      <w:bCs/>
                      <w:szCs w:val="21"/>
                      <w:lang w:val="en-US" w:eastAsia="zh-CN"/>
                    </w:rPr>
                    <w:t>21</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150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restar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NO</w:t>
                  </w:r>
                  <w:r>
                    <w:rPr>
                      <w:bCs/>
                      <w:szCs w:val="21"/>
                      <w:vertAlign w:val="subscript"/>
                    </w:rPr>
                    <w:t>2</w:t>
                  </w: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年均值</w:t>
                  </w:r>
                </w:p>
              </w:tc>
              <w:tc>
                <w:tcPr>
                  <w:tcW w:w="84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35</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40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1417"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日均值浓度范围</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rFonts w:hint="eastAsia"/>
                      <w:b/>
                      <w:szCs w:val="21"/>
                      <w:lang w:val="en-US" w:eastAsia="zh-CN"/>
                    </w:rPr>
                    <w:t>6</w:t>
                  </w:r>
                  <w:r>
                    <w:rPr>
                      <w:b/>
                      <w:szCs w:val="21"/>
                    </w:rPr>
                    <w:t>～1</w:t>
                  </w:r>
                  <w:r>
                    <w:rPr>
                      <w:rFonts w:hint="eastAsia"/>
                      <w:b/>
                      <w:szCs w:val="21"/>
                      <w:lang w:val="en-US" w:eastAsia="zh-CN"/>
                    </w:rPr>
                    <w:t>10</w:t>
                  </w:r>
                </w:p>
              </w:tc>
              <w:tc>
                <w:tcPr>
                  <w:tcW w:w="716"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80</w:t>
                  </w:r>
                </w:p>
              </w:tc>
              <w:tc>
                <w:tcPr>
                  <w:tcW w:w="609"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b/>
                      <w:szCs w:val="21"/>
                    </w:rPr>
                    <w:t>0.</w:t>
                  </w:r>
                  <w:r>
                    <w:rPr>
                      <w:rFonts w:hint="eastAsia"/>
                      <w:b/>
                      <w:szCs w:val="21"/>
                      <w:lang w:val="en-US" w:eastAsia="zh-CN"/>
                    </w:rPr>
                    <w:t>375</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restar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PM</w:t>
                  </w:r>
                  <w:r>
                    <w:rPr>
                      <w:bCs/>
                      <w:szCs w:val="21"/>
                      <w:vertAlign w:val="subscript"/>
                    </w:rPr>
                    <w:t>10</w:t>
                  </w: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年均值</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Cs/>
                      <w:szCs w:val="21"/>
                      <w:lang w:val="en-US" w:eastAsia="zh-CN"/>
                    </w:rPr>
                  </w:pPr>
                  <w:r>
                    <w:rPr>
                      <w:rFonts w:hint="eastAsia"/>
                      <w:bCs/>
                      <w:szCs w:val="21"/>
                      <w:lang w:val="en-US" w:eastAsia="zh-CN"/>
                    </w:rPr>
                    <w:t>60</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70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1417"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日均值浓度范围</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rFonts w:hint="eastAsia"/>
                      <w:b/>
                      <w:szCs w:val="21"/>
                      <w:lang w:val="en-US" w:eastAsia="zh-CN"/>
                    </w:rPr>
                    <w:t>9</w:t>
                  </w:r>
                  <w:r>
                    <w:rPr>
                      <w:b/>
                      <w:szCs w:val="21"/>
                    </w:rPr>
                    <w:t>～</w:t>
                  </w:r>
                  <w:r>
                    <w:rPr>
                      <w:rFonts w:hint="eastAsia"/>
                      <w:b/>
                      <w:szCs w:val="21"/>
                      <w:lang w:val="en-US" w:eastAsia="zh-CN"/>
                    </w:rPr>
                    <w:t>187</w:t>
                  </w:r>
                </w:p>
              </w:tc>
              <w:tc>
                <w:tcPr>
                  <w:tcW w:w="716"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150</w:t>
                  </w:r>
                </w:p>
              </w:tc>
              <w:tc>
                <w:tcPr>
                  <w:tcW w:w="609"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b/>
                      <w:szCs w:val="21"/>
                    </w:rPr>
                    <w:t>0.</w:t>
                  </w:r>
                  <w:r>
                    <w:rPr>
                      <w:rFonts w:hint="eastAsia"/>
                      <w:b/>
                      <w:szCs w:val="21"/>
                      <w:lang w:val="en-US" w:eastAsia="zh-CN"/>
                    </w:rPr>
                    <w:t>25</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restar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PM</w:t>
                  </w:r>
                  <w:r>
                    <w:rPr>
                      <w:bCs/>
                      <w:szCs w:val="21"/>
                      <w:vertAlign w:val="subscript"/>
                    </w:rPr>
                    <w:t>2.5</w:t>
                  </w:r>
                </w:p>
              </w:tc>
              <w:tc>
                <w:tcPr>
                  <w:tcW w:w="1417" w:type="pct"/>
                  <w:vAlign w:val="center"/>
                </w:tcPr>
                <w:p>
                  <w:pPr>
                    <w:keepNext w:val="0"/>
                    <w:keepLines w:val="0"/>
                    <w:suppressLineNumbers w:val="0"/>
                    <w:snapToGrid w:val="0"/>
                    <w:spacing w:before="0" w:beforeAutospacing="0" w:after="0" w:afterAutospacing="0"/>
                    <w:ind w:left="0" w:right="0"/>
                    <w:jc w:val="center"/>
                    <w:rPr>
                      <w:b w:val="0"/>
                      <w:bCs/>
                      <w:szCs w:val="21"/>
                    </w:rPr>
                  </w:pPr>
                  <w:r>
                    <w:rPr>
                      <w:b w:val="0"/>
                      <w:bCs/>
                      <w:szCs w:val="21"/>
                    </w:rPr>
                    <w:t>年均值</w:t>
                  </w:r>
                </w:p>
              </w:tc>
              <w:tc>
                <w:tcPr>
                  <w:tcW w:w="847" w:type="pct"/>
                  <w:vAlign w:val="center"/>
                </w:tcPr>
                <w:p>
                  <w:pPr>
                    <w:keepNext w:val="0"/>
                    <w:keepLines w:val="0"/>
                    <w:suppressLineNumbers w:val="0"/>
                    <w:snapToGrid w:val="0"/>
                    <w:spacing w:before="0" w:beforeAutospacing="0" w:after="0" w:afterAutospacing="0"/>
                    <w:ind w:left="0" w:right="0"/>
                    <w:jc w:val="center"/>
                    <w:rPr>
                      <w:rFonts w:hint="eastAsia" w:eastAsia="宋体"/>
                      <w:b w:val="0"/>
                      <w:bCs/>
                      <w:szCs w:val="21"/>
                      <w:lang w:eastAsia="zh-CN"/>
                    </w:rPr>
                  </w:pPr>
                  <w:r>
                    <w:rPr>
                      <w:b w:val="0"/>
                      <w:bCs/>
                      <w:szCs w:val="21"/>
                    </w:rPr>
                    <w:t>3</w:t>
                  </w:r>
                  <w:r>
                    <w:rPr>
                      <w:rFonts w:hint="eastAsia"/>
                      <w:b w:val="0"/>
                      <w:bCs/>
                      <w:szCs w:val="21"/>
                      <w:lang w:val="en-US" w:eastAsia="zh-CN"/>
                    </w:rPr>
                    <w:t>5</w:t>
                  </w:r>
                </w:p>
              </w:tc>
              <w:tc>
                <w:tcPr>
                  <w:tcW w:w="716" w:type="pct"/>
                  <w:vAlign w:val="center"/>
                </w:tcPr>
                <w:p>
                  <w:pPr>
                    <w:keepNext w:val="0"/>
                    <w:keepLines w:val="0"/>
                    <w:suppressLineNumbers w:val="0"/>
                    <w:snapToGrid w:val="0"/>
                    <w:spacing w:before="0" w:beforeAutospacing="0" w:after="0" w:afterAutospacing="0"/>
                    <w:ind w:left="0" w:right="0"/>
                    <w:jc w:val="center"/>
                    <w:rPr>
                      <w:b w:val="0"/>
                      <w:bCs/>
                      <w:szCs w:val="21"/>
                    </w:rPr>
                  </w:pPr>
                  <w:r>
                    <w:rPr>
                      <w:b w:val="0"/>
                      <w:bCs/>
                      <w:szCs w:val="21"/>
                    </w:rPr>
                    <w:t>35</w:t>
                  </w:r>
                </w:p>
              </w:tc>
              <w:tc>
                <w:tcPr>
                  <w:tcW w:w="609" w:type="pct"/>
                  <w:vAlign w:val="center"/>
                </w:tcPr>
                <w:p>
                  <w:pPr>
                    <w:keepNext w:val="0"/>
                    <w:keepLines w:val="0"/>
                    <w:suppressLineNumbers w:val="0"/>
                    <w:snapToGrid w:val="0"/>
                    <w:spacing w:before="0" w:beforeAutospacing="0" w:after="0" w:afterAutospacing="0"/>
                    <w:ind w:left="0" w:right="0"/>
                    <w:jc w:val="center"/>
                    <w:rPr>
                      <w:rFonts w:hint="eastAsia" w:eastAsia="宋体"/>
                      <w:b/>
                      <w:szCs w:val="21"/>
                      <w:lang w:eastAsia="zh-CN"/>
                    </w:rPr>
                  </w:pPr>
                  <w:r>
                    <w:rPr>
                      <w:rFonts w:hint="eastAsia"/>
                      <w:b/>
                      <w:szCs w:val="21"/>
                      <w:lang w:val="en-US" w:eastAsia="zh-CN"/>
                    </w:rPr>
                    <w:t>/</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1417"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日均值浓度范围</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rFonts w:hint="eastAsia"/>
                      <w:b/>
                      <w:szCs w:val="21"/>
                      <w:lang w:val="en-US" w:eastAsia="zh-CN"/>
                    </w:rPr>
                    <w:t>5</w:t>
                  </w:r>
                  <w:r>
                    <w:rPr>
                      <w:b/>
                      <w:szCs w:val="21"/>
                    </w:rPr>
                    <w:t>～</w:t>
                  </w:r>
                  <w:r>
                    <w:rPr>
                      <w:rFonts w:hint="eastAsia"/>
                      <w:b/>
                      <w:szCs w:val="21"/>
                      <w:lang w:val="en-US" w:eastAsia="zh-CN"/>
                    </w:rPr>
                    <w:t>131</w:t>
                  </w:r>
                </w:p>
              </w:tc>
              <w:tc>
                <w:tcPr>
                  <w:tcW w:w="716"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75</w:t>
                  </w:r>
                </w:p>
              </w:tc>
              <w:tc>
                <w:tcPr>
                  <w:tcW w:w="609"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rFonts w:hint="eastAsia"/>
                      <w:b/>
                      <w:szCs w:val="21"/>
                      <w:lang w:val="en-US" w:eastAsia="zh-CN"/>
                    </w:rPr>
                    <w:t>0.75</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restar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CO</w:t>
                  </w: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日均值的第95百分位数</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Cs/>
                      <w:szCs w:val="21"/>
                      <w:lang w:val="en-US" w:eastAsia="zh-CN"/>
                    </w:rPr>
                  </w:pPr>
                  <w:r>
                    <w:rPr>
                      <w:bCs/>
                      <w:szCs w:val="21"/>
                    </w:rPr>
                    <w:t>1</w:t>
                  </w:r>
                  <w:r>
                    <w:rPr>
                      <w:rFonts w:hint="eastAsia"/>
                      <w:bCs/>
                      <w:szCs w:val="21"/>
                      <w:lang w:val="en-US" w:eastAsia="zh-CN"/>
                    </w:rPr>
                    <w:t>100</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4000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1417"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日均值浓度范围</w:t>
                  </w:r>
                </w:p>
              </w:tc>
              <w:tc>
                <w:tcPr>
                  <w:tcW w:w="847" w:type="pct"/>
                  <w:vAlign w:val="center"/>
                </w:tcPr>
                <w:p>
                  <w:pPr>
                    <w:keepNext w:val="0"/>
                    <w:keepLines w:val="0"/>
                    <w:suppressLineNumbers w:val="0"/>
                    <w:snapToGrid w:val="0"/>
                    <w:spacing w:before="0" w:beforeAutospacing="0" w:after="0" w:afterAutospacing="0"/>
                    <w:ind w:left="0" w:right="0"/>
                    <w:jc w:val="center"/>
                    <w:rPr>
                      <w:bCs/>
                      <w:szCs w:val="21"/>
                    </w:rPr>
                  </w:pPr>
                  <w:r>
                    <w:rPr>
                      <w:rFonts w:hint="eastAsia"/>
                      <w:bCs/>
                      <w:szCs w:val="21"/>
                      <w:lang w:val="en-US" w:eastAsia="zh-CN"/>
                    </w:rPr>
                    <w:t>4</w:t>
                  </w:r>
                  <w:r>
                    <w:rPr>
                      <w:bCs/>
                      <w:szCs w:val="21"/>
                    </w:rPr>
                    <w:t>00～1</w:t>
                  </w:r>
                  <w:r>
                    <w:rPr>
                      <w:rFonts w:hint="eastAsia"/>
                      <w:bCs/>
                      <w:szCs w:val="21"/>
                      <w:lang w:val="en-US" w:eastAsia="zh-CN"/>
                    </w:rPr>
                    <w:t>6</w:t>
                  </w:r>
                  <w:r>
                    <w:rPr>
                      <w:bCs/>
                      <w:szCs w:val="21"/>
                    </w:rPr>
                    <w:t>00</w:t>
                  </w:r>
                </w:p>
              </w:tc>
              <w:tc>
                <w:tcPr>
                  <w:tcW w:w="716"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4000</w:t>
                  </w:r>
                </w:p>
              </w:tc>
              <w:tc>
                <w:tcPr>
                  <w:tcW w:w="609"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w:t>
                  </w:r>
                </w:p>
              </w:tc>
              <w:tc>
                <w:tcPr>
                  <w:tcW w:w="561" w:type="pct"/>
                  <w:vAlign w:val="center"/>
                </w:tcPr>
                <w:p>
                  <w:pPr>
                    <w:keepNext w:val="0"/>
                    <w:keepLines w:val="0"/>
                    <w:suppressLineNumbers w:val="0"/>
                    <w:snapToGrid w:val="0"/>
                    <w:spacing w:before="0" w:beforeAutospacing="0" w:after="0" w:afterAutospacing="0"/>
                    <w:ind w:left="0" w:right="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3" w:type="pct"/>
                  <w:vMerge w:val="continue"/>
                  <w:vAlign w:val="center"/>
                </w:tcPr>
                <w:p>
                  <w:pPr>
                    <w:keepNext w:val="0"/>
                    <w:keepLines w:val="0"/>
                    <w:suppressLineNumbers w:val="0"/>
                    <w:adjustRightInd w:val="0"/>
                    <w:snapToGrid w:val="0"/>
                    <w:spacing w:before="0" w:beforeAutospacing="0" w:after="0" w:afterAutospacing="0"/>
                    <w:ind w:left="0" w:right="92"/>
                    <w:jc w:val="center"/>
                    <w:rPr>
                      <w:bCs/>
                      <w:szCs w:val="21"/>
                    </w:rPr>
                  </w:pPr>
                </w:p>
              </w:tc>
              <w:tc>
                <w:tcPr>
                  <w:tcW w:w="472"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O</w:t>
                  </w:r>
                  <w:r>
                    <w:rPr>
                      <w:bCs/>
                      <w:szCs w:val="21"/>
                      <w:vertAlign w:val="subscript"/>
                    </w:rPr>
                    <w:t>3</w:t>
                  </w:r>
                </w:p>
              </w:tc>
              <w:tc>
                <w:tcPr>
                  <w:tcW w:w="1417"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日最大8h滑动平均值第90百分位数</w:t>
                  </w:r>
                </w:p>
              </w:tc>
              <w:tc>
                <w:tcPr>
                  <w:tcW w:w="847" w:type="pct"/>
                  <w:vAlign w:val="center"/>
                </w:tcPr>
                <w:p>
                  <w:pPr>
                    <w:keepNext w:val="0"/>
                    <w:keepLines w:val="0"/>
                    <w:suppressLineNumbers w:val="0"/>
                    <w:snapToGrid w:val="0"/>
                    <w:spacing w:before="0" w:beforeAutospacing="0" w:after="0" w:afterAutospacing="0"/>
                    <w:ind w:left="0" w:right="0"/>
                    <w:jc w:val="center"/>
                    <w:rPr>
                      <w:rFonts w:hint="default" w:eastAsia="宋体"/>
                      <w:b/>
                      <w:szCs w:val="21"/>
                      <w:lang w:val="en-US" w:eastAsia="zh-CN"/>
                    </w:rPr>
                  </w:pPr>
                  <w:r>
                    <w:rPr>
                      <w:rFonts w:hint="eastAsia"/>
                      <w:b/>
                      <w:szCs w:val="21"/>
                      <w:lang w:val="en-US" w:eastAsia="zh-CN"/>
                    </w:rPr>
                    <w:t>174</w:t>
                  </w:r>
                </w:p>
              </w:tc>
              <w:tc>
                <w:tcPr>
                  <w:tcW w:w="716"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160</w:t>
                  </w:r>
                </w:p>
              </w:tc>
              <w:tc>
                <w:tcPr>
                  <w:tcW w:w="609" w:type="pct"/>
                  <w:vAlign w:val="center"/>
                </w:tcPr>
                <w:p>
                  <w:pPr>
                    <w:keepNext w:val="0"/>
                    <w:keepLines w:val="0"/>
                    <w:suppressLineNumbers w:val="0"/>
                    <w:snapToGrid w:val="0"/>
                    <w:spacing w:before="0" w:beforeAutospacing="0" w:after="0" w:afterAutospacing="0"/>
                    <w:ind w:left="0" w:right="0"/>
                    <w:jc w:val="center"/>
                    <w:rPr>
                      <w:rFonts w:hint="eastAsia" w:eastAsia="宋体"/>
                      <w:b/>
                      <w:szCs w:val="21"/>
                      <w:lang w:eastAsia="zh-CN"/>
                    </w:rPr>
                  </w:pPr>
                  <w:r>
                    <w:rPr>
                      <w:b/>
                      <w:szCs w:val="21"/>
                    </w:rPr>
                    <w:t>0.0</w:t>
                  </w:r>
                  <w:r>
                    <w:rPr>
                      <w:rFonts w:hint="eastAsia"/>
                      <w:b/>
                      <w:szCs w:val="21"/>
                      <w:lang w:val="en-US" w:eastAsia="zh-CN"/>
                    </w:rPr>
                    <w:t>9</w:t>
                  </w:r>
                </w:p>
              </w:tc>
              <w:tc>
                <w:tcPr>
                  <w:tcW w:w="561" w:type="pct"/>
                  <w:vAlign w:val="center"/>
                </w:tcPr>
                <w:p>
                  <w:pPr>
                    <w:keepNext w:val="0"/>
                    <w:keepLines w:val="0"/>
                    <w:suppressLineNumbers w:val="0"/>
                    <w:snapToGrid w:val="0"/>
                    <w:spacing w:before="0" w:beforeAutospacing="0" w:after="0" w:afterAutospacing="0"/>
                    <w:ind w:left="0" w:right="0"/>
                    <w:jc w:val="center"/>
                    <w:rPr>
                      <w:b/>
                      <w:szCs w:val="21"/>
                    </w:rPr>
                  </w:pPr>
                  <w:r>
                    <w:rPr>
                      <w:b/>
                      <w:szCs w:val="21"/>
                    </w:rPr>
                    <w:t>超标</w:t>
                  </w:r>
                </w:p>
              </w:tc>
            </w:tr>
          </w:tbl>
          <w:p>
            <w:pPr>
              <w:keepNext w:val="0"/>
              <w:keepLines w:val="0"/>
              <w:suppressLineNumbers w:val="0"/>
              <w:spacing w:before="0" w:beforeAutospacing="0" w:after="0" w:afterAutospacing="0" w:line="360" w:lineRule="auto"/>
              <w:ind w:left="0" w:right="0" w:firstLine="480" w:firstLineChars="200"/>
              <w:rPr>
                <w:color w:val="0000FF"/>
                <w:sz w:val="24"/>
              </w:rPr>
            </w:pPr>
            <w:r>
              <w:rPr>
                <w:sz w:val="24"/>
              </w:rPr>
              <w:t>202</w:t>
            </w:r>
            <w:r>
              <w:rPr>
                <w:rFonts w:hint="eastAsia"/>
                <w:sz w:val="24"/>
                <w:lang w:val="en-US" w:eastAsia="zh-CN"/>
              </w:rPr>
              <w:t>1</w:t>
            </w:r>
            <w:r>
              <w:rPr>
                <w:sz w:val="24"/>
              </w:rPr>
              <w:t>年常州市环境空气中SO</w:t>
            </w:r>
            <w:r>
              <w:rPr>
                <w:sz w:val="24"/>
                <w:vertAlign w:val="subscript"/>
              </w:rPr>
              <w:t>2</w:t>
            </w:r>
            <w:r>
              <w:rPr>
                <w:sz w:val="24"/>
              </w:rPr>
              <w:t>年均值与日均值、NO</w:t>
            </w:r>
            <w:r>
              <w:rPr>
                <w:sz w:val="24"/>
                <w:vertAlign w:val="subscript"/>
              </w:rPr>
              <w:t>2</w:t>
            </w:r>
            <w:r>
              <w:rPr>
                <w:sz w:val="24"/>
              </w:rPr>
              <w:t>年均值、PM</w:t>
            </w:r>
            <w:r>
              <w:rPr>
                <w:sz w:val="24"/>
                <w:vertAlign w:val="subscript"/>
              </w:rPr>
              <w:t>10</w:t>
            </w:r>
            <w:r>
              <w:rPr>
                <w:sz w:val="24"/>
              </w:rPr>
              <w:t>年均值</w:t>
            </w:r>
            <w:r>
              <w:rPr>
                <w:rFonts w:hint="eastAsia"/>
                <w:sz w:val="24"/>
                <w:lang w:eastAsia="zh-CN"/>
              </w:rPr>
              <w:t>、</w:t>
            </w:r>
            <w:r>
              <w:rPr>
                <w:sz w:val="24"/>
              </w:rPr>
              <w:t>PM</w:t>
            </w:r>
            <w:r>
              <w:rPr>
                <w:rFonts w:hint="eastAsia"/>
                <w:sz w:val="24"/>
                <w:vertAlign w:val="subscript"/>
                <w:lang w:val="en-US" w:eastAsia="zh-CN"/>
              </w:rPr>
              <w:t>2.5</w:t>
            </w:r>
            <w:r>
              <w:rPr>
                <w:sz w:val="24"/>
              </w:rPr>
              <w:t>年均值和CO日均值均达到环境空气质量二级标准；NO</w:t>
            </w:r>
            <w:r>
              <w:rPr>
                <w:sz w:val="24"/>
                <w:vertAlign w:val="subscript"/>
              </w:rPr>
              <w:t>2</w:t>
            </w:r>
            <w:r>
              <w:rPr>
                <w:sz w:val="24"/>
              </w:rPr>
              <w:t>日均值、PM</w:t>
            </w:r>
            <w:r>
              <w:rPr>
                <w:sz w:val="24"/>
                <w:vertAlign w:val="subscript"/>
              </w:rPr>
              <w:t>10</w:t>
            </w:r>
            <w:r>
              <w:rPr>
                <w:sz w:val="24"/>
              </w:rPr>
              <w:t>日均值、PM</w:t>
            </w:r>
            <w:r>
              <w:rPr>
                <w:sz w:val="24"/>
                <w:vertAlign w:val="subscript"/>
              </w:rPr>
              <w:t>2.5</w:t>
            </w:r>
            <w:r>
              <w:rPr>
                <w:sz w:val="24"/>
              </w:rPr>
              <w:t>日均值、臭氧日最大8小时滑动平均值第90百分位数浓度均超过环境空气质量二级标准，因此判定为</w:t>
            </w:r>
            <w:r>
              <w:rPr>
                <w:rFonts w:hint="eastAsia"/>
                <w:sz w:val="24"/>
                <w:lang w:eastAsia="zh-CN"/>
              </w:rPr>
              <w:t>非</w:t>
            </w:r>
            <w:r>
              <w:rPr>
                <w:sz w:val="24"/>
              </w:rPr>
              <w:t>达标区。</w:t>
            </w:r>
          </w:p>
          <w:p>
            <w:pPr>
              <w:keepNext w:val="0"/>
              <w:keepLines w:val="0"/>
              <w:suppressLineNumbers w:val="0"/>
              <w:snapToGrid w:val="0"/>
              <w:spacing w:before="0" w:beforeAutospacing="0" w:after="0" w:afterAutospacing="0" w:line="360" w:lineRule="auto"/>
              <w:ind w:left="0" w:right="0" w:firstLine="480" w:firstLineChars="200"/>
              <w:rPr>
                <w:sz w:val="24"/>
                <w:szCs w:val="22"/>
              </w:rPr>
            </w:pPr>
            <w:r>
              <w:rPr>
                <w:sz w:val="24"/>
                <w:szCs w:val="22"/>
              </w:rPr>
              <w:t>（2）大气环境质量改善方案</w:t>
            </w:r>
          </w:p>
          <w:p>
            <w:pPr>
              <w:keepNext w:val="0"/>
              <w:keepLines w:val="0"/>
              <w:suppressLineNumbers w:val="0"/>
              <w:spacing w:before="0" w:beforeAutospacing="0" w:after="0" w:afterAutospacing="0" w:line="360" w:lineRule="auto"/>
              <w:ind w:left="0" w:right="0" w:firstLine="480" w:firstLineChars="200"/>
              <w:rPr>
                <w:sz w:val="24"/>
              </w:rPr>
            </w:pPr>
            <w:r>
              <w:rPr>
                <w:rFonts w:hint="eastAsia"/>
                <w:sz w:val="24"/>
              </w:rPr>
              <w:t>1）</w:t>
            </w:r>
            <w:r>
              <w:rPr>
                <w:sz w:val="24"/>
              </w:rPr>
              <w:t>为改善大气环境质量，常州市大气污染防治联席会议办公室发布了《市大气办关于印发常州市提升大气环境质量强化管控方案的通知》（常大气办﹝2018﹞3号），明确采取严格燃煤电厂（含热电）排污控制、严控燃煤污染、强化施工扬尘污染控制、实施重点废气排放企业限产、停产等多项措施，强化对常州市域轻度污染以上但未达重污染天气预警启动条件污染天的管控。</w:t>
            </w:r>
          </w:p>
          <w:p>
            <w:pPr>
              <w:keepNext w:val="0"/>
              <w:keepLines w:val="0"/>
              <w:suppressLineNumbers w:val="0"/>
              <w:spacing w:before="0" w:beforeAutospacing="0" w:after="0" w:afterAutospacing="0" w:line="360" w:lineRule="auto"/>
              <w:ind w:left="0" w:right="0" w:firstLine="480" w:firstLineChars="200"/>
              <w:rPr>
                <w:sz w:val="24"/>
              </w:rPr>
            </w:pPr>
            <w:r>
              <w:rPr>
                <w:rFonts w:hint="eastAsia"/>
                <w:sz w:val="24"/>
                <w:szCs w:val="22"/>
              </w:rPr>
              <w:t>2）</w:t>
            </w:r>
            <w:r>
              <w:rPr>
                <w:sz w:val="24"/>
                <w:szCs w:val="22"/>
              </w:rPr>
              <w:t>常州市人民</w:t>
            </w:r>
            <w:r>
              <w:rPr>
                <w:sz w:val="24"/>
              </w:rPr>
              <w:t>政府2021年4月20日印发了《2021年常州市深入打好污染防治攻坚战工作方案》（常政发[2021]21号），工作方案目标为</w:t>
            </w:r>
            <w:r>
              <w:rPr>
                <w:sz w:val="24"/>
                <w:shd w:val="clear" w:color="auto" w:fill="FFFFFF"/>
              </w:rPr>
              <w:t>环境空气质量持续改善，完成省下达的约束性指标，PM</w:t>
            </w:r>
            <w:r>
              <w:rPr>
                <w:sz w:val="24"/>
                <w:shd w:val="clear" w:color="auto" w:fill="FFFFFF"/>
                <w:vertAlign w:val="subscript"/>
              </w:rPr>
              <w:t>2.5</w:t>
            </w:r>
            <w:r>
              <w:rPr>
                <w:sz w:val="24"/>
                <w:shd w:val="clear" w:color="auto" w:fill="FFFFFF"/>
              </w:rPr>
              <w:t>浓度工作目标40微克/立方米，优良天数比率工作目标80.7%。氮氧化物和VOC</w:t>
            </w:r>
            <w:r>
              <w:rPr>
                <w:sz w:val="24"/>
                <w:shd w:val="clear" w:color="auto" w:fill="FFFFFF"/>
                <w:vertAlign w:val="subscript"/>
              </w:rPr>
              <w:t>S</w:t>
            </w:r>
            <w:r>
              <w:rPr>
                <w:sz w:val="24"/>
                <w:shd w:val="clear" w:color="auto" w:fill="FFFFFF"/>
              </w:rPr>
              <w:t>排放量较2020年分</w:t>
            </w:r>
            <w:r>
              <w:rPr>
                <w:sz w:val="24"/>
              </w:rPr>
              <w:t>别削减8%以上和10%以</w:t>
            </w:r>
            <w:r>
              <w:rPr>
                <w:sz w:val="24"/>
                <w:shd w:val="clear" w:color="auto" w:fill="FFFFFF"/>
              </w:rPr>
              <w:t>上。重点任务：</w:t>
            </w:r>
          </w:p>
          <w:p>
            <w:pPr>
              <w:keepNext w:val="0"/>
              <w:keepLines w:val="0"/>
              <w:suppressLineNumbers w:val="0"/>
              <w:spacing w:before="0" w:beforeAutospacing="0" w:after="0" w:afterAutospacing="0" w:line="360" w:lineRule="auto"/>
              <w:ind w:left="0" w:right="0" w:firstLine="480" w:firstLineChars="200"/>
              <w:rPr>
                <w:sz w:val="24"/>
              </w:rPr>
            </w:pPr>
            <w:r>
              <w:rPr>
                <w:sz w:val="24"/>
              </w:rPr>
              <w:t>①深入推进VOCs治理：有序推进各类涉VOCs产品质量标准和要求的推广实施和执行，完成涉VOCs各类园区、企业集群的排查整治及VOCs储罐排查治理，做好相应台账资料和管理信息登记，开展工程机械、交通工具（汽车、摩托车、自行车总成及零部件）制造行业排查整治。</w:t>
            </w:r>
          </w:p>
          <w:p>
            <w:pPr>
              <w:keepNext w:val="0"/>
              <w:keepLines w:val="0"/>
              <w:suppressLineNumbers w:val="0"/>
              <w:spacing w:before="0" w:beforeAutospacing="0" w:after="0" w:afterAutospacing="0" w:line="360" w:lineRule="auto"/>
              <w:ind w:left="0" w:right="0" w:firstLine="480" w:firstLineChars="200"/>
              <w:rPr>
                <w:sz w:val="24"/>
              </w:rPr>
            </w:pPr>
            <w:r>
              <w:rPr>
                <w:sz w:val="24"/>
              </w:rPr>
              <w:t>②深化重点行业污染治理：推进燃煤、燃气、生物质锅炉和工业炉窑的超低排放改造工作，开展重点废气排放企业提升整治，继续开展铸造行业产能清理和综合整治。</w:t>
            </w:r>
          </w:p>
          <w:p>
            <w:pPr>
              <w:keepNext w:val="0"/>
              <w:keepLines w:val="0"/>
              <w:suppressLineNumbers w:val="0"/>
              <w:spacing w:before="0" w:beforeAutospacing="0" w:after="0" w:afterAutospacing="0" w:line="360" w:lineRule="auto"/>
              <w:ind w:left="0" w:right="0" w:firstLine="480" w:firstLineChars="200"/>
              <w:rPr>
                <w:sz w:val="24"/>
              </w:rPr>
            </w:pPr>
            <w:r>
              <w:rPr>
                <w:sz w:val="24"/>
              </w:rPr>
              <w:t>③实施精细化扬尘管控：严控各类工地、道路、码头堆场等重点区域扬尘污染，确保码头堆场和工地扬尘治理全</w:t>
            </w:r>
            <w:r>
              <w:rPr>
                <w:rFonts w:hint="eastAsia"/>
                <w:sz w:val="24"/>
                <w:lang w:eastAsia="zh-CN"/>
              </w:rPr>
              <w:t>敷</w:t>
            </w:r>
            <w:r>
              <w:rPr>
                <w:sz w:val="24"/>
              </w:rPr>
              <w:t>盖。</w:t>
            </w:r>
          </w:p>
          <w:p>
            <w:pPr>
              <w:keepNext w:val="0"/>
              <w:keepLines w:val="0"/>
              <w:suppressLineNumbers w:val="0"/>
              <w:spacing w:before="0" w:beforeAutospacing="0" w:after="0" w:afterAutospacing="0" w:line="360" w:lineRule="auto"/>
              <w:ind w:left="0" w:right="0" w:firstLine="480" w:firstLineChars="200"/>
              <w:rPr>
                <w:sz w:val="24"/>
              </w:rPr>
            </w:pPr>
            <w:r>
              <w:rPr>
                <w:sz w:val="24"/>
              </w:rPr>
              <w:t>④全面推进生活源治理：强化餐饮油烟监管，重点单位安装在线监控。</w:t>
            </w:r>
          </w:p>
          <w:p>
            <w:pPr>
              <w:keepNext w:val="0"/>
              <w:keepLines w:val="0"/>
              <w:suppressLineNumbers w:val="0"/>
              <w:spacing w:before="0" w:beforeAutospacing="0" w:after="0" w:afterAutospacing="0" w:line="360" w:lineRule="auto"/>
              <w:ind w:left="0" w:right="0" w:firstLine="480" w:firstLineChars="200"/>
              <w:rPr>
                <w:sz w:val="24"/>
              </w:rPr>
            </w:pPr>
            <w:r>
              <w:rPr>
                <w:sz w:val="24"/>
              </w:rPr>
              <w:t>⑤加强移动源污染防治：加快机动车结构升级，强化机动车监管，全面开展在用柴油车等各类机动车监督抽测，加强船舶和非道路移动机械污染防治，推进陆上和水上加油站、储油库油气回收在线监控建设，开展油气回收设施检查。</w:t>
            </w:r>
          </w:p>
          <w:p>
            <w:pPr>
              <w:keepNext w:val="0"/>
              <w:keepLines w:val="0"/>
              <w:suppressLineNumbers w:val="0"/>
              <w:spacing w:before="0" w:beforeAutospacing="0" w:after="0" w:afterAutospacing="0" w:line="360" w:lineRule="auto"/>
              <w:ind w:left="0" w:right="0" w:firstLine="480" w:firstLineChars="200"/>
              <w:rPr>
                <w:sz w:val="24"/>
              </w:rPr>
            </w:pPr>
            <w:r>
              <w:rPr>
                <w:sz w:val="24"/>
              </w:rPr>
              <w:t>⑥加强重污染天气应对：完成省定春夏季、秋冬季阶段性空气质量改善目标，优化预警流程，实现“分级预警，及时响应”。</w:t>
            </w:r>
          </w:p>
          <w:p>
            <w:pPr>
              <w:keepNext w:val="0"/>
              <w:keepLines w:val="0"/>
              <w:suppressLineNumbers w:val="0"/>
              <w:spacing w:before="0" w:beforeAutospacing="0" w:after="0" w:afterAutospacing="0" w:line="360" w:lineRule="auto"/>
              <w:ind w:left="0" w:right="0" w:firstLine="480" w:firstLineChars="200"/>
              <w:rPr>
                <w:sz w:val="24"/>
              </w:rPr>
            </w:pPr>
            <w:r>
              <w:rPr>
                <w:sz w:val="24"/>
              </w:rPr>
              <w:t>⑦开展重点区域排查整治：充分发挥热点网格精准溯源系统作用，建立健全工作机制，对网格报警问题实施报警、巡查、处置、反馈、复核的闭环管理工作流程，有效提升污染源管控水平。</w:t>
            </w:r>
          </w:p>
          <w:p>
            <w:pPr>
              <w:keepNext w:val="0"/>
              <w:keepLines w:val="0"/>
              <w:suppressLineNumbers w:val="0"/>
              <w:spacing w:before="0" w:beforeAutospacing="0" w:after="0" w:afterAutospacing="0" w:line="360" w:lineRule="auto"/>
              <w:ind w:left="0" w:right="0" w:firstLine="480" w:firstLineChars="200"/>
              <w:rPr>
                <w:sz w:val="24"/>
              </w:rPr>
            </w:pPr>
            <w:r>
              <w:rPr>
                <w:sz w:val="24"/>
              </w:rPr>
              <w:t>⑧努力打造碳达峰先行区：加快推进国家低碳城市试点任务，开展碳排放权有偿使用制度和低碳综合管理体系建设，推进碳达峰先行区建设。</w:t>
            </w:r>
          </w:p>
          <w:p>
            <w:pPr>
              <w:keepNext w:val="0"/>
              <w:keepLines w:val="0"/>
              <w:suppressLineNumbers w:val="0"/>
              <w:spacing w:before="0" w:beforeAutospacing="0" w:after="0" w:afterAutospacing="0" w:line="360" w:lineRule="auto"/>
              <w:ind w:left="0" w:right="0" w:firstLine="480" w:firstLineChars="200"/>
              <w:rPr>
                <w:sz w:val="24"/>
              </w:rPr>
            </w:pPr>
            <w:r>
              <w:rPr>
                <w:sz w:val="24"/>
              </w:rPr>
              <w:t>⑨优化调整四大结构，推动绿色低碳转型发展：优化调整空间结构，优化调整产业结构，优化调整能源结构，优化调整运输结构。</w:t>
            </w:r>
          </w:p>
          <w:p>
            <w:pPr>
              <w:keepNext w:val="0"/>
              <w:keepLines w:val="0"/>
              <w:suppressLineNumbers w:val="0"/>
              <w:spacing w:before="0" w:beforeAutospacing="0" w:after="0" w:afterAutospacing="0" w:line="360" w:lineRule="auto"/>
              <w:ind w:left="0" w:right="0" w:firstLine="480" w:firstLineChars="200"/>
              <w:rPr>
                <w:rFonts w:hAnsi="宋体"/>
                <w:sz w:val="24"/>
              </w:rPr>
            </w:pPr>
            <w:r>
              <w:rPr>
                <w:sz w:val="24"/>
              </w:rPr>
              <w:t>通过上述工作的不断推进实施，常州市环境空气质量将得到持续改善。</w:t>
            </w:r>
          </w:p>
          <w:p>
            <w:pPr>
              <w:keepNext w:val="0"/>
              <w:keepLines w:val="0"/>
              <w:suppressLineNumbers w:val="0"/>
              <w:spacing w:before="0" w:beforeAutospacing="0" w:after="0" w:afterAutospacing="0" w:line="360" w:lineRule="auto"/>
              <w:ind w:left="0" w:right="0" w:firstLine="480" w:firstLineChars="200"/>
              <w:rPr>
                <w:sz w:val="24"/>
                <w:szCs w:val="22"/>
              </w:rPr>
            </w:pPr>
            <w:r>
              <w:rPr>
                <w:sz w:val="24"/>
                <w:szCs w:val="22"/>
              </w:rPr>
              <w:t>（</w:t>
            </w:r>
            <w:r>
              <w:rPr>
                <w:rFonts w:hint="eastAsia"/>
                <w:sz w:val="24"/>
                <w:szCs w:val="22"/>
              </w:rPr>
              <w:t>3</w:t>
            </w:r>
            <w:r>
              <w:rPr>
                <w:sz w:val="24"/>
                <w:szCs w:val="22"/>
              </w:rPr>
              <w:t>）其他污染物环境质量现状评价</w:t>
            </w:r>
          </w:p>
          <w:p>
            <w:pPr>
              <w:keepNext w:val="0"/>
              <w:keepLines w:val="0"/>
              <w:suppressLineNumbers w:val="0"/>
              <w:spacing w:before="0" w:beforeAutospacing="0" w:after="0" w:afterAutospacing="0" w:line="360" w:lineRule="auto"/>
              <w:ind w:left="0" w:right="0" w:firstLine="480" w:firstLineChars="200"/>
              <w:rPr>
                <w:sz w:val="24"/>
                <w:szCs w:val="22"/>
              </w:rPr>
            </w:pPr>
            <w:r>
              <w:rPr>
                <w:sz w:val="24"/>
              </w:rPr>
              <w:t>本次环</w:t>
            </w:r>
            <w:r>
              <w:rPr>
                <w:sz w:val="24"/>
                <w:szCs w:val="22"/>
              </w:rPr>
              <w:t>境空气质量现状布设1个引用点G1，引用《</w:t>
            </w:r>
            <w:r>
              <w:rPr>
                <w:rFonts w:hint="eastAsia"/>
                <w:sz w:val="24"/>
                <w:szCs w:val="22"/>
              </w:rPr>
              <w:t>常州市京航机械表面处理有限公司</w:t>
            </w:r>
            <w:r>
              <w:rPr>
                <w:sz w:val="24"/>
                <w:szCs w:val="22"/>
              </w:rPr>
              <w:t>》中</w:t>
            </w:r>
            <w:r>
              <w:rPr>
                <w:rFonts w:hint="eastAsia"/>
                <w:sz w:val="24"/>
                <w:szCs w:val="22"/>
              </w:rPr>
              <w:t>江苏久诚检验检测有限公司</w:t>
            </w:r>
            <w:r>
              <w:rPr>
                <w:sz w:val="24"/>
                <w:szCs w:val="22"/>
              </w:rPr>
              <w:t>于20</w:t>
            </w:r>
            <w:r>
              <w:rPr>
                <w:rFonts w:hint="eastAsia"/>
                <w:sz w:val="24"/>
                <w:szCs w:val="22"/>
              </w:rPr>
              <w:t>21</w:t>
            </w:r>
            <w:r>
              <w:rPr>
                <w:sz w:val="24"/>
                <w:szCs w:val="22"/>
              </w:rPr>
              <w:t>年</w:t>
            </w:r>
            <w:r>
              <w:rPr>
                <w:rFonts w:hint="eastAsia"/>
                <w:sz w:val="24"/>
                <w:szCs w:val="22"/>
              </w:rPr>
              <w:t>11</w:t>
            </w:r>
            <w:r>
              <w:rPr>
                <w:sz w:val="24"/>
                <w:szCs w:val="22"/>
              </w:rPr>
              <w:t>月</w:t>
            </w:r>
            <w:r>
              <w:rPr>
                <w:rFonts w:hint="eastAsia"/>
                <w:sz w:val="24"/>
                <w:szCs w:val="22"/>
              </w:rPr>
              <w:t>2</w:t>
            </w:r>
            <w:r>
              <w:rPr>
                <w:sz w:val="24"/>
                <w:szCs w:val="22"/>
              </w:rPr>
              <w:t>日</w:t>
            </w:r>
            <w:r>
              <w:rPr>
                <w:rFonts w:hint="eastAsia"/>
                <w:sz w:val="24"/>
                <w:szCs w:val="22"/>
                <w:lang w:eastAsia="zh-CN"/>
              </w:rPr>
              <w:t>－</w:t>
            </w:r>
            <w:r>
              <w:rPr>
                <w:rFonts w:hint="eastAsia"/>
                <w:sz w:val="24"/>
                <w:szCs w:val="22"/>
              </w:rPr>
              <w:t>11</w:t>
            </w:r>
            <w:r>
              <w:rPr>
                <w:sz w:val="24"/>
                <w:szCs w:val="22"/>
              </w:rPr>
              <w:t>月</w:t>
            </w:r>
            <w:r>
              <w:rPr>
                <w:rFonts w:hint="eastAsia"/>
                <w:sz w:val="24"/>
                <w:szCs w:val="22"/>
              </w:rPr>
              <w:t>4</w:t>
            </w:r>
            <w:r>
              <w:rPr>
                <w:sz w:val="24"/>
                <w:szCs w:val="22"/>
              </w:rPr>
              <w:t>日对G1点位（</w:t>
            </w:r>
            <w:r>
              <w:rPr>
                <w:rFonts w:hint="eastAsia"/>
                <w:sz w:val="24"/>
                <w:szCs w:val="22"/>
              </w:rPr>
              <w:t>项目所在地</w:t>
            </w:r>
            <w:r>
              <w:rPr>
                <w:sz w:val="24"/>
                <w:szCs w:val="22"/>
              </w:rPr>
              <w:t>）连续</w:t>
            </w:r>
            <w:r>
              <w:rPr>
                <w:rFonts w:hint="eastAsia"/>
                <w:sz w:val="24"/>
                <w:szCs w:val="22"/>
              </w:rPr>
              <w:t>3</w:t>
            </w:r>
            <w:r>
              <w:rPr>
                <w:sz w:val="24"/>
                <w:szCs w:val="22"/>
              </w:rPr>
              <w:t>天的监测数据，报告编号：</w:t>
            </w:r>
            <w:r>
              <w:rPr>
                <w:rFonts w:hint="eastAsia"/>
                <w:sz w:val="24"/>
                <w:szCs w:val="22"/>
              </w:rPr>
              <w:t>JCH20210158</w:t>
            </w:r>
            <w:r>
              <w:rPr>
                <w:sz w:val="24"/>
                <w:szCs w:val="22"/>
              </w:rPr>
              <w:t>。引用点位见表</w:t>
            </w:r>
            <w:r>
              <w:rPr>
                <w:rFonts w:hint="eastAsia"/>
                <w:sz w:val="24"/>
                <w:szCs w:val="22"/>
              </w:rPr>
              <w:t>3-2</w:t>
            </w:r>
            <w:r>
              <w:rPr>
                <w:sz w:val="24"/>
                <w:szCs w:val="22"/>
              </w:rPr>
              <w:t>，监测数据结果见</w:t>
            </w:r>
            <w:r>
              <w:rPr>
                <w:rFonts w:hint="eastAsia"/>
                <w:sz w:val="24"/>
                <w:szCs w:val="22"/>
              </w:rPr>
              <w:t>3-3</w:t>
            </w:r>
            <w:r>
              <w:rPr>
                <w:sz w:val="24"/>
                <w:szCs w:val="22"/>
              </w:rPr>
              <w:t>。</w:t>
            </w:r>
          </w:p>
          <w:p>
            <w:pPr>
              <w:keepNext w:val="0"/>
              <w:keepLines w:val="0"/>
              <w:suppressLineNumbers w:val="0"/>
              <w:autoSpaceDE w:val="0"/>
              <w:autoSpaceDN w:val="0"/>
              <w:snapToGrid w:val="0"/>
              <w:spacing w:before="0" w:beforeAutospacing="0" w:after="0" w:afterAutospacing="0"/>
              <w:ind w:left="0" w:right="0"/>
              <w:jc w:val="center"/>
              <w:rPr>
                <w:b/>
                <w:bCs/>
                <w:sz w:val="24"/>
              </w:rPr>
            </w:pPr>
            <w:r>
              <w:rPr>
                <w:b/>
                <w:bCs/>
                <w:sz w:val="24"/>
              </w:rPr>
              <w:t>表</w:t>
            </w:r>
            <w:r>
              <w:rPr>
                <w:rFonts w:hint="eastAsia"/>
                <w:b/>
                <w:bCs/>
                <w:sz w:val="24"/>
              </w:rPr>
              <w:t xml:space="preserve">3-2 </w:t>
            </w:r>
            <w:r>
              <w:rPr>
                <w:b/>
                <w:bCs/>
                <w:sz w:val="24"/>
              </w:rPr>
              <w:t>大气环境质量引用点位、引用项目一览表</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477"/>
              <w:gridCol w:w="1424"/>
              <w:gridCol w:w="1498"/>
              <w:gridCol w:w="15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序号</w:t>
                  </w:r>
                </w:p>
              </w:tc>
              <w:tc>
                <w:tcPr>
                  <w:tcW w:w="1553"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引用点</w:t>
                  </w:r>
                </w:p>
              </w:tc>
              <w:tc>
                <w:tcPr>
                  <w:tcW w:w="893"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相对方位</w:t>
                  </w:r>
                </w:p>
              </w:tc>
              <w:tc>
                <w:tcPr>
                  <w:tcW w:w="939"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直线距离</w:t>
                  </w:r>
                </w:p>
              </w:tc>
              <w:tc>
                <w:tcPr>
                  <w:tcW w:w="973"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引用项目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0"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G1</w:t>
                  </w:r>
                </w:p>
              </w:tc>
              <w:tc>
                <w:tcPr>
                  <w:tcW w:w="1553"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rFonts w:hint="eastAsia"/>
                      <w:szCs w:val="21"/>
                    </w:rPr>
                    <w:t>常州市京航机械表面处理有限公司项目所在地</w:t>
                  </w:r>
                </w:p>
              </w:tc>
              <w:tc>
                <w:tcPr>
                  <w:tcW w:w="893"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rFonts w:hint="eastAsia"/>
                      <w:bCs/>
                      <w:szCs w:val="21"/>
                    </w:rPr>
                    <w:t>NE</w:t>
                  </w:r>
                </w:p>
              </w:tc>
              <w:tc>
                <w:tcPr>
                  <w:tcW w:w="939"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rFonts w:hint="eastAsia"/>
                      <w:bCs/>
                      <w:szCs w:val="21"/>
                    </w:rPr>
                    <w:t>1550</w:t>
                  </w:r>
                  <w:r>
                    <w:rPr>
                      <w:bCs/>
                      <w:szCs w:val="21"/>
                    </w:rPr>
                    <w:t>m</w:t>
                  </w:r>
                </w:p>
              </w:tc>
              <w:tc>
                <w:tcPr>
                  <w:tcW w:w="973"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color w:val="000000"/>
                      <w:szCs w:val="21"/>
                    </w:rPr>
                    <w:t>非甲烷总烃</w:t>
                  </w:r>
                </w:p>
              </w:tc>
            </w:tr>
          </w:tbl>
          <w:p>
            <w:pPr>
              <w:keepNext w:val="0"/>
              <w:keepLines w:val="0"/>
              <w:suppressLineNumbers w:val="0"/>
              <w:autoSpaceDE w:val="0"/>
              <w:autoSpaceDN w:val="0"/>
              <w:spacing w:before="0" w:beforeAutospacing="0" w:after="0" w:afterAutospacing="0"/>
              <w:ind w:left="0" w:right="0"/>
              <w:jc w:val="center"/>
              <w:rPr>
                <w:b/>
                <w:bCs/>
                <w:sz w:val="24"/>
                <w:vertAlign w:val="superscript"/>
              </w:rPr>
            </w:pPr>
            <w:r>
              <w:rPr>
                <w:b/>
                <w:bCs/>
                <w:sz w:val="24"/>
              </w:rPr>
              <w:t>表</w:t>
            </w:r>
            <w:r>
              <w:rPr>
                <w:rFonts w:hint="eastAsia"/>
                <w:b/>
                <w:bCs/>
                <w:sz w:val="24"/>
              </w:rPr>
              <w:t>3-3</w:t>
            </w:r>
            <w:r>
              <w:rPr>
                <w:b/>
                <w:bCs/>
                <w:sz w:val="24"/>
              </w:rPr>
              <w:t xml:space="preserve"> 其他污染物环境质量现状监测结果  单位：mg/m</w:t>
            </w:r>
            <w:r>
              <w:rPr>
                <w:b/>
                <w:bCs/>
                <w:sz w:val="24"/>
                <w:vertAlign w:val="superscript"/>
              </w:rPr>
              <w:t>3</w:t>
            </w:r>
            <w:r>
              <w:rPr>
                <w:rFonts w:hint="eastAsia"/>
                <w:b/>
                <w:bCs/>
                <w:sz w:val="24"/>
                <w:vertAlign w:val="superscript"/>
              </w:rPr>
              <w:t xml:space="preserve"> </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453"/>
              <w:gridCol w:w="1287"/>
              <w:gridCol w:w="1324"/>
              <w:gridCol w:w="1112"/>
              <w:gridCol w:w="15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3" w:type="pct"/>
                  <w:vMerge w:val="restar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点位编号</w:t>
                  </w:r>
                </w:p>
              </w:tc>
              <w:tc>
                <w:tcPr>
                  <w:tcW w:w="911" w:type="pct"/>
                  <w:vMerge w:val="restart"/>
                  <w:vAlign w:val="center"/>
                </w:tcPr>
                <w:p>
                  <w:pPr>
                    <w:keepNext w:val="0"/>
                    <w:keepLines w:val="0"/>
                    <w:suppressLineNumbers w:val="0"/>
                    <w:adjustRightInd w:val="0"/>
                    <w:snapToGrid w:val="0"/>
                    <w:spacing w:before="0" w:beforeAutospacing="0" w:after="0" w:afterAutospacing="0"/>
                    <w:ind w:left="0" w:right="92"/>
                    <w:jc w:val="center"/>
                    <w:rPr>
                      <w:b/>
                      <w:szCs w:val="21"/>
                      <w:vertAlign w:val="subscript"/>
                    </w:rPr>
                  </w:pPr>
                  <w:r>
                    <w:rPr>
                      <w:b/>
                      <w:szCs w:val="21"/>
                    </w:rPr>
                    <w:t>点位名称</w:t>
                  </w:r>
                </w:p>
              </w:tc>
              <w:tc>
                <w:tcPr>
                  <w:tcW w:w="807" w:type="pct"/>
                  <w:vMerge w:val="restart"/>
                  <w:vAlign w:val="center"/>
                </w:tcPr>
                <w:p>
                  <w:pPr>
                    <w:keepNext w:val="0"/>
                    <w:keepLines w:val="0"/>
                    <w:suppressLineNumbers w:val="0"/>
                    <w:adjustRightInd w:val="0"/>
                    <w:snapToGrid w:val="0"/>
                    <w:spacing w:before="0" w:beforeAutospacing="0" w:after="0" w:afterAutospacing="0"/>
                    <w:ind w:left="0" w:right="92"/>
                    <w:jc w:val="center"/>
                    <w:rPr>
                      <w:b/>
                      <w:szCs w:val="21"/>
                      <w:vertAlign w:val="subscript"/>
                    </w:rPr>
                  </w:pPr>
                  <w:r>
                    <w:rPr>
                      <w:b/>
                      <w:szCs w:val="21"/>
                    </w:rPr>
                    <w:t>污染物名称</w:t>
                  </w:r>
                </w:p>
              </w:tc>
              <w:tc>
                <w:tcPr>
                  <w:tcW w:w="2477" w:type="pct"/>
                  <w:gridSpan w:val="3"/>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小时浓度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03" w:type="pct"/>
                  <w:vMerge w:val="continue"/>
                  <w:vAlign w:val="center"/>
                </w:tcPr>
                <w:p>
                  <w:pPr>
                    <w:keepNext w:val="0"/>
                    <w:keepLines w:val="0"/>
                    <w:suppressLineNumbers w:val="0"/>
                    <w:adjustRightInd w:val="0"/>
                    <w:snapToGrid w:val="0"/>
                    <w:spacing w:before="0" w:beforeAutospacing="0" w:after="0" w:afterAutospacing="0"/>
                    <w:ind w:left="0" w:right="92"/>
                    <w:jc w:val="center"/>
                    <w:rPr>
                      <w:b/>
                      <w:szCs w:val="21"/>
                    </w:rPr>
                  </w:pPr>
                </w:p>
              </w:tc>
              <w:tc>
                <w:tcPr>
                  <w:tcW w:w="911" w:type="pct"/>
                  <w:vMerge w:val="continue"/>
                  <w:vAlign w:val="center"/>
                </w:tcPr>
                <w:p>
                  <w:pPr>
                    <w:keepNext w:val="0"/>
                    <w:keepLines w:val="0"/>
                    <w:suppressLineNumbers w:val="0"/>
                    <w:adjustRightInd w:val="0"/>
                    <w:snapToGrid w:val="0"/>
                    <w:spacing w:before="0" w:beforeAutospacing="0" w:after="0" w:afterAutospacing="0"/>
                    <w:ind w:left="0" w:right="92"/>
                    <w:jc w:val="center"/>
                    <w:rPr>
                      <w:b/>
                      <w:szCs w:val="21"/>
                    </w:rPr>
                  </w:pPr>
                </w:p>
              </w:tc>
              <w:tc>
                <w:tcPr>
                  <w:tcW w:w="807" w:type="pct"/>
                  <w:vMerge w:val="continue"/>
                  <w:vAlign w:val="center"/>
                </w:tcPr>
                <w:p>
                  <w:pPr>
                    <w:keepNext w:val="0"/>
                    <w:keepLines w:val="0"/>
                    <w:suppressLineNumbers w:val="0"/>
                    <w:adjustRightInd w:val="0"/>
                    <w:snapToGrid w:val="0"/>
                    <w:spacing w:before="0" w:beforeAutospacing="0" w:after="0" w:afterAutospacing="0"/>
                    <w:ind w:left="0" w:right="92"/>
                    <w:jc w:val="center"/>
                    <w:rPr>
                      <w:b/>
                      <w:szCs w:val="21"/>
                    </w:rPr>
                  </w:pPr>
                </w:p>
              </w:tc>
              <w:tc>
                <w:tcPr>
                  <w:tcW w:w="830"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浓度范围</w:t>
                  </w:r>
                </w:p>
              </w:tc>
              <w:tc>
                <w:tcPr>
                  <w:tcW w:w="697" w:type="pct"/>
                  <w:vAlign w:val="center"/>
                </w:tcPr>
                <w:p>
                  <w:pPr>
                    <w:keepNext w:val="0"/>
                    <w:keepLines w:val="0"/>
                    <w:suppressLineNumbers w:val="0"/>
                    <w:adjustRightInd w:val="0"/>
                    <w:snapToGrid w:val="0"/>
                    <w:spacing w:before="0" w:beforeAutospacing="0" w:after="0" w:afterAutospacing="0"/>
                    <w:ind w:left="0" w:right="92"/>
                    <w:jc w:val="center"/>
                    <w:rPr>
                      <w:b/>
                      <w:szCs w:val="21"/>
                    </w:rPr>
                  </w:pPr>
                  <w:r>
                    <w:rPr>
                      <w:b/>
                      <w:szCs w:val="21"/>
                    </w:rPr>
                    <w:t>超标率%</w:t>
                  </w:r>
                </w:p>
              </w:tc>
              <w:tc>
                <w:tcPr>
                  <w:tcW w:w="949" w:type="pct"/>
                  <w:vAlign w:val="center"/>
                </w:tcPr>
                <w:p>
                  <w:pPr>
                    <w:keepNext w:val="0"/>
                    <w:keepLines w:val="0"/>
                    <w:suppressLineNumbers w:val="0"/>
                    <w:adjustRightInd w:val="0"/>
                    <w:snapToGrid w:val="0"/>
                    <w:spacing w:before="0" w:beforeAutospacing="0" w:after="0" w:afterAutospacing="0"/>
                    <w:ind w:left="-199" w:leftChars="-95" w:right="-138"/>
                    <w:jc w:val="center"/>
                    <w:rPr>
                      <w:b/>
                      <w:szCs w:val="21"/>
                    </w:rPr>
                  </w:pPr>
                  <w:r>
                    <w:rPr>
                      <w:b/>
                      <w:szCs w:val="21"/>
                    </w:rPr>
                    <w:t>最大超标倍数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03"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G1</w:t>
                  </w:r>
                </w:p>
              </w:tc>
              <w:tc>
                <w:tcPr>
                  <w:tcW w:w="911" w:type="pct"/>
                  <w:vAlign w:val="center"/>
                </w:tcPr>
                <w:p>
                  <w:pPr>
                    <w:keepNext w:val="0"/>
                    <w:keepLines w:val="0"/>
                    <w:suppressLineNumbers w:val="0"/>
                    <w:adjustRightInd w:val="0"/>
                    <w:snapToGrid w:val="0"/>
                    <w:spacing w:before="0" w:beforeAutospacing="0" w:after="0" w:afterAutospacing="0"/>
                    <w:ind w:left="0" w:right="-55"/>
                    <w:jc w:val="center"/>
                    <w:rPr>
                      <w:bCs/>
                      <w:szCs w:val="21"/>
                    </w:rPr>
                  </w:pPr>
                  <w:r>
                    <w:rPr>
                      <w:rFonts w:hint="eastAsia"/>
                      <w:szCs w:val="21"/>
                    </w:rPr>
                    <w:t>常州市京航机械表面处理有限公司项目所在地</w:t>
                  </w:r>
                </w:p>
              </w:tc>
              <w:tc>
                <w:tcPr>
                  <w:tcW w:w="807"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非甲烷总烃</w:t>
                  </w:r>
                </w:p>
              </w:tc>
              <w:tc>
                <w:tcPr>
                  <w:tcW w:w="830"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rFonts w:hint="eastAsia"/>
                      <w:bCs/>
                      <w:szCs w:val="21"/>
                    </w:rPr>
                    <w:t>0.58-0.73</w:t>
                  </w:r>
                </w:p>
              </w:tc>
              <w:tc>
                <w:tcPr>
                  <w:tcW w:w="697"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0</w:t>
                  </w:r>
                </w:p>
              </w:tc>
              <w:tc>
                <w:tcPr>
                  <w:tcW w:w="949" w:type="pct"/>
                  <w:vAlign w:val="center"/>
                </w:tcPr>
                <w:p>
                  <w:pPr>
                    <w:keepNext w:val="0"/>
                    <w:keepLines w:val="0"/>
                    <w:suppressLineNumbers w:val="0"/>
                    <w:adjustRightInd w:val="0"/>
                    <w:snapToGrid w:val="0"/>
                    <w:spacing w:before="0" w:beforeAutospacing="0" w:after="0" w:afterAutospacing="0"/>
                    <w:ind w:left="0" w:right="92"/>
                    <w:jc w:val="center"/>
                    <w:rPr>
                      <w:bCs/>
                      <w:szCs w:val="21"/>
                    </w:rPr>
                  </w:pPr>
                  <w:r>
                    <w:rPr>
                      <w:bCs/>
                      <w:szCs w:val="21"/>
                    </w:rPr>
                    <w:t>0</w:t>
                  </w:r>
                </w:p>
              </w:tc>
            </w:tr>
          </w:tbl>
          <w:p>
            <w:pPr>
              <w:keepNext w:val="0"/>
              <w:keepLines w:val="0"/>
              <w:suppressLineNumbers w:val="0"/>
              <w:spacing w:before="0" w:beforeAutospacing="0" w:after="0" w:afterAutospacing="0" w:line="360" w:lineRule="auto"/>
              <w:ind w:left="0" w:right="0" w:firstLine="480" w:firstLineChars="200"/>
              <w:rPr>
                <w:sz w:val="24"/>
                <w:szCs w:val="22"/>
              </w:rPr>
            </w:pPr>
            <w:r>
              <w:rPr>
                <w:sz w:val="24"/>
                <w:szCs w:val="22"/>
              </w:rPr>
              <w:t>根据上表</w:t>
            </w:r>
            <w:r>
              <w:rPr>
                <w:rFonts w:hint="eastAsia"/>
                <w:sz w:val="24"/>
                <w:szCs w:val="22"/>
              </w:rPr>
              <w:t>可以看出</w:t>
            </w:r>
            <w:r>
              <w:rPr>
                <w:sz w:val="24"/>
                <w:szCs w:val="22"/>
              </w:rPr>
              <w:t>，特征因子非甲烷总烃在G1点均未出现超标现象，现状引用值基本满足项目所在地区的环境功能区划要求。</w:t>
            </w:r>
          </w:p>
          <w:p>
            <w:pPr>
              <w:keepNext w:val="0"/>
              <w:keepLines w:val="0"/>
              <w:suppressLineNumbers w:val="0"/>
              <w:spacing w:before="0" w:beforeAutospacing="0" w:after="0" w:afterAutospacing="0" w:line="360" w:lineRule="auto"/>
              <w:ind w:left="0" w:right="0" w:firstLine="480" w:firstLineChars="200"/>
              <w:rPr>
                <w:sz w:val="24"/>
                <w:szCs w:val="22"/>
              </w:rPr>
            </w:pPr>
            <w:r>
              <w:rPr>
                <w:sz w:val="24"/>
                <w:szCs w:val="22"/>
              </w:rPr>
              <w:t>引用数据有效性分析：本项目引用</w:t>
            </w:r>
            <w:r>
              <w:rPr>
                <w:rFonts w:hint="eastAsia"/>
                <w:sz w:val="24"/>
                <w:szCs w:val="22"/>
              </w:rPr>
              <w:t>江苏久诚检验检测有限公司</w:t>
            </w:r>
            <w:r>
              <w:rPr>
                <w:sz w:val="24"/>
                <w:szCs w:val="22"/>
              </w:rPr>
              <w:t>于20</w:t>
            </w:r>
            <w:r>
              <w:rPr>
                <w:rFonts w:hint="eastAsia"/>
                <w:sz w:val="24"/>
                <w:szCs w:val="22"/>
              </w:rPr>
              <w:t>21</w:t>
            </w:r>
            <w:r>
              <w:rPr>
                <w:sz w:val="24"/>
                <w:szCs w:val="22"/>
              </w:rPr>
              <w:t>年</w:t>
            </w:r>
            <w:r>
              <w:rPr>
                <w:rFonts w:hint="eastAsia"/>
                <w:sz w:val="24"/>
                <w:szCs w:val="22"/>
              </w:rPr>
              <w:t>11</w:t>
            </w:r>
            <w:r>
              <w:rPr>
                <w:sz w:val="24"/>
                <w:szCs w:val="22"/>
              </w:rPr>
              <w:t>月</w:t>
            </w:r>
            <w:r>
              <w:rPr>
                <w:rFonts w:hint="eastAsia"/>
                <w:sz w:val="24"/>
                <w:szCs w:val="22"/>
              </w:rPr>
              <w:t>2</w:t>
            </w:r>
            <w:r>
              <w:rPr>
                <w:sz w:val="24"/>
                <w:szCs w:val="22"/>
              </w:rPr>
              <w:t>日</w:t>
            </w:r>
            <w:r>
              <w:rPr>
                <w:rFonts w:hint="eastAsia"/>
                <w:sz w:val="24"/>
                <w:szCs w:val="22"/>
                <w:lang w:eastAsia="zh-CN"/>
              </w:rPr>
              <w:t>－</w:t>
            </w:r>
            <w:r>
              <w:rPr>
                <w:rFonts w:hint="eastAsia"/>
                <w:sz w:val="24"/>
                <w:szCs w:val="22"/>
              </w:rPr>
              <w:t>11</w:t>
            </w:r>
            <w:r>
              <w:rPr>
                <w:sz w:val="24"/>
                <w:szCs w:val="22"/>
              </w:rPr>
              <w:t>月</w:t>
            </w:r>
            <w:r>
              <w:rPr>
                <w:rFonts w:hint="eastAsia"/>
                <w:sz w:val="24"/>
                <w:szCs w:val="22"/>
              </w:rPr>
              <w:t>4</w:t>
            </w:r>
            <w:r>
              <w:rPr>
                <w:sz w:val="24"/>
                <w:szCs w:val="22"/>
              </w:rPr>
              <w:t>日对项目</w:t>
            </w:r>
            <w:r>
              <w:rPr>
                <w:rFonts w:hint="eastAsia"/>
                <w:sz w:val="24"/>
                <w:szCs w:val="22"/>
              </w:rPr>
              <w:t>东北</w:t>
            </w:r>
            <w:r>
              <w:rPr>
                <w:sz w:val="24"/>
                <w:szCs w:val="22"/>
              </w:rPr>
              <w:t>侧约</w:t>
            </w:r>
            <w:r>
              <w:rPr>
                <w:rFonts w:hint="eastAsia"/>
                <w:sz w:val="24"/>
                <w:szCs w:val="22"/>
              </w:rPr>
              <w:t>155</w:t>
            </w:r>
            <w:r>
              <w:rPr>
                <w:sz w:val="24"/>
                <w:szCs w:val="22"/>
              </w:rPr>
              <w:t>0m处“</w:t>
            </w:r>
            <w:r>
              <w:rPr>
                <w:rFonts w:hint="eastAsia"/>
                <w:sz w:val="24"/>
                <w:szCs w:val="22"/>
              </w:rPr>
              <w:t>常州市京航机械表面处理有限公司项目所在地</w:t>
            </w:r>
            <w:r>
              <w:rPr>
                <w:sz w:val="24"/>
                <w:szCs w:val="22"/>
              </w:rPr>
              <w:t>”</w:t>
            </w:r>
            <w:r>
              <w:rPr>
                <w:rFonts w:hint="eastAsia"/>
                <w:sz w:val="24"/>
                <w:szCs w:val="22"/>
              </w:rPr>
              <w:t>的监测数据</w:t>
            </w:r>
            <w:r>
              <w:rPr>
                <w:sz w:val="24"/>
                <w:szCs w:val="22"/>
              </w:rPr>
              <w:t>，引用时间不超过3年，大气环境引用时间有效；项目所在区域污染源未发生重大变化，可引用3年内环境空气的监测数据；引用点位在项目相关评价范围内，则大气环境引用点位有效。</w:t>
            </w:r>
          </w:p>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2、地表水现状</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sz w:val="24"/>
              </w:rPr>
              <w:t>根据《</w:t>
            </w:r>
            <w:r>
              <w:rPr>
                <w:rFonts w:hint="eastAsia"/>
                <w:sz w:val="24"/>
                <w:szCs w:val="22"/>
              </w:rPr>
              <w:t>202</w:t>
            </w:r>
            <w:r>
              <w:rPr>
                <w:rFonts w:hint="eastAsia"/>
                <w:sz w:val="24"/>
                <w:szCs w:val="22"/>
                <w:lang w:val="en-US" w:eastAsia="zh-CN"/>
              </w:rPr>
              <w:t>1</w:t>
            </w:r>
            <w:r>
              <w:rPr>
                <w:rFonts w:hint="eastAsia"/>
                <w:sz w:val="24"/>
                <w:szCs w:val="22"/>
              </w:rPr>
              <w:t>常州市生态环境状况公报</w:t>
            </w:r>
            <w:r>
              <w:rPr>
                <w:sz w:val="24"/>
              </w:rPr>
              <w:t>》中相关内容，</w:t>
            </w:r>
            <w:r>
              <w:rPr>
                <w:rFonts w:hint="eastAsia"/>
                <w:sz w:val="24"/>
              </w:rPr>
              <w:t>2021年，我市地表水环境稳中趋好，国考、省考断面水质均达到国家年度考核目标要求，太湖治理连续14年实现“两个确保”。</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2.1国省考断面</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2021年，常州市纳入“十四五”国家地表水环境质量考核的20个断面中，年均水质达到或好于《地表水环境质量标准》（GB3838—2002）Ⅲ类标准的断面比例为80%，无劣于Ⅴ类断面，水质达到或好于Ⅲ类比例超额完成省定目标。纳入江苏省“十四五”水环境质量目标考核的51个断面，年均水质达到或好于Ⅲ类的比例为92.2%，无劣于Ⅴ类断面，水质达到或好于Ⅲ类比例超额完成省定目标。</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2.2饮用水水源地</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全市饮用水以集中式供水为主。根据《江苏省2021年水污染防治工作计划》（苏水治办〔2021〕5号），2021年，全市4个县级及以上在用城市集中式饮用水水源地，取水总量约为2.67亿吨。依据《地表水环境质量标准》（GB3838—2002）评价，全市县级及以上城市集中式饮用水水源地达标（达到或好于Ⅲ类标准）水量为2.63亿吨，占取水总量的98.5%。长江魏村、大溪水库、沙河水库全年各次监测均达标。</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2.3太湖流域</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2021年，我市太湖湖心区断面总磷0.061mg/L，同比下降20.8%，太湖西部区断面0.085mg/L，同比下降19.8%。高锰酸盐指数和氨氮分别处于Ⅱ类和Ⅰ类。竺山湖综合营养状态指数为59.5，处于轻度富营养状态。2021年5-9 月，竺山湖水域出现水华现象53次，同比减少12次；平均面积约26平方千米，同比减少约2平方千米。期间人工巡测蓝藻密度均值2037万个/L，同比减少1091万个/L，藻密度超过10000万个/L的高值点位（次）数为1次，同比减少26次。武进港、漕桥河、太滆运河、雅浦港等4条主要入湖河流水质均达到或好于Ⅲ类，总磷均达0.15mg/L省定目标。</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2.4长江流域</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2021年，我市长江流域总体水质为优。长江干流魏村（右岸）断面水质达到Ⅱ类；5个主要入江支流断面年均水质均达到或好于Ⅲ类。</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2.5京杭大运河</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sz w:val="24"/>
              </w:rPr>
            </w:pPr>
            <w:r>
              <w:rPr>
                <w:rFonts w:hint="eastAsia"/>
                <w:sz w:val="24"/>
              </w:rPr>
              <w:t>2021年，京杭大运河常州段沿线3个断面水质均达到或好于Ⅲ类，五牧断面水质首次达到Ⅲ类。与2020年相比，水质达到或好于Ⅲ类比例上升33.3个百分点。</w:t>
            </w:r>
          </w:p>
          <w:p>
            <w:pPr>
              <w:keepNext w:val="0"/>
              <w:keepLines w:val="0"/>
              <w:suppressLineNumbers w:val="0"/>
              <w:adjustRightInd w:val="0"/>
              <w:snapToGrid w:val="0"/>
              <w:spacing w:before="0" w:beforeAutospacing="0" w:after="0" w:afterAutospacing="0" w:line="360" w:lineRule="auto"/>
              <w:ind w:left="0" w:right="0" w:firstLine="480" w:firstLineChars="200"/>
              <w:rPr>
                <w:b/>
                <w:bCs/>
                <w:snapToGrid w:val="0"/>
                <w:kern w:val="0"/>
                <w:sz w:val="24"/>
              </w:rPr>
            </w:pPr>
            <w:r>
              <w:rPr>
                <w:sz w:val="24"/>
                <w:szCs w:val="22"/>
              </w:rPr>
              <w:t>本项目地表水环境现状数据引用</w:t>
            </w:r>
            <w:r>
              <w:rPr>
                <w:rFonts w:hint="eastAsia"/>
                <w:sz w:val="24"/>
                <w:szCs w:val="22"/>
              </w:rPr>
              <w:t>江苏久诚检验检测有限公司</w:t>
            </w:r>
            <w:r>
              <w:rPr>
                <w:bCs/>
                <w:sz w:val="24"/>
              </w:rPr>
              <w:t>于202</w:t>
            </w:r>
            <w:r>
              <w:rPr>
                <w:rFonts w:hint="eastAsia"/>
                <w:bCs/>
                <w:sz w:val="24"/>
              </w:rPr>
              <w:t>1</w:t>
            </w:r>
            <w:r>
              <w:rPr>
                <w:bCs/>
                <w:sz w:val="24"/>
              </w:rPr>
              <w:t>年</w:t>
            </w:r>
            <w:r>
              <w:rPr>
                <w:rFonts w:hint="eastAsia"/>
                <w:bCs/>
                <w:sz w:val="24"/>
              </w:rPr>
              <w:t>2</w:t>
            </w:r>
            <w:r>
              <w:rPr>
                <w:bCs/>
                <w:sz w:val="24"/>
              </w:rPr>
              <w:t>月</w:t>
            </w:r>
            <w:r>
              <w:rPr>
                <w:rFonts w:hint="eastAsia"/>
                <w:bCs/>
                <w:sz w:val="24"/>
              </w:rPr>
              <w:t>24</w:t>
            </w:r>
            <w:r>
              <w:rPr>
                <w:bCs/>
                <w:sz w:val="24"/>
              </w:rPr>
              <w:t>日～</w:t>
            </w:r>
            <w:r>
              <w:rPr>
                <w:rFonts w:hint="eastAsia"/>
                <w:bCs/>
                <w:sz w:val="24"/>
              </w:rPr>
              <w:t>2</w:t>
            </w:r>
            <w:r>
              <w:rPr>
                <w:bCs/>
                <w:sz w:val="24"/>
              </w:rPr>
              <w:t>月</w:t>
            </w:r>
            <w:r>
              <w:rPr>
                <w:rFonts w:hint="eastAsia"/>
                <w:bCs/>
                <w:sz w:val="24"/>
              </w:rPr>
              <w:t>25</w:t>
            </w:r>
            <w:r>
              <w:rPr>
                <w:bCs/>
                <w:sz w:val="24"/>
              </w:rPr>
              <w:t>日</w:t>
            </w:r>
            <w:r>
              <w:rPr>
                <w:rFonts w:hint="eastAsia"/>
                <w:bCs/>
                <w:sz w:val="24"/>
              </w:rPr>
              <w:t>对武南河</w:t>
            </w:r>
            <w:r>
              <w:rPr>
                <w:sz w:val="24"/>
                <w:szCs w:val="22"/>
              </w:rPr>
              <w:t>的水质监测</w:t>
            </w:r>
            <w:r>
              <w:rPr>
                <w:rFonts w:hint="eastAsia"/>
                <w:sz w:val="24"/>
                <w:szCs w:val="22"/>
              </w:rPr>
              <w:t>数据</w:t>
            </w:r>
            <w:r>
              <w:rPr>
                <w:sz w:val="24"/>
                <w:szCs w:val="22"/>
              </w:rPr>
              <w:t>，</w:t>
            </w:r>
            <w:r>
              <w:rPr>
                <w:rFonts w:hint="eastAsia"/>
                <w:bCs/>
                <w:sz w:val="24"/>
              </w:rPr>
              <w:t>监测断面</w:t>
            </w:r>
            <w:r>
              <w:rPr>
                <w:bCs/>
                <w:sz w:val="24"/>
              </w:rPr>
              <w:t>W</w:t>
            </w:r>
            <w:r>
              <w:rPr>
                <w:bCs/>
                <w:sz w:val="24"/>
                <w:vertAlign w:val="subscript"/>
              </w:rPr>
              <w:t>1</w:t>
            </w:r>
            <w:r>
              <w:rPr>
                <w:rFonts w:hint="eastAsia"/>
                <w:bCs/>
                <w:sz w:val="24"/>
              </w:rPr>
              <w:t>（武南</w:t>
            </w:r>
            <w:r>
              <w:rPr>
                <w:bCs/>
                <w:sz w:val="24"/>
              </w:rPr>
              <w:t>污水处理厂排口上游500m</w:t>
            </w:r>
            <w:r>
              <w:rPr>
                <w:rFonts w:hint="eastAsia"/>
                <w:bCs/>
                <w:sz w:val="24"/>
              </w:rPr>
              <w:t>）</w:t>
            </w:r>
            <w:r>
              <w:rPr>
                <w:bCs/>
                <w:sz w:val="24"/>
              </w:rPr>
              <w:t>、W</w:t>
            </w:r>
            <w:r>
              <w:rPr>
                <w:rFonts w:hint="eastAsia"/>
                <w:bCs/>
                <w:sz w:val="24"/>
                <w:vertAlign w:val="subscript"/>
              </w:rPr>
              <w:t>2</w:t>
            </w:r>
            <w:r>
              <w:rPr>
                <w:rFonts w:hint="eastAsia"/>
                <w:bCs/>
                <w:sz w:val="24"/>
              </w:rPr>
              <w:t>（武南</w:t>
            </w:r>
            <w:r>
              <w:rPr>
                <w:bCs/>
                <w:sz w:val="24"/>
              </w:rPr>
              <w:t>污水处理厂排口</w:t>
            </w:r>
            <w:r>
              <w:rPr>
                <w:rFonts w:hint="eastAsia"/>
                <w:bCs/>
                <w:sz w:val="24"/>
              </w:rPr>
              <w:t>）、</w:t>
            </w:r>
            <w:r>
              <w:rPr>
                <w:bCs/>
                <w:sz w:val="24"/>
              </w:rPr>
              <w:t>W</w:t>
            </w:r>
            <w:r>
              <w:rPr>
                <w:rFonts w:hint="eastAsia"/>
                <w:bCs/>
                <w:sz w:val="24"/>
                <w:vertAlign w:val="subscript"/>
              </w:rPr>
              <w:t>3</w:t>
            </w:r>
            <w:r>
              <w:rPr>
                <w:rFonts w:hint="eastAsia"/>
                <w:bCs/>
                <w:sz w:val="24"/>
              </w:rPr>
              <w:t>（武南</w:t>
            </w:r>
            <w:r>
              <w:rPr>
                <w:bCs/>
                <w:sz w:val="24"/>
              </w:rPr>
              <w:t>污水处理厂排口下游1</w:t>
            </w:r>
            <w:r>
              <w:rPr>
                <w:rFonts w:hint="eastAsia"/>
                <w:bCs/>
                <w:sz w:val="24"/>
              </w:rPr>
              <w:t>5</w:t>
            </w:r>
            <w:r>
              <w:rPr>
                <w:bCs/>
                <w:sz w:val="24"/>
              </w:rPr>
              <w:t>00m</w:t>
            </w:r>
            <w:r>
              <w:rPr>
                <w:rFonts w:hint="eastAsia"/>
                <w:bCs/>
                <w:sz w:val="24"/>
              </w:rPr>
              <w:t>）。</w:t>
            </w:r>
            <w:r>
              <w:rPr>
                <w:sz w:val="24"/>
                <w:szCs w:val="22"/>
              </w:rPr>
              <w:t>引用报告号：JCH20210014</w:t>
            </w:r>
            <w:r>
              <w:rPr>
                <w:rFonts w:hint="eastAsia"/>
                <w:sz w:val="24"/>
                <w:szCs w:val="22"/>
              </w:rPr>
              <w:t>，</w:t>
            </w:r>
            <w:r>
              <w:rPr>
                <w:sz w:val="24"/>
                <w:szCs w:val="22"/>
              </w:rPr>
              <w:t>监测统计结果如下：</w:t>
            </w:r>
          </w:p>
          <w:p>
            <w:pPr>
              <w:keepNext w:val="0"/>
              <w:keepLines w:val="0"/>
              <w:suppressLineNumbers w:val="0"/>
              <w:snapToGrid w:val="0"/>
              <w:spacing w:before="0" w:beforeAutospacing="0" w:after="0" w:afterAutospacing="0"/>
              <w:ind w:left="0" w:right="0"/>
              <w:jc w:val="center"/>
              <w:rPr>
                <w:b/>
                <w:bCs/>
                <w:kern w:val="0"/>
                <w:sz w:val="24"/>
              </w:rPr>
            </w:pPr>
            <w:r>
              <w:rPr>
                <w:b/>
                <w:bCs/>
                <w:kern w:val="0"/>
                <w:sz w:val="24"/>
              </w:rPr>
              <w:t xml:space="preserve">表3-4  </w:t>
            </w:r>
            <w:r>
              <w:rPr>
                <w:b/>
                <w:bCs/>
                <w:sz w:val="24"/>
              </w:rPr>
              <w:t>地表水环境质量现状引用结果  mg/L</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726"/>
              <w:gridCol w:w="1503"/>
              <w:gridCol w:w="1231"/>
              <w:gridCol w:w="1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vMerge w:val="restart"/>
                  <w:tcBorders>
                    <w:top w:val="single" w:color="auto" w:sz="12" w:space="0"/>
                    <w:left w:val="nil"/>
                    <w:right w:val="single" w:color="auto" w:sz="2" w:space="0"/>
                  </w:tcBorders>
                  <w:vAlign w:val="center"/>
                </w:tcPr>
                <w:p>
                  <w:pPr>
                    <w:keepNext w:val="0"/>
                    <w:keepLines w:val="0"/>
                    <w:suppressLineNumbers w:val="0"/>
                    <w:snapToGrid w:val="0"/>
                    <w:spacing w:before="0" w:beforeAutospacing="0" w:after="0" w:afterAutospacing="0"/>
                    <w:ind w:left="0" w:right="0"/>
                    <w:jc w:val="center"/>
                    <w:rPr>
                      <w:b/>
                      <w:bCs/>
                    </w:rPr>
                  </w:pPr>
                  <w:r>
                    <w:rPr>
                      <w:b/>
                      <w:bCs/>
                    </w:rPr>
                    <w:t>监测断面</w:t>
                  </w:r>
                </w:p>
              </w:tc>
              <w:tc>
                <w:tcPr>
                  <w:tcW w:w="3863" w:type="pct"/>
                  <w:gridSpan w:val="4"/>
                  <w:tcBorders>
                    <w:top w:val="single" w:color="auto" w:sz="12" w:space="0"/>
                    <w:left w:val="single" w:color="auto" w:sz="2" w:space="0"/>
                    <w:bottom w:val="single" w:color="auto" w:sz="2" w:space="0"/>
                    <w:right w:val="nil"/>
                  </w:tcBorders>
                  <w:vAlign w:val="center"/>
                </w:tcPr>
                <w:p>
                  <w:pPr>
                    <w:keepNext w:val="0"/>
                    <w:keepLines w:val="0"/>
                    <w:suppressLineNumbers w:val="0"/>
                    <w:snapToGrid w:val="0"/>
                    <w:spacing w:before="0" w:beforeAutospacing="0" w:after="0" w:afterAutospacing="0"/>
                    <w:ind w:left="0" w:right="0"/>
                    <w:jc w:val="center"/>
                    <w:rPr>
                      <w:b/>
                      <w:bCs/>
                    </w:rPr>
                  </w:pPr>
                  <w:r>
                    <w:rPr>
                      <w:b/>
                      <w:bCs/>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vMerge w:val="continue"/>
                  <w:tcBorders>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bCs/>
                      <w:szCs w:val="21"/>
                    </w:rPr>
                  </w:pPr>
                </w:p>
              </w:tc>
              <w:tc>
                <w:tcPr>
                  <w:tcW w:w="1091" w:type="pct"/>
                  <w:tcBorders>
                    <w:top w:val="single" w:color="auto" w:sz="2"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bCs/>
                      <w:szCs w:val="21"/>
                    </w:rPr>
                  </w:pPr>
                  <w:r>
                    <w:rPr>
                      <w:b/>
                      <w:bCs/>
                    </w:rPr>
                    <w:t>pH</w:t>
                  </w:r>
                </w:p>
              </w:tc>
              <w:tc>
                <w:tcPr>
                  <w:tcW w:w="951" w:type="pct"/>
                  <w:tcBorders>
                    <w:top w:val="single" w:color="auto" w:sz="2"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bCs/>
                      <w:szCs w:val="21"/>
                    </w:rPr>
                  </w:pPr>
                  <w:r>
                    <w:rPr>
                      <w:b/>
                      <w:bCs/>
                    </w:rPr>
                    <w:t>COD</w:t>
                  </w:r>
                </w:p>
              </w:tc>
              <w:tc>
                <w:tcPr>
                  <w:tcW w:w="737" w:type="pct"/>
                  <w:tcBorders>
                    <w:top w:val="single" w:color="auto" w:sz="2"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bCs/>
                      <w:szCs w:val="21"/>
                    </w:rPr>
                  </w:pPr>
                  <w:r>
                    <w:rPr>
                      <w:b/>
                      <w:bCs/>
                    </w:rPr>
                    <w:t>NH</w:t>
                  </w:r>
                  <w:r>
                    <w:rPr>
                      <w:b/>
                      <w:bCs/>
                      <w:vertAlign w:val="subscript"/>
                    </w:rPr>
                    <w:t>3</w:t>
                  </w:r>
                  <w:r>
                    <w:rPr>
                      <w:b/>
                      <w:bCs/>
                    </w:rPr>
                    <w:t>-N</w:t>
                  </w:r>
                </w:p>
              </w:tc>
              <w:tc>
                <w:tcPr>
                  <w:tcW w:w="1084" w:type="pct"/>
                  <w:tcBorders>
                    <w:top w:val="single" w:color="auto" w:sz="2" w:space="0"/>
                    <w:left w:val="single" w:color="auto" w:sz="4" w:space="0"/>
                    <w:bottom w:val="single" w:color="auto" w:sz="4" w:space="0"/>
                    <w:right w:val="nil"/>
                  </w:tcBorders>
                  <w:vAlign w:val="center"/>
                </w:tcPr>
                <w:p>
                  <w:pPr>
                    <w:keepNext w:val="0"/>
                    <w:keepLines w:val="0"/>
                    <w:suppressLineNumbers w:val="0"/>
                    <w:snapToGrid w:val="0"/>
                    <w:spacing w:before="0" w:beforeAutospacing="0" w:after="0" w:afterAutospacing="0"/>
                    <w:ind w:left="0" w:right="0"/>
                    <w:jc w:val="center"/>
                    <w:rPr>
                      <w:b/>
                      <w:bCs/>
                      <w:szCs w:val="21"/>
                    </w:rPr>
                  </w:pPr>
                  <w:r>
                    <w:rPr>
                      <w:b/>
                      <w:bCs/>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W</w:t>
                  </w:r>
                  <w:r>
                    <w:rPr>
                      <w:vertAlign w:val="subscript"/>
                    </w:rPr>
                    <w:t>1</w:t>
                  </w:r>
                </w:p>
              </w:tc>
              <w:tc>
                <w:tcPr>
                  <w:tcW w:w="109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7.</w:t>
                  </w:r>
                  <w:r>
                    <w:rPr>
                      <w:rFonts w:hint="eastAsia"/>
                    </w:rPr>
                    <w:t>89</w:t>
                  </w:r>
                  <w:r>
                    <w:t>-7.</w:t>
                  </w:r>
                  <w:r>
                    <w:rPr>
                      <w:rFonts w:hint="eastAsia"/>
                    </w:rPr>
                    <w:t>97</w:t>
                  </w:r>
                </w:p>
              </w:tc>
              <w:tc>
                <w:tcPr>
                  <w:tcW w:w="95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1</w:t>
                  </w:r>
                  <w:r>
                    <w:rPr>
                      <w:rFonts w:hint="eastAsia"/>
                    </w:rPr>
                    <w:t>2</w:t>
                  </w:r>
                  <w:r>
                    <w:t>-1</w:t>
                  </w:r>
                  <w:r>
                    <w:rPr>
                      <w:rFonts w:hint="eastAsia"/>
                    </w:rPr>
                    <w:t>7</w:t>
                  </w:r>
                </w:p>
              </w:tc>
              <w:tc>
                <w:tcPr>
                  <w:tcW w:w="73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rPr>
                    <w:t>0.929-0.966</w:t>
                  </w:r>
                </w:p>
              </w:tc>
              <w:tc>
                <w:tcPr>
                  <w:tcW w:w="1084"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szCs w:val="21"/>
                    </w:rPr>
                  </w:pPr>
                  <w:r>
                    <w:rPr>
                      <w:rFonts w:hint="eastAsia"/>
                    </w:rPr>
                    <w:t>0.13-0.16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W</w:t>
                  </w:r>
                  <w:r>
                    <w:rPr>
                      <w:vertAlign w:val="subscript"/>
                    </w:rPr>
                    <w:t>2</w:t>
                  </w:r>
                </w:p>
              </w:tc>
              <w:tc>
                <w:tcPr>
                  <w:tcW w:w="109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7.90-7.97</w:t>
                  </w:r>
                </w:p>
              </w:tc>
              <w:tc>
                <w:tcPr>
                  <w:tcW w:w="95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13-19</w:t>
                  </w:r>
                </w:p>
              </w:tc>
              <w:tc>
                <w:tcPr>
                  <w:tcW w:w="73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0.814-0.954</w:t>
                  </w:r>
                </w:p>
              </w:tc>
              <w:tc>
                <w:tcPr>
                  <w:tcW w:w="1084"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0.16-0.19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pPr>
                  <w:r>
                    <w:t>W</w:t>
                  </w:r>
                  <w:r>
                    <w:rPr>
                      <w:rFonts w:hint="eastAsia"/>
                      <w:vertAlign w:val="subscript"/>
                    </w:rPr>
                    <w:t>3</w:t>
                  </w:r>
                </w:p>
              </w:tc>
              <w:tc>
                <w:tcPr>
                  <w:tcW w:w="109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7.91-7.99</w:t>
                  </w:r>
                </w:p>
              </w:tc>
              <w:tc>
                <w:tcPr>
                  <w:tcW w:w="95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12-19</w:t>
                  </w:r>
                </w:p>
              </w:tc>
              <w:tc>
                <w:tcPr>
                  <w:tcW w:w="73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0.803-0.846</w:t>
                  </w:r>
                </w:p>
              </w:tc>
              <w:tc>
                <w:tcPr>
                  <w:tcW w:w="1084"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0.16-0.18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1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ascii="宋体" w:hAnsi="宋体" w:cs="宋体"/>
                    </w:rPr>
                    <w:t>Ⅲ</w:t>
                  </w:r>
                  <w:r>
                    <w:t>类标准值</w:t>
                  </w:r>
                </w:p>
              </w:tc>
              <w:tc>
                <w:tcPr>
                  <w:tcW w:w="1091"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kern w:val="24"/>
                    </w:rPr>
                    <w:t>6～9</w:t>
                  </w:r>
                </w:p>
              </w:tc>
              <w:tc>
                <w:tcPr>
                  <w:tcW w:w="951"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w:t>
                  </w:r>
                  <w:r>
                    <w:rPr>
                      <w:rFonts w:hint="eastAsia"/>
                    </w:rPr>
                    <w:t>2</w:t>
                  </w:r>
                  <w:r>
                    <w:t>0</w:t>
                  </w:r>
                </w:p>
              </w:tc>
              <w:tc>
                <w:tcPr>
                  <w:tcW w:w="737"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t>≤1</w:t>
                  </w:r>
                  <w:r>
                    <w:rPr>
                      <w:rFonts w:hint="eastAsia"/>
                    </w:rPr>
                    <w:t>.0</w:t>
                  </w:r>
                </w:p>
              </w:tc>
              <w:tc>
                <w:tcPr>
                  <w:tcW w:w="1084" w:type="pct"/>
                  <w:tcBorders>
                    <w:top w:val="single" w:color="auto" w:sz="4" w:space="0"/>
                    <w:left w:val="single" w:color="auto" w:sz="4" w:space="0"/>
                    <w:bottom w:val="single" w:color="auto" w:sz="12" w:space="0"/>
                    <w:right w:val="nil"/>
                  </w:tcBorders>
                  <w:vAlign w:val="center"/>
                </w:tcPr>
                <w:p>
                  <w:pPr>
                    <w:keepNext w:val="0"/>
                    <w:keepLines w:val="0"/>
                    <w:suppressLineNumbers w:val="0"/>
                    <w:snapToGrid w:val="0"/>
                    <w:spacing w:before="0" w:beforeAutospacing="0" w:after="0" w:afterAutospacing="0"/>
                    <w:ind w:left="0" w:right="0"/>
                    <w:jc w:val="center"/>
                    <w:rPr>
                      <w:szCs w:val="21"/>
                    </w:rPr>
                  </w:pPr>
                  <w:r>
                    <w:t>≤0.</w:t>
                  </w:r>
                  <w:r>
                    <w:rPr>
                      <w:rFonts w:hint="eastAsia"/>
                    </w:rPr>
                    <w:t>2</w:t>
                  </w:r>
                </w:p>
              </w:tc>
            </w:tr>
          </w:tbl>
          <w:p>
            <w:pPr>
              <w:keepNext w:val="0"/>
              <w:keepLines w:val="0"/>
              <w:suppressLineNumbers w:val="0"/>
              <w:spacing w:before="0" w:beforeAutospacing="0" w:after="0" w:afterAutospacing="0" w:line="360" w:lineRule="auto"/>
              <w:ind w:left="0" w:right="0" w:firstLine="480" w:firstLineChars="200"/>
              <w:rPr>
                <w:bCs/>
                <w:sz w:val="24"/>
              </w:rPr>
            </w:pPr>
            <w:r>
              <w:rPr>
                <w:bCs/>
                <w:sz w:val="24"/>
              </w:rPr>
              <w:t>引用统计结果表明，W</w:t>
            </w:r>
            <w:r>
              <w:rPr>
                <w:bCs/>
                <w:sz w:val="24"/>
                <w:vertAlign w:val="subscript"/>
              </w:rPr>
              <w:t>1</w:t>
            </w:r>
            <w:r>
              <w:rPr>
                <w:bCs/>
                <w:sz w:val="24"/>
              </w:rPr>
              <w:t>、W</w:t>
            </w:r>
            <w:r>
              <w:rPr>
                <w:bCs/>
                <w:sz w:val="24"/>
                <w:vertAlign w:val="subscript"/>
              </w:rPr>
              <w:t>2</w:t>
            </w:r>
            <w:r>
              <w:rPr>
                <w:rFonts w:hint="eastAsia"/>
                <w:bCs/>
                <w:sz w:val="24"/>
              </w:rPr>
              <w:t>、</w:t>
            </w:r>
            <w:r>
              <w:rPr>
                <w:bCs/>
                <w:sz w:val="24"/>
              </w:rPr>
              <w:t>W</w:t>
            </w:r>
            <w:r>
              <w:rPr>
                <w:rFonts w:hint="eastAsia"/>
                <w:bCs/>
                <w:sz w:val="24"/>
                <w:vertAlign w:val="subscript"/>
              </w:rPr>
              <w:t>3</w:t>
            </w:r>
            <w:r>
              <w:rPr>
                <w:bCs/>
                <w:sz w:val="24"/>
              </w:rPr>
              <w:t>断面水质满足《地表水环境质量标准》（GB3838-2002）</w:t>
            </w:r>
            <w:r>
              <w:rPr>
                <w:rFonts w:hint="eastAsia" w:ascii="宋体" w:hAnsi="宋体" w:cs="宋体"/>
                <w:bCs/>
                <w:sz w:val="24"/>
              </w:rPr>
              <w:t>Ⅲ</w:t>
            </w:r>
            <w:r>
              <w:rPr>
                <w:bCs/>
                <w:sz w:val="24"/>
              </w:rPr>
              <w:t>类标准。</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szCs w:val="22"/>
              </w:rPr>
              <w:t>引用数据有效性分析：</w:t>
            </w:r>
            <w:r>
              <w:rPr>
                <w:rFonts w:hint="eastAsia"/>
                <w:sz w:val="24"/>
                <w:szCs w:val="22"/>
              </w:rPr>
              <w:t>本项目引用江苏久诚检验检测有限公司</w:t>
            </w:r>
            <w:r>
              <w:rPr>
                <w:sz w:val="24"/>
                <w:szCs w:val="22"/>
              </w:rPr>
              <w:t>于</w:t>
            </w:r>
            <w:r>
              <w:rPr>
                <w:bCs/>
                <w:sz w:val="24"/>
              </w:rPr>
              <w:t>202</w:t>
            </w:r>
            <w:r>
              <w:rPr>
                <w:rFonts w:hint="eastAsia"/>
                <w:bCs/>
                <w:sz w:val="24"/>
              </w:rPr>
              <w:t>1</w:t>
            </w:r>
            <w:r>
              <w:rPr>
                <w:bCs/>
                <w:sz w:val="24"/>
              </w:rPr>
              <w:t>年</w:t>
            </w:r>
            <w:r>
              <w:rPr>
                <w:rFonts w:hint="eastAsia"/>
                <w:bCs/>
                <w:sz w:val="24"/>
              </w:rPr>
              <w:t>2</w:t>
            </w:r>
            <w:r>
              <w:rPr>
                <w:bCs/>
                <w:sz w:val="24"/>
              </w:rPr>
              <w:t>月</w:t>
            </w:r>
            <w:r>
              <w:rPr>
                <w:rFonts w:hint="eastAsia"/>
                <w:bCs/>
                <w:sz w:val="24"/>
              </w:rPr>
              <w:t>24</w:t>
            </w:r>
            <w:r>
              <w:rPr>
                <w:bCs/>
                <w:sz w:val="24"/>
              </w:rPr>
              <w:t>日～</w:t>
            </w:r>
            <w:r>
              <w:rPr>
                <w:rFonts w:hint="eastAsia"/>
                <w:bCs/>
                <w:sz w:val="24"/>
              </w:rPr>
              <w:t>2</w:t>
            </w:r>
            <w:r>
              <w:rPr>
                <w:bCs/>
                <w:sz w:val="24"/>
              </w:rPr>
              <w:t>月</w:t>
            </w:r>
            <w:r>
              <w:rPr>
                <w:rFonts w:hint="eastAsia"/>
                <w:bCs/>
                <w:sz w:val="24"/>
              </w:rPr>
              <w:t>25</w:t>
            </w:r>
            <w:r>
              <w:rPr>
                <w:bCs/>
                <w:sz w:val="24"/>
              </w:rPr>
              <w:t>日</w:t>
            </w:r>
            <w:r>
              <w:rPr>
                <w:sz w:val="24"/>
                <w:szCs w:val="22"/>
              </w:rPr>
              <w:t>对</w:t>
            </w:r>
            <w:r>
              <w:rPr>
                <w:rFonts w:hint="eastAsia"/>
                <w:bCs/>
                <w:sz w:val="24"/>
              </w:rPr>
              <w:t>武南</w:t>
            </w:r>
            <w:r>
              <w:rPr>
                <w:bCs/>
                <w:sz w:val="24"/>
              </w:rPr>
              <w:t>污水处理厂排口上游500m、</w:t>
            </w:r>
            <w:r>
              <w:rPr>
                <w:rFonts w:hint="eastAsia"/>
                <w:bCs/>
                <w:sz w:val="24"/>
              </w:rPr>
              <w:t>武南</w:t>
            </w:r>
            <w:r>
              <w:rPr>
                <w:bCs/>
                <w:sz w:val="24"/>
              </w:rPr>
              <w:t>污水处理厂排口</w:t>
            </w:r>
            <w:r>
              <w:rPr>
                <w:rFonts w:hint="eastAsia"/>
                <w:bCs/>
                <w:sz w:val="24"/>
              </w:rPr>
              <w:t>、武南</w:t>
            </w:r>
            <w:r>
              <w:rPr>
                <w:bCs/>
                <w:sz w:val="24"/>
              </w:rPr>
              <w:t>污水处理厂排口下游1</w:t>
            </w:r>
            <w:r>
              <w:rPr>
                <w:rFonts w:hint="eastAsia"/>
                <w:bCs/>
                <w:sz w:val="24"/>
              </w:rPr>
              <w:t>5</w:t>
            </w:r>
            <w:r>
              <w:rPr>
                <w:bCs/>
                <w:sz w:val="24"/>
              </w:rPr>
              <w:t>00m</w:t>
            </w:r>
            <w:r>
              <w:rPr>
                <w:rFonts w:hint="eastAsia"/>
                <w:sz w:val="24"/>
                <w:szCs w:val="22"/>
              </w:rPr>
              <w:t>的</w:t>
            </w:r>
            <w:r>
              <w:rPr>
                <w:sz w:val="24"/>
                <w:szCs w:val="22"/>
              </w:rPr>
              <w:t>监测</w:t>
            </w:r>
            <w:r>
              <w:rPr>
                <w:rFonts w:hint="eastAsia"/>
                <w:sz w:val="24"/>
                <w:szCs w:val="22"/>
              </w:rPr>
              <w:t>数据</w:t>
            </w:r>
            <w:r>
              <w:rPr>
                <w:sz w:val="24"/>
                <w:szCs w:val="22"/>
              </w:rPr>
              <w:t>，引用时间不超过3年，水环境引用时间有效；项目所在区域污染源未发生重大变化，可引用3年内地表水的监测数据；引用点位在项目纳污河道评价范围内，地表水环境引用点位有效。</w:t>
            </w:r>
          </w:p>
          <w:p>
            <w:pPr>
              <w:keepNext w:val="0"/>
              <w:keepLines w:val="0"/>
              <w:suppressLineNumbers w:val="0"/>
              <w:adjustRightInd w:val="0"/>
              <w:snapToGrid w:val="0"/>
              <w:spacing w:before="0" w:beforeAutospacing="0" w:after="0" w:afterAutospacing="0" w:line="360" w:lineRule="auto"/>
              <w:ind w:left="0" w:right="0"/>
              <w:rPr>
                <w:b/>
                <w:bCs/>
                <w:sz w:val="24"/>
              </w:rPr>
            </w:pPr>
            <w:r>
              <w:rPr>
                <w:rFonts w:hint="eastAsia"/>
                <w:b/>
                <w:bCs/>
                <w:sz w:val="24"/>
              </w:rPr>
              <w:t>3、</w:t>
            </w:r>
            <w:r>
              <w:rPr>
                <w:b/>
                <w:bCs/>
                <w:sz w:val="24"/>
              </w:rPr>
              <w:t>声环境质量现状</w:t>
            </w:r>
          </w:p>
          <w:p>
            <w:pPr>
              <w:keepNext w:val="0"/>
              <w:keepLines w:val="0"/>
              <w:suppressLineNumbers w:val="0"/>
              <w:tabs>
                <w:tab w:val="left" w:pos="7776"/>
              </w:tabs>
              <w:adjustRightInd w:val="0"/>
              <w:spacing w:before="0" w:beforeAutospacing="0" w:after="0" w:afterAutospacing="0" w:line="360" w:lineRule="auto"/>
              <w:ind w:left="0" w:right="0" w:firstLine="480" w:firstLineChars="200"/>
              <w:rPr>
                <w:b/>
                <w:bCs/>
                <w:snapToGrid w:val="0"/>
                <w:kern w:val="0"/>
              </w:rPr>
            </w:pPr>
            <w:r>
              <w:rPr>
                <w:bCs/>
                <w:sz w:val="24"/>
              </w:rPr>
              <w:t>本项目委托</w:t>
            </w:r>
            <w:r>
              <w:rPr>
                <w:rFonts w:hint="eastAsia"/>
                <w:sz w:val="24"/>
                <w:szCs w:val="22"/>
              </w:rPr>
              <w:t>江苏久诚检验检测有限公司</w:t>
            </w:r>
            <w:r>
              <w:rPr>
                <w:bCs/>
                <w:sz w:val="24"/>
              </w:rPr>
              <w:t>于</w:t>
            </w:r>
            <w:r>
              <w:rPr>
                <w:sz w:val="24"/>
              </w:rPr>
              <w:t>202</w:t>
            </w:r>
            <w:r>
              <w:rPr>
                <w:rFonts w:hint="eastAsia"/>
                <w:sz w:val="24"/>
              </w:rPr>
              <w:t>2</w:t>
            </w:r>
            <w:r>
              <w:rPr>
                <w:sz w:val="24"/>
              </w:rPr>
              <w:t>.</w:t>
            </w:r>
            <w:r>
              <w:rPr>
                <w:rFonts w:hint="eastAsia"/>
                <w:sz w:val="24"/>
              </w:rPr>
              <w:t>4.20</w:t>
            </w:r>
            <w:r>
              <w:rPr>
                <w:sz w:val="24"/>
              </w:rPr>
              <w:t>在</w:t>
            </w:r>
            <w:r>
              <w:rPr>
                <w:bCs/>
                <w:sz w:val="24"/>
              </w:rPr>
              <w:t>厂界四周进行了噪声本底的实测，监测数据见下表：</w:t>
            </w:r>
          </w:p>
          <w:p>
            <w:pPr>
              <w:keepNext w:val="0"/>
              <w:keepLines w:val="0"/>
              <w:suppressLineNumbers w:val="0"/>
              <w:tabs>
                <w:tab w:val="left" w:pos="7776"/>
              </w:tabs>
              <w:adjustRightInd w:val="0"/>
              <w:spacing w:before="0" w:beforeAutospacing="0" w:after="0" w:afterAutospacing="0"/>
              <w:ind w:left="0" w:right="0" w:firstLine="482" w:firstLineChars="200"/>
              <w:jc w:val="center"/>
              <w:rPr>
                <w:b/>
                <w:bCs/>
                <w:snapToGrid w:val="0"/>
                <w:kern w:val="0"/>
                <w:sz w:val="24"/>
              </w:rPr>
            </w:pPr>
          </w:p>
          <w:p>
            <w:pPr>
              <w:keepNext w:val="0"/>
              <w:keepLines w:val="0"/>
              <w:suppressLineNumbers w:val="0"/>
              <w:tabs>
                <w:tab w:val="left" w:pos="7776"/>
              </w:tabs>
              <w:adjustRightInd w:val="0"/>
              <w:spacing w:before="0" w:beforeAutospacing="0" w:after="0" w:afterAutospacing="0"/>
              <w:ind w:left="0" w:right="0" w:firstLine="482" w:firstLineChars="200"/>
              <w:jc w:val="center"/>
              <w:rPr>
                <w:b/>
                <w:bCs/>
                <w:snapToGrid w:val="0"/>
                <w:kern w:val="0"/>
                <w:sz w:val="24"/>
              </w:rPr>
            </w:pPr>
          </w:p>
          <w:p>
            <w:pPr>
              <w:keepNext w:val="0"/>
              <w:keepLines w:val="0"/>
              <w:suppressLineNumbers w:val="0"/>
              <w:tabs>
                <w:tab w:val="left" w:pos="7776"/>
              </w:tabs>
              <w:adjustRightInd w:val="0"/>
              <w:spacing w:before="0" w:beforeAutospacing="0" w:after="0" w:afterAutospacing="0"/>
              <w:ind w:left="0" w:right="0" w:firstLine="482" w:firstLineChars="200"/>
              <w:jc w:val="center"/>
              <w:rPr>
                <w:b/>
                <w:bCs/>
                <w:snapToGrid w:val="0"/>
                <w:kern w:val="0"/>
                <w:sz w:val="24"/>
              </w:rPr>
            </w:pPr>
          </w:p>
          <w:p>
            <w:pPr>
              <w:keepNext w:val="0"/>
              <w:keepLines w:val="0"/>
              <w:suppressLineNumbers w:val="0"/>
              <w:tabs>
                <w:tab w:val="left" w:pos="7776"/>
              </w:tabs>
              <w:adjustRightInd w:val="0"/>
              <w:spacing w:before="0" w:beforeAutospacing="0" w:after="0" w:afterAutospacing="0"/>
              <w:ind w:left="0" w:right="0" w:firstLine="482" w:firstLineChars="200"/>
              <w:jc w:val="center"/>
              <w:rPr>
                <w:b/>
                <w:bCs/>
                <w:snapToGrid w:val="0"/>
                <w:kern w:val="0"/>
                <w:sz w:val="24"/>
              </w:rPr>
            </w:pPr>
          </w:p>
          <w:p>
            <w:pPr>
              <w:keepNext w:val="0"/>
              <w:keepLines w:val="0"/>
              <w:suppressLineNumbers w:val="0"/>
              <w:tabs>
                <w:tab w:val="left" w:pos="7776"/>
              </w:tabs>
              <w:adjustRightInd w:val="0"/>
              <w:spacing w:before="0" w:beforeAutospacing="0" w:after="0" w:afterAutospacing="0"/>
              <w:ind w:left="0" w:right="0" w:firstLine="482" w:firstLineChars="200"/>
              <w:jc w:val="center"/>
              <w:rPr>
                <w:b/>
                <w:bCs/>
                <w:snapToGrid w:val="0"/>
                <w:kern w:val="0"/>
                <w:sz w:val="24"/>
              </w:rPr>
            </w:pPr>
          </w:p>
          <w:p>
            <w:pPr>
              <w:keepNext w:val="0"/>
              <w:keepLines w:val="0"/>
              <w:suppressLineNumbers w:val="0"/>
              <w:tabs>
                <w:tab w:val="left" w:pos="7776"/>
              </w:tabs>
              <w:adjustRightInd w:val="0"/>
              <w:spacing w:before="0" w:beforeAutospacing="0" w:after="0" w:afterAutospacing="0"/>
              <w:ind w:left="0" w:right="0" w:firstLine="482" w:firstLineChars="200"/>
              <w:jc w:val="center"/>
              <w:rPr>
                <w:b/>
                <w:bCs/>
              </w:rPr>
            </w:pPr>
            <w:r>
              <w:rPr>
                <w:b/>
                <w:bCs/>
                <w:snapToGrid w:val="0"/>
                <w:kern w:val="0"/>
                <w:sz w:val="24"/>
              </w:rPr>
              <w:t>表</w:t>
            </w:r>
            <w:r>
              <w:rPr>
                <w:rFonts w:hint="eastAsia"/>
                <w:b/>
                <w:bCs/>
                <w:snapToGrid w:val="0"/>
                <w:kern w:val="0"/>
                <w:sz w:val="24"/>
              </w:rPr>
              <w:t xml:space="preserve">3-5  </w:t>
            </w:r>
            <w:r>
              <w:rPr>
                <w:b/>
                <w:bCs/>
                <w:snapToGrid w:val="0"/>
                <w:kern w:val="0"/>
                <w:sz w:val="24"/>
              </w:rPr>
              <w:t>声环境质量现状</w:t>
            </w:r>
          </w:p>
          <w:tbl>
            <w:tblPr>
              <w:tblStyle w:val="21"/>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725"/>
              <w:gridCol w:w="1705"/>
              <w:gridCol w:w="1297"/>
              <w:gridCol w:w="1295"/>
              <w:gridCol w:w="1297"/>
              <w:gridCol w:w="165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24" w:type="pct"/>
                  <w:gridSpan w:val="2"/>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监测点号</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N1（东）</w:t>
                  </w:r>
                </w:p>
              </w:tc>
              <w:tc>
                <w:tcPr>
                  <w:tcW w:w="812"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N2（南）</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N3（西）</w:t>
                  </w:r>
                </w:p>
              </w:tc>
              <w:tc>
                <w:tcPr>
                  <w:tcW w:w="1038"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N4（北）</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5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4.20</w:t>
                  </w:r>
                </w:p>
              </w:tc>
              <w:tc>
                <w:tcPr>
                  <w:tcW w:w="106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昼间</w:t>
                  </w:r>
                  <w:r>
                    <w:rPr>
                      <w:rFonts w:hint="eastAsia"/>
                      <w:szCs w:val="21"/>
                    </w:rPr>
                    <w:t>Leq</w:t>
                  </w:r>
                  <w:r>
                    <w:rPr>
                      <w:szCs w:val="21"/>
                    </w:rPr>
                    <w:t>dB(A)</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57</w:t>
                  </w:r>
                </w:p>
              </w:tc>
              <w:tc>
                <w:tcPr>
                  <w:tcW w:w="81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57</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56</w:t>
                  </w:r>
                </w:p>
              </w:tc>
              <w:tc>
                <w:tcPr>
                  <w:tcW w:w="103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45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4.20</w:t>
                  </w:r>
                </w:p>
              </w:tc>
              <w:tc>
                <w:tcPr>
                  <w:tcW w:w="106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夜</w:t>
                  </w:r>
                  <w:r>
                    <w:rPr>
                      <w:szCs w:val="21"/>
                    </w:rPr>
                    <w:t>间</w:t>
                  </w:r>
                  <w:r>
                    <w:rPr>
                      <w:rFonts w:hint="eastAsia"/>
                      <w:szCs w:val="21"/>
                    </w:rPr>
                    <w:t>Leq</w:t>
                  </w:r>
                  <w:r>
                    <w:rPr>
                      <w:szCs w:val="21"/>
                    </w:rPr>
                    <w:t>dB(A)</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45</w:t>
                  </w:r>
                </w:p>
              </w:tc>
              <w:tc>
                <w:tcPr>
                  <w:tcW w:w="81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45</w:t>
                  </w:r>
                </w:p>
              </w:tc>
              <w:tc>
                <w:tcPr>
                  <w:tcW w:w="813"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44</w:t>
                  </w:r>
                </w:p>
              </w:tc>
              <w:tc>
                <w:tcPr>
                  <w:tcW w:w="103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24" w:type="pct"/>
                  <w:gridSpan w:val="2"/>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噪声标准</w:t>
                  </w:r>
                </w:p>
              </w:tc>
              <w:tc>
                <w:tcPr>
                  <w:tcW w:w="3476" w:type="pct"/>
                  <w:gridSpan w:val="4"/>
                  <w:tcBorders>
                    <w:top w:val="single" w:color="000000" w:sz="6" w:space="0"/>
                    <w:bottom w:val="single" w:color="000000" w:sz="12"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昼间≤60dB(A)</w:t>
                  </w:r>
                  <w:r>
                    <w:rPr>
                      <w:rFonts w:hint="eastAsia"/>
                      <w:szCs w:val="21"/>
                    </w:rPr>
                    <w:t>，夜间</w:t>
                  </w:r>
                  <w:r>
                    <w:rPr>
                      <w:szCs w:val="21"/>
                    </w:rPr>
                    <w:t>≤</w:t>
                  </w:r>
                  <w:r>
                    <w:rPr>
                      <w:rFonts w:hint="eastAsia"/>
                      <w:szCs w:val="21"/>
                    </w:rPr>
                    <w:t>5</w:t>
                  </w:r>
                  <w:r>
                    <w:rPr>
                      <w:szCs w:val="21"/>
                    </w:rPr>
                    <w:t>0dB(A)</w:t>
                  </w:r>
                </w:p>
              </w:tc>
            </w:tr>
          </w:tbl>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bCs/>
                <w:sz w:val="24"/>
              </w:rPr>
            </w:pPr>
            <w:r>
              <w:rPr>
                <w:bCs/>
                <w:sz w:val="24"/>
              </w:rPr>
              <w:t>由上表可知，项目各厂界昼</w:t>
            </w:r>
            <w:r>
              <w:rPr>
                <w:rFonts w:hint="eastAsia"/>
                <w:bCs/>
                <w:sz w:val="24"/>
              </w:rPr>
              <w:t>、夜</w:t>
            </w:r>
            <w:r>
              <w:rPr>
                <w:bCs/>
                <w:sz w:val="24"/>
              </w:rPr>
              <w:t>间噪声均符合《声环境质量标准》（GB3096-2008）中2类标准要求</w:t>
            </w:r>
            <w:r>
              <w:rPr>
                <w:rFonts w:hint="eastAsia" w:ascii="宋体" w:hAnsi="宋体"/>
                <w:bCs/>
                <w:sz w:val="24"/>
              </w:rPr>
              <w:t>。</w:t>
            </w:r>
          </w:p>
          <w:p>
            <w:pPr>
              <w:keepNext w:val="0"/>
              <w:keepLines w:val="0"/>
              <w:suppressLineNumbers w:val="0"/>
              <w:spacing w:before="0" w:beforeAutospacing="0" w:after="0" w:afterAutospacing="0" w:line="360" w:lineRule="auto"/>
              <w:ind w:left="0" w:right="0"/>
              <w:rPr>
                <w:b/>
                <w:bCs/>
                <w:sz w:val="24"/>
              </w:rPr>
            </w:pPr>
            <w:r>
              <w:rPr>
                <w:rFonts w:hint="eastAsia"/>
                <w:b/>
                <w:bCs/>
                <w:sz w:val="24"/>
              </w:rPr>
              <w:t>4、生态环境现状</w:t>
            </w:r>
          </w:p>
          <w:p>
            <w:pPr>
              <w:keepNext w:val="0"/>
              <w:keepLines w:val="0"/>
              <w:suppressLineNumbers w:val="0"/>
              <w:spacing w:before="0" w:beforeAutospacing="0" w:after="0" w:afterAutospacing="0" w:line="360" w:lineRule="auto"/>
              <w:ind w:left="0" w:right="0" w:firstLine="480" w:firstLineChars="200"/>
              <w:rPr>
                <w:bCs/>
                <w:sz w:val="24"/>
              </w:rPr>
            </w:pPr>
            <w:r>
              <w:rPr>
                <w:rFonts w:hint="eastAsia"/>
                <w:bCs/>
                <w:sz w:val="24"/>
              </w:rPr>
              <w:t>本项目用地范围内无生态环境保护目标。根据《建设项目环境影响报告表编制技术指南（污染影响类）》（试行），无需开展生态环境现状调查。</w:t>
            </w:r>
          </w:p>
          <w:p>
            <w:pPr>
              <w:keepNext w:val="0"/>
              <w:keepLines w:val="0"/>
              <w:suppressLineNumbers w:val="0"/>
              <w:spacing w:before="0" w:beforeAutospacing="0" w:after="0" w:afterAutospacing="0" w:line="360" w:lineRule="auto"/>
              <w:ind w:left="0" w:right="0"/>
              <w:rPr>
                <w:b/>
                <w:bCs/>
                <w:sz w:val="24"/>
              </w:rPr>
            </w:pPr>
            <w:r>
              <w:rPr>
                <w:rFonts w:hint="eastAsia"/>
                <w:b/>
                <w:bCs/>
                <w:sz w:val="24"/>
              </w:rPr>
              <w:t>5、辐射</w:t>
            </w:r>
          </w:p>
          <w:p>
            <w:pPr>
              <w:keepNext w:val="0"/>
              <w:keepLines w:val="0"/>
              <w:suppressLineNumbers w:val="0"/>
              <w:spacing w:before="0" w:beforeAutospacing="0" w:after="0" w:afterAutospacing="0" w:line="360" w:lineRule="auto"/>
              <w:ind w:left="0" w:right="0" w:firstLine="480" w:firstLineChars="200"/>
              <w:rPr>
                <w:bCs/>
                <w:sz w:val="24"/>
              </w:rPr>
            </w:pPr>
            <w:r>
              <w:rPr>
                <w:rFonts w:hint="eastAsia"/>
                <w:bCs/>
                <w:sz w:val="24"/>
              </w:rPr>
              <w:t>本项目不属于广播电台、差转台、电视塔台、卫星地球上行站、雷达等电磁辐射类项目。</w:t>
            </w:r>
          </w:p>
          <w:p>
            <w:pPr>
              <w:keepNext w:val="0"/>
              <w:keepLines w:val="0"/>
              <w:suppressLineNumbers w:val="0"/>
              <w:spacing w:before="0" w:beforeAutospacing="0" w:after="0" w:afterAutospacing="0" w:line="360" w:lineRule="auto"/>
              <w:ind w:left="0" w:right="0"/>
              <w:rPr>
                <w:b/>
                <w:bCs/>
                <w:sz w:val="24"/>
              </w:rPr>
            </w:pPr>
            <w:r>
              <w:rPr>
                <w:rFonts w:hint="eastAsia"/>
                <w:b/>
                <w:bCs/>
                <w:sz w:val="24"/>
              </w:rPr>
              <w:t>6、地下水、土壤环境质量现状</w:t>
            </w:r>
          </w:p>
          <w:p>
            <w:pPr>
              <w:keepNext w:val="0"/>
              <w:keepLines w:val="0"/>
              <w:suppressLineNumbers w:val="0"/>
              <w:spacing w:before="0" w:beforeAutospacing="0" w:after="0" w:afterAutospacing="0" w:line="360" w:lineRule="auto"/>
              <w:ind w:left="0" w:right="0" w:firstLine="480" w:firstLineChars="200"/>
              <w:rPr>
                <w:bCs/>
                <w:sz w:val="24"/>
              </w:rPr>
            </w:pPr>
            <w:r>
              <w:rPr>
                <w:rFonts w:hint="eastAsia"/>
                <w:bCs/>
                <w:sz w:val="24"/>
              </w:rPr>
              <w:t>根据《建设项目环境影响报告表编制技术指南（污染影响类）》（试行），原则上不开展地下水、土壤环境质量现状调查。本项目生产车间、危废仓库地面均已做硬化和防渗处理，故发生地下水、土壤环境问题的可能性较小，因此不开展现状调查。</w:t>
            </w: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环境</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保护</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目标</w:t>
            </w:r>
          </w:p>
        </w:tc>
        <w:tc>
          <w:tcPr>
            <w:tcW w:w="8190" w:type="dxa"/>
            <w:vAlign w:val="center"/>
          </w:tcPr>
          <w:p>
            <w:pPr>
              <w:keepNext w:val="0"/>
              <w:keepLines w:val="0"/>
              <w:suppressLineNumbers w:val="0"/>
              <w:adjustRightInd w:val="0"/>
              <w:snapToGrid w:val="0"/>
              <w:spacing w:before="0" w:beforeAutospacing="0" w:after="0" w:afterAutospacing="0" w:line="360" w:lineRule="auto"/>
              <w:ind w:left="0" w:right="0" w:firstLine="482"/>
              <w:rPr>
                <w:sz w:val="24"/>
              </w:rPr>
            </w:pPr>
            <w:r>
              <w:rPr>
                <w:rFonts w:hint="eastAsia"/>
                <w:sz w:val="24"/>
              </w:rPr>
              <w:t>1、大气环境</w:t>
            </w:r>
          </w:p>
          <w:p>
            <w:pPr>
              <w:keepNext w:val="0"/>
              <w:keepLines w:val="0"/>
              <w:suppressLineNumbers w:val="0"/>
              <w:adjustRightInd w:val="0"/>
              <w:snapToGrid w:val="0"/>
              <w:spacing w:before="0" w:beforeAutospacing="0" w:after="0" w:afterAutospacing="0" w:line="360" w:lineRule="auto"/>
              <w:ind w:left="0" w:right="0" w:firstLine="482"/>
              <w:rPr>
                <w:sz w:val="24"/>
              </w:rPr>
            </w:pPr>
            <w:r>
              <w:rPr>
                <w:sz w:val="24"/>
              </w:rPr>
              <w:t>项目周围主要环境保护目标见下表：</w:t>
            </w:r>
          </w:p>
          <w:p>
            <w:pPr>
              <w:keepNext w:val="0"/>
              <w:keepLines w:val="0"/>
              <w:suppressLineNumbers w:val="0"/>
              <w:autoSpaceDE w:val="0"/>
              <w:autoSpaceDN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3-6  项目</w:t>
            </w:r>
            <w:r>
              <w:rPr>
                <w:b/>
                <w:bCs/>
                <w:sz w:val="24"/>
              </w:rPr>
              <w:t>环境保护目标一览表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558"/>
              <w:gridCol w:w="885"/>
              <w:gridCol w:w="992"/>
              <w:gridCol w:w="1521"/>
              <w:gridCol w:w="1132"/>
              <w:gridCol w:w="11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58"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名称</w:t>
                  </w:r>
                </w:p>
              </w:tc>
              <w:tc>
                <w:tcPr>
                  <w:tcW w:w="977"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保护对象</w:t>
                  </w:r>
                </w:p>
              </w:tc>
              <w:tc>
                <w:tcPr>
                  <w:tcW w:w="555"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保护内容</w:t>
                  </w:r>
                </w:p>
              </w:tc>
              <w:tc>
                <w:tcPr>
                  <w:tcW w:w="622"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环境功能区</w:t>
                  </w:r>
                </w:p>
              </w:tc>
              <w:tc>
                <w:tcPr>
                  <w:tcW w:w="954"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相对厂址方位</w:t>
                  </w:r>
                </w:p>
              </w:tc>
              <w:tc>
                <w:tcPr>
                  <w:tcW w:w="710"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相对厂界距离</w:t>
                  </w:r>
                  <w:r>
                    <w:rPr>
                      <w:rFonts w:hint="eastAsia"/>
                      <w:b/>
                      <w:szCs w:val="21"/>
                    </w:rPr>
                    <w:t>/m</w:t>
                  </w:r>
                </w:p>
              </w:tc>
              <w:tc>
                <w:tcPr>
                  <w:tcW w:w="724" w:type="pct"/>
                  <w:vMerge w:val="restart"/>
                  <w:vAlign w:val="center"/>
                </w:tcPr>
                <w:p>
                  <w:pPr>
                    <w:keepNext w:val="0"/>
                    <w:keepLines w:val="0"/>
                    <w:suppressLineNumbers w:val="0"/>
                    <w:spacing w:before="0" w:beforeAutospacing="0" w:after="0" w:afterAutospacing="0"/>
                    <w:ind w:left="0" w:right="0"/>
                    <w:jc w:val="center"/>
                    <w:rPr>
                      <w:b/>
                      <w:szCs w:val="21"/>
                    </w:rPr>
                  </w:pPr>
                  <w:r>
                    <w:rPr>
                      <w:b/>
                      <w:szCs w:val="21"/>
                    </w:rPr>
                    <w:t>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
                      <w:szCs w:val="21"/>
                    </w:rPr>
                  </w:pPr>
                </w:p>
              </w:tc>
              <w:tc>
                <w:tcPr>
                  <w:tcW w:w="977" w:type="pct"/>
                  <w:vMerge w:val="continue"/>
                  <w:vAlign w:val="center"/>
                </w:tcPr>
                <w:p>
                  <w:pPr>
                    <w:keepNext w:val="0"/>
                    <w:keepLines w:val="0"/>
                    <w:suppressLineNumbers w:val="0"/>
                    <w:spacing w:before="0" w:beforeAutospacing="0" w:after="0" w:afterAutospacing="0"/>
                    <w:ind w:left="0" w:right="0"/>
                    <w:jc w:val="center"/>
                    <w:rPr>
                      <w:b/>
                      <w:szCs w:val="21"/>
                    </w:rPr>
                  </w:pPr>
                </w:p>
              </w:tc>
              <w:tc>
                <w:tcPr>
                  <w:tcW w:w="555" w:type="pct"/>
                  <w:vMerge w:val="continue"/>
                  <w:vAlign w:val="center"/>
                </w:tcPr>
                <w:p>
                  <w:pPr>
                    <w:keepNext w:val="0"/>
                    <w:keepLines w:val="0"/>
                    <w:suppressLineNumbers w:val="0"/>
                    <w:spacing w:before="0" w:beforeAutospacing="0" w:after="0" w:afterAutospacing="0"/>
                    <w:ind w:left="0" w:right="0"/>
                    <w:jc w:val="center"/>
                    <w:rPr>
                      <w:b/>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
                      <w:szCs w:val="21"/>
                    </w:rPr>
                  </w:pPr>
                </w:p>
              </w:tc>
              <w:tc>
                <w:tcPr>
                  <w:tcW w:w="954" w:type="pct"/>
                  <w:vMerge w:val="continue"/>
                  <w:vAlign w:val="center"/>
                </w:tcPr>
                <w:p>
                  <w:pPr>
                    <w:keepNext w:val="0"/>
                    <w:keepLines w:val="0"/>
                    <w:suppressLineNumbers w:val="0"/>
                    <w:spacing w:before="0" w:beforeAutospacing="0" w:after="0" w:afterAutospacing="0"/>
                    <w:ind w:left="0" w:right="0"/>
                    <w:jc w:val="center"/>
                    <w:rPr>
                      <w:b/>
                      <w:szCs w:val="21"/>
                    </w:rPr>
                  </w:pPr>
                </w:p>
              </w:tc>
              <w:tc>
                <w:tcPr>
                  <w:tcW w:w="710" w:type="pct"/>
                  <w:vMerge w:val="continue"/>
                  <w:vAlign w:val="center"/>
                </w:tcPr>
                <w:p>
                  <w:pPr>
                    <w:keepNext w:val="0"/>
                    <w:keepLines w:val="0"/>
                    <w:suppressLineNumbers w:val="0"/>
                    <w:spacing w:before="0" w:beforeAutospacing="0" w:after="0" w:afterAutospacing="0"/>
                    <w:ind w:left="0" w:right="0"/>
                    <w:jc w:val="center"/>
                    <w:rPr>
                      <w:b/>
                      <w:szCs w:val="21"/>
                    </w:rPr>
                  </w:pPr>
                </w:p>
              </w:tc>
              <w:tc>
                <w:tcPr>
                  <w:tcW w:w="724" w:type="pct"/>
                  <w:vMerge w:val="continue"/>
                  <w:vAlign w:val="center"/>
                </w:tcPr>
                <w:p>
                  <w:pPr>
                    <w:keepNext w:val="0"/>
                    <w:keepLines w:val="0"/>
                    <w:suppressLineNumbers w:val="0"/>
                    <w:spacing w:before="0" w:beforeAutospacing="0" w:after="0" w:afterAutospacing="0"/>
                    <w:ind w:left="0" w:right="0"/>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restart"/>
                  <w:vAlign w:val="center"/>
                </w:tcPr>
                <w:p>
                  <w:pPr>
                    <w:keepNext w:val="0"/>
                    <w:keepLines w:val="0"/>
                    <w:suppressLineNumbers w:val="0"/>
                    <w:spacing w:before="0" w:beforeAutospacing="0" w:after="0" w:afterAutospacing="0"/>
                    <w:ind w:left="0" w:right="0"/>
                    <w:jc w:val="center"/>
                    <w:rPr>
                      <w:b/>
                      <w:szCs w:val="21"/>
                    </w:rPr>
                  </w:pPr>
                  <w:r>
                    <w:rPr>
                      <w:bCs/>
                      <w:szCs w:val="21"/>
                    </w:rPr>
                    <w:t>大气环境</w:t>
                  </w: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支家头</w:t>
                  </w:r>
                </w:p>
              </w:tc>
              <w:tc>
                <w:tcPr>
                  <w:tcW w:w="555" w:type="pct"/>
                  <w:vMerge w:val="restart"/>
                  <w:vAlign w:val="center"/>
                </w:tcPr>
                <w:p>
                  <w:pPr>
                    <w:keepNext w:val="0"/>
                    <w:keepLines w:val="0"/>
                    <w:suppressLineNumbers w:val="0"/>
                    <w:spacing w:before="0" w:beforeAutospacing="0" w:after="0" w:afterAutospacing="0"/>
                    <w:ind w:left="0" w:right="0"/>
                    <w:jc w:val="center"/>
                    <w:rPr>
                      <w:bCs/>
                      <w:szCs w:val="21"/>
                    </w:rPr>
                  </w:pPr>
                  <w:r>
                    <w:rPr>
                      <w:bCs/>
                      <w:szCs w:val="21"/>
                    </w:rPr>
                    <w:t>居民</w:t>
                  </w:r>
                </w:p>
              </w:tc>
              <w:tc>
                <w:tcPr>
                  <w:tcW w:w="622" w:type="pct"/>
                  <w:vMerge w:val="restart"/>
                  <w:vAlign w:val="center"/>
                </w:tcPr>
                <w:p>
                  <w:pPr>
                    <w:keepNext w:val="0"/>
                    <w:keepLines w:val="0"/>
                    <w:suppressLineNumbers w:val="0"/>
                    <w:spacing w:before="0" w:beforeAutospacing="0" w:after="0" w:afterAutospacing="0"/>
                    <w:ind w:left="0" w:right="0"/>
                    <w:jc w:val="center"/>
                    <w:rPr>
                      <w:bCs/>
                      <w:szCs w:val="21"/>
                    </w:rPr>
                  </w:pPr>
                  <w:r>
                    <w:rPr>
                      <w:bCs/>
                      <w:szCs w:val="21"/>
                    </w:rPr>
                    <w:t>二级功能区</w:t>
                  </w:r>
                </w:p>
              </w:tc>
              <w:tc>
                <w:tcPr>
                  <w:tcW w:w="954" w:type="pct"/>
                  <w:vAlign w:val="center"/>
                </w:tcPr>
                <w:p>
                  <w:pPr>
                    <w:keepNext w:val="0"/>
                    <w:keepLines w:val="0"/>
                    <w:suppressLineNumbers w:val="0"/>
                    <w:adjustRightInd w:val="0"/>
                    <w:snapToGrid w:val="0"/>
                    <w:spacing w:before="0" w:beforeAutospacing="0" w:after="0" w:afterAutospacing="0"/>
                    <w:ind w:left="0" w:right="0"/>
                    <w:jc w:val="center"/>
                    <w:rPr>
                      <w:bCs/>
                      <w:szCs w:val="21"/>
                    </w:rPr>
                  </w:pPr>
                  <w:r>
                    <w:rPr>
                      <w:rFonts w:hint="eastAsia"/>
                      <w:bCs/>
                      <w:szCs w:val="21"/>
                    </w:rPr>
                    <w:t>N</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56</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200人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官庄头</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bCs/>
                      <w:szCs w:val="21"/>
                    </w:rPr>
                  </w:pPr>
                  <w:r>
                    <w:rPr>
                      <w:rFonts w:hint="eastAsia"/>
                      <w:bCs/>
                      <w:szCs w:val="21"/>
                    </w:rPr>
                    <w:t>SW</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90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100人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博家头</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bCs/>
                      <w:szCs w:val="21"/>
                    </w:rPr>
                  </w:pPr>
                  <w:r>
                    <w:rPr>
                      <w:rFonts w:hint="eastAsia"/>
                      <w:bCs/>
                      <w:szCs w:val="21"/>
                    </w:rPr>
                    <w:t>NW</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163</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150人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史家头</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bCs/>
                      <w:szCs w:val="21"/>
                    </w:rPr>
                  </w:pPr>
                  <w:r>
                    <w:rPr>
                      <w:rFonts w:hint="eastAsia"/>
                      <w:bCs/>
                      <w:szCs w:val="21"/>
                    </w:rPr>
                    <w:t>N</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140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bCs/>
                      <w:sz w:val="21"/>
                      <w:szCs w:val="21"/>
                    </w:rPr>
                  </w:pPr>
                  <w:r>
                    <w:rPr>
                      <w:rFonts w:hint="eastAsia" w:ascii="Times New Roman" w:hAnsi="Times New Roman"/>
                      <w:bCs/>
                      <w:sz w:val="21"/>
                      <w:szCs w:val="21"/>
                    </w:rPr>
                    <w:t>350人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岸里</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NE</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230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150人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姚家头</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SE</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400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150人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孙家头</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NE</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420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200人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7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上家桥</w:t>
                  </w:r>
                </w:p>
              </w:tc>
              <w:tc>
                <w:tcPr>
                  <w:tcW w:w="555"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622" w:type="pct"/>
                  <w:vMerge w:val="continue"/>
                  <w:vAlign w:val="center"/>
                </w:tcPr>
                <w:p>
                  <w:pPr>
                    <w:keepNext w:val="0"/>
                    <w:keepLines w:val="0"/>
                    <w:suppressLineNumbers w:val="0"/>
                    <w:spacing w:before="0" w:beforeAutospacing="0" w:after="0" w:afterAutospacing="0"/>
                    <w:ind w:left="0" w:right="0"/>
                    <w:jc w:val="center"/>
                    <w:rPr>
                      <w:bCs/>
                      <w:szCs w:val="21"/>
                    </w:rPr>
                  </w:pPr>
                </w:p>
              </w:tc>
              <w:tc>
                <w:tcPr>
                  <w:tcW w:w="95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SW</w:t>
                  </w:r>
                </w:p>
              </w:tc>
              <w:tc>
                <w:tcPr>
                  <w:tcW w:w="710"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490</w:t>
                  </w:r>
                </w:p>
              </w:tc>
              <w:tc>
                <w:tcPr>
                  <w:tcW w:w="724" w:type="pct"/>
                  <w:vAlign w:val="center"/>
                </w:tcPr>
                <w:p>
                  <w:pPr>
                    <w:pStyle w:val="59"/>
                    <w:keepNext w:val="0"/>
                    <w:keepLines w:val="0"/>
                    <w:suppressLineNumbers w:val="0"/>
                    <w:spacing w:before="0" w:beforeAutospacing="0" w:after="0" w:afterAutospacing="0"/>
                    <w:ind w:left="0" w:right="0"/>
                    <w:rPr>
                      <w:rFonts w:ascii="Times New Roman" w:hAnsi="Times New Roman"/>
                      <w:sz w:val="21"/>
                      <w:szCs w:val="21"/>
                    </w:rPr>
                  </w:pPr>
                  <w:r>
                    <w:rPr>
                      <w:rFonts w:hint="eastAsia" w:ascii="Times New Roman" w:hAnsi="Times New Roman"/>
                      <w:sz w:val="21"/>
                      <w:szCs w:val="21"/>
                    </w:rPr>
                    <w:t>80人</w:t>
                  </w:r>
                </w:p>
              </w:tc>
            </w:tr>
          </w:tbl>
          <w:p>
            <w:pPr>
              <w:keepNext w:val="0"/>
              <w:keepLines w:val="0"/>
              <w:suppressLineNumbers w:val="0"/>
              <w:spacing w:before="0" w:beforeAutospacing="0" w:after="0" w:afterAutospacing="0"/>
              <w:ind w:left="0" w:right="0"/>
              <w:jc w:val="left"/>
              <w:rPr>
                <w:rFonts w:ascii="宋体" w:hAnsi="宋体" w:cs="宋体"/>
                <w:b/>
                <w:szCs w:val="21"/>
              </w:rPr>
            </w:pPr>
            <w:r>
              <w:rPr>
                <w:rFonts w:hint="eastAsia" w:ascii="宋体" w:hAnsi="宋体" w:cs="宋体"/>
                <w:b/>
                <w:szCs w:val="21"/>
              </w:rPr>
              <w:t>注：</w:t>
            </w:r>
            <w:r>
              <w:rPr>
                <w:rFonts w:hint="eastAsia"/>
                <w:b/>
                <w:bCs/>
                <w:szCs w:val="21"/>
              </w:rPr>
              <w:t>本项目以厂区边界为起点，以敏感点中心为终点</w:t>
            </w:r>
            <w:r>
              <w:rPr>
                <w:rFonts w:hint="eastAsia" w:ascii="宋体" w:hAnsi="宋体" w:cs="宋体"/>
                <w:b/>
                <w:szCs w:val="21"/>
              </w:rPr>
              <w:t>。</w:t>
            </w:r>
          </w:p>
          <w:p>
            <w:pPr>
              <w:keepNext w:val="0"/>
              <w:keepLines w:val="0"/>
              <w:suppressLineNumbers w:val="0"/>
              <w:spacing w:before="0" w:beforeAutospacing="0" w:after="0" w:afterAutospacing="0" w:line="360" w:lineRule="auto"/>
              <w:ind w:left="0" w:right="0" w:firstLine="480" w:firstLineChars="200"/>
              <w:rPr>
                <w:bCs/>
                <w:sz w:val="24"/>
              </w:rPr>
            </w:pPr>
            <w:r>
              <w:rPr>
                <w:bCs/>
                <w:sz w:val="24"/>
              </w:rPr>
              <w:t>2、声环境</w:t>
            </w:r>
          </w:p>
          <w:p>
            <w:pPr>
              <w:keepNext w:val="0"/>
              <w:keepLines w:val="0"/>
              <w:suppressLineNumbers w:val="0"/>
              <w:spacing w:before="0" w:beforeAutospacing="0" w:after="0" w:afterAutospacing="0" w:line="360" w:lineRule="auto"/>
              <w:ind w:left="0" w:right="0" w:firstLine="480" w:firstLineChars="200"/>
              <w:rPr>
                <w:bCs/>
                <w:sz w:val="24"/>
              </w:rPr>
            </w:pPr>
            <w:r>
              <w:rPr>
                <w:bCs/>
                <w:sz w:val="24"/>
              </w:rPr>
              <w:t>本项目周边50m范围内无环境敏感点。</w:t>
            </w:r>
          </w:p>
          <w:p>
            <w:pPr>
              <w:keepNext w:val="0"/>
              <w:keepLines w:val="0"/>
              <w:suppressLineNumbers w:val="0"/>
              <w:spacing w:before="0" w:beforeAutospacing="0" w:after="0" w:afterAutospacing="0" w:line="360" w:lineRule="auto"/>
              <w:ind w:left="0" w:right="0" w:firstLine="480" w:firstLineChars="200"/>
              <w:rPr>
                <w:bCs/>
                <w:sz w:val="24"/>
              </w:rPr>
            </w:pPr>
            <w:r>
              <w:rPr>
                <w:bCs/>
                <w:sz w:val="24"/>
              </w:rPr>
              <w:t>3、地下水环境</w:t>
            </w:r>
          </w:p>
          <w:p>
            <w:pPr>
              <w:keepNext w:val="0"/>
              <w:keepLines w:val="0"/>
              <w:suppressLineNumbers w:val="0"/>
              <w:spacing w:before="0" w:beforeAutospacing="0" w:after="0" w:afterAutospacing="0" w:line="360" w:lineRule="auto"/>
              <w:ind w:left="0" w:right="0" w:firstLine="480" w:firstLineChars="200"/>
              <w:rPr>
                <w:bCs/>
                <w:sz w:val="24"/>
              </w:rPr>
            </w:pPr>
            <w:r>
              <w:rPr>
                <w:bCs/>
                <w:sz w:val="24"/>
              </w:rPr>
              <w:t>厂界外500m范围内无地下水集中式饮用水水源和热水、矿泉水、温泉等特殊地下水资源。</w:t>
            </w:r>
          </w:p>
          <w:p>
            <w:pPr>
              <w:keepNext w:val="0"/>
              <w:keepLines w:val="0"/>
              <w:suppressLineNumbers w:val="0"/>
              <w:adjustRightInd w:val="0"/>
              <w:snapToGrid w:val="0"/>
              <w:spacing w:before="0" w:beforeAutospacing="0" w:after="0" w:afterAutospacing="0" w:line="360" w:lineRule="auto"/>
              <w:ind w:left="0" w:right="0" w:firstLine="482"/>
              <w:rPr>
                <w:bCs/>
                <w:sz w:val="24"/>
              </w:rPr>
            </w:pPr>
            <w:r>
              <w:rPr>
                <w:bCs/>
                <w:sz w:val="24"/>
              </w:rPr>
              <w:t>4、生态环境</w:t>
            </w:r>
          </w:p>
          <w:p>
            <w:pPr>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bCs/>
                <w:sz w:val="24"/>
              </w:rPr>
            </w:pPr>
            <w:r>
              <w:rPr>
                <w:bCs/>
                <w:sz w:val="24"/>
              </w:rPr>
              <w:t>距离本项目最近的国家级生态保护红线区域为</w:t>
            </w:r>
            <w:r>
              <w:rPr>
                <w:rFonts w:hint="eastAsia"/>
                <w:bCs/>
                <w:sz w:val="24"/>
              </w:rPr>
              <w:t>太湖</w:t>
            </w:r>
            <w:r>
              <w:rPr>
                <w:bCs/>
                <w:sz w:val="24"/>
              </w:rPr>
              <w:t>重要湿地（武进区），位于项目</w:t>
            </w:r>
            <w:r>
              <w:rPr>
                <w:rFonts w:hint="eastAsia"/>
                <w:bCs/>
                <w:sz w:val="24"/>
              </w:rPr>
              <w:t>西</w:t>
            </w:r>
            <w:r>
              <w:rPr>
                <w:bCs/>
                <w:sz w:val="24"/>
              </w:rPr>
              <w:t>南侧</w:t>
            </w:r>
            <w:r>
              <w:rPr>
                <w:rFonts w:hint="eastAsia"/>
                <w:bCs/>
                <w:sz w:val="24"/>
                <w:lang w:val="en-US" w:eastAsia="zh-CN"/>
              </w:rPr>
              <w:t>86</w:t>
            </w:r>
            <w:r>
              <w:rPr>
                <w:rFonts w:hint="eastAsia"/>
                <w:bCs/>
                <w:sz w:val="24"/>
              </w:rPr>
              <w:t>0</w:t>
            </w:r>
            <w:r>
              <w:rPr>
                <w:bCs/>
                <w:sz w:val="24"/>
              </w:rPr>
              <w:t>0m处；距离本项目最近的江苏省生态空间管控区域为宋剑湖湿地公园，位于项目</w:t>
            </w:r>
            <w:r>
              <w:rPr>
                <w:rFonts w:hint="eastAsia"/>
                <w:bCs/>
                <w:sz w:val="24"/>
              </w:rPr>
              <w:t>西北</w:t>
            </w:r>
            <w:r>
              <w:rPr>
                <w:bCs/>
                <w:sz w:val="24"/>
              </w:rPr>
              <w:t>侧</w:t>
            </w:r>
            <w:r>
              <w:rPr>
                <w:rFonts w:hint="eastAsia"/>
                <w:bCs/>
                <w:sz w:val="24"/>
                <w:lang w:val="en-US" w:eastAsia="zh-CN"/>
              </w:rPr>
              <w:t>45</w:t>
            </w:r>
            <w:r>
              <w:rPr>
                <w:rFonts w:hint="eastAsia"/>
                <w:bCs/>
                <w:sz w:val="24"/>
              </w:rPr>
              <w:t>0</w:t>
            </w:r>
            <w:r>
              <w:rPr>
                <w:bCs/>
                <w:sz w:val="24"/>
              </w:rPr>
              <w:t>0m处</w:t>
            </w:r>
            <w:r>
              <w:rPr>
                <w:rFonts w:hint="eastAsia"/>
                <w:bCs/>
                <w:sz w:val="24"/>
              </w:rPr>
              <w:t>，故不涉及生态环境保护目标。</w:t>
            </w: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84" w:firstLine="560"/>
            </w:pPr>
          </w:p>
          <w:p>
            <w:pPr>
              <w:pStyle w:val="27"/>
              <w:keepNext w:val="0"/>
              <w:keepLines w:val="0"/>
              <w:suppressLineNumbers w:val="0"/>
              <w:ind w:left="0" w:leftChars="0" w:firstLine="383" w:firstLineChars="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00"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污染</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物排</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放控</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制标</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准</w:t>
            </w:r>
          </w:p>
        </w:tc>
        <w:tc>
          <w:tcPr>
            <w:tcW w:w="8190" w:type="dxa"/>
            <w:vAlign w:val="center"/>
          </w:tcPr>
          <w:p>
            <w:pPr>
              <w:keepNext w:val="0"/>
              <w:keepLines w:val="0"/>
              <w:suppressLineNumbers w:val="0"/>
              <w:spacing w:before="0" w:beforeAutospacing="0" w:after="0" w:afterAutospacing="0" w:line="360" w:lineRule="auto"/>
              <w:ind w:left="0" w:right="0"/>
              <w:rPr>
                <w:b/>
                <w:sz w:val="24"/>
              </w:rPr>
            </w:pPr>
            <w:r>
              <w:rPr>
                <w:rFonts w:hint="eastAsia"/>
                <w:b/>
                <w:sz w:val="24"/>
              </w:rPr>
              <w:t>1</w:t>
            </w:r>
            <w:r>
              <w:rPr>
                <w:b/>
                <w:sz w:val="24"/>
              </w:rPr>
              <w:t>、废气</w:t>
            </w:r>
            <w:r>
              <w:rPr>
                <w:rFonts w:hint="eastAsia"/>
                <w:b/>
                <w:sz w:val="24"/>
              </w:rPr>
              <w:t>排放标准</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ascii="宋体" w:hAnsi="宋体"/>
                <w:sz w:val="24"/>
              </w:rPr>
              <w:t>本项目注塑成型</w:t>
            </w:r>
            <w:r>
              <w:rPr>
                <w:rFonts w:hint="eastAsia" w:ascii="宋体" w:hAnsi="宋体"/>
                <w:sz w:val="24"/>
                <w:lang w:eastAsia="zh-CN"/>
              </w:rPr>
              <w:t>、</w:t>
            </w:r>
            <w:r>
              <w:rPr>
                <w:rFonts w:hAnsi="宋体"/>
                <w:sz w:val="24"/>
              </w:rPr>
              <w:t>涂敷、固化过程中产生的非甲烷总烃和颗粒物执行</w:t>
            </w:r>
            <w:r>
              <w:rPr>
                <w:sz w:val="24"/>
              </w:rPr>
              <w:t>《大气污染物综合排放标准》（DB32/4041-2021）中表1和表3标准；</w:t>
            </w:r>
            <w:r>
              <w:rPr>
                <w:rFonts w:hint="eastAsia"/>
                <w:sz w:val="24"/>
                <w:lang w:eastAsia="zh-CN"/>
              </w:rPr>
              <w:t>厂区内非甲烷总烃</w:t>
            </w:r>
            <w:r>
              <w:rPr>
                <w:sz w:val="24"/>
              </w:rPr>
              <w:t>执行《大气污染物综合排放标准》（DB32/4041-2021）中表2标准；</w:t>
            </w:r>
            <w:r>
              <w:rPr>
                <w:rFonts w:hAnsi="宋体"/>
                <w:sz w:val="24"/>
              </w:rPr>
              <w:t>食堂产生的油烟</w:t>
            </w:r>
            <w:r>
              <w:rPr>
                <w:rFonts w:hAnsi="宋体"/>
                <w:sz w:val="24"/>
                <w:lang w:val="zh-CN"/>
              </w:rPr>
              <w:t>废气执行《饮食业油烟排放标准（试行）》（</w:t>
            </w:r>
            <w:r>
              <w:rPr>
                <w:sz w:val="24"/>
                <w:lang w:val="zh-CN"/>
              </w:rPr>
              <w:t>GB18483-2001</w:t>
            </w:r>
            <w:r>
              <w:rPr>
                <w:rFonts w:hAnsi="宋体"/>
                <w:sz w:val="24"/>
                <w:lang w:val="zh-CN"/>
              </w:rPr>
              <w:t>）中</w:t>
            </w:r>
            <w:r>
              <w:rPr>
                <w:rFonts w:hAnsi="宋体"/>
                <w:sz w:val="24"/>
              </w:rPr>
              <w:t>小</w:t>
            </w:r>
            <w:r>
              <w:rPr>
                <w:rFonts w:hAnsi="宋体"/>
                <w:sz w:val="24"/>
                <w:lang w:val="zh-CN"/>
              </w:rPr>
              <w:t>型规模的标准</w:t>
            </w:r>
            <w:r>
              <w:rPr>
                <w:sz w:val="24"/>
              </w:rPr>
              <w:t>。</w:t>
            </w:r>
            <w:r>
              <w:rPr>
                <w:rFonts w:hAnsi="宋体"/>
                <w:sz w:val="24"/>
              </w:rPr>
              <w:t>具体标准见下表。</w:t>
            </w:r>
          </w:p>
          <w:p>
            <w:pPr>
              <w:keepNext w:val="0"/>
              <w:keepLines w:val="0"/>
              <w:suppressLineNumbers w:val="0"/>
              <w:adjustRightInd w:val="0"/>
              <w:spacing w:before="0" w:beforeAutospacing="0" w:after="0" w:afterAutospacing="0"/>
              <w:ind w:left="0" w:right="0"/>
              <w:jc w:val="center"/>
              <w:rPr>
                <w:b/>
                <w:bCs/>
                <w:sz w:val="24"/>
              </w:rPr>
            </w:pPr>
            <w:r>
              <w:rPr>
                <w:rFonts w:ascii="宋体" w:hAnsi="宋体"/>
                <w:b/>
                <w:bCs/>
                <w:sz w:val="24"/>
              </w:rPr>
              <w:t>表</w:t>
            </w:r>
            <w:r>
              <w:rPr>
                <w:rFonts w:hint="eastAsia"/>
                <w:b/>
                <w:bCs/>
                <w:sz w:val="24"/>
              </w:rPr>
              <w:t>3-7</w:t>
            </w:r>
            <w:r>
              <w:rPr>
                <w:b/>
                <w:bCs/>
                <w:sz w:val="24"/>
              </w:rPr>
              <w:t xml:space="preserve"> </w:t>
            </w:r>
            <w:r>
              <w:rPr>
                <w:rFonts w:hint="eastAsia" w:ascii="宋体" w:hAnsi="宋体"/>
                <w:b/>
                <w:bCs/>
                <w:sz w:val="24"/>
              </w:rPr>
              <w:t>废气排放</w:t>
            </w:r>
            <w:r>
              <w:rPr>
                <w:rFonts w:ascii="宋体" w:hAnsi="宋体"/>
                <w:b/>
                <w:bCs/>
                <w:sz w:val="24"/>
              </w:rPr>
              <w:t>标准</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571"/>
              <w:gridCol w:w="1614"/>
              <w:gridCol w:w="1614"/>
              <w:gridCol w:w="2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9"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b/>
                    </w:rPr>
                  </w:pPr>
                  <w:r>
                    <w:rPr>
                      <w:rFonts w:ascii="Times New Roman" w:hAnsi="Times New Roman"/>
                      <w:b/>
                      <w:bCs w:val="0"/>
                    </w:rPr>
                    <w:t>污染物名称</w:t>
                  </w:r>
                </w:p>
              </w:tc>
              <w:tc>
                <w:tcPr>
                  <w:tcW w:w="985"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b/>
                    </w:rPr>
                  </w:pPr>
                  <w:r>
                    <w:rPr>
                      <w:rFonts w:hint="eastAsia" w:ascii="Times New Roman" w:hAnsi="Times New Roman"/>
                      <w:b/>
                      <w:bCs w:val="0"/>
                    </w:rPr>
                    <w:t>最高允许排放浓度</w:t>
                  </w:r>
                  <w:r>
                    <w:rPr>
                      <w:rFonts w:ascii="Times New Roman" w:hAnsi="Times New Roman"/>
                      <w:b/>
                      <w:bCs w:val="0"/>
                    </w:rPr>
                    <w:t>（单位：mg/m</w:t>
                  </w:r>
                  <w:r>
                    <w:rPr>
                      <w:rFonts w:ascii="Times New Roman" w:hAnsi="Times New Roman"/>
                      <w:b/>
                      <w:bCs w:val="0"/>
                      <w:vertAlign w:val="superscript"/>
                    </w:rPr>
                    <w:t>3</w:t>
                  </w:r>
                  <w:r>
                    <w:rPr>
                      <w:rFonts w:ascii="Times New Roman" w:hAnsi="Times New Roman"/>
                      <w:b/>
                      <w:bCs w:val="0"/>
                    </w:rPr>
                    <w:t>）</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b/>
                    </w:rPr>
                  </w:pPr>
                  <w:r>
                    <w:rPr>
                      <w:rFonts w:hint="eastAsia" w:ascii="Times New Roman" w:hAnsi="Times New Roman"/>
                      <w:b/>
                      <w:bCs w:val="0"/>
                    </w:rPr>
                    <w:t>最高允许排放速率</w:t>
                  </w:r>
                  <w:r>
                    <w:rPr>
                      <w:rFonts w:ascii="Times New Roman" w:hAnsi="Times New Roman"/>
                      <w:b/>
                      <w:bCs w:val="0"/>
                    </w:rPr>
                    <w:t>（单位：</w:t>
                  </w:r>
                  <w:r>
                    <w:rPr>
                      <w:rFonts w:hint="eastAsia" w:ascii="Times New Roman" w:hAnsi="Times New Roman"/>
                      <w:b/>
                      <w:bCs w:val="0"/>
                    </w:rPr>
                    <w:t>kg/h</w:t>
                  </w:r>
                  <w:r>
                    <w:rPr>
                      <w:rFonts w:ascii="Times New Roman" w:hAnsi="Times New Roman"/>
                      <w:b/>
                      <w:bCs w:val="0"/>
                    </w:rPr>
                    <w:t>）</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b/>
                    </w:rPr>
                  </w:pPr>
                  <w:r>
                    <w:rPr>
                      <w:b/>
                    </w:rPr>
                    <w:t>单位边界大气污染物排放监控浓度限值</w:t>
                  </w:r>
                  <w:r>
                    <w:rPr>
                      <w:rFonts w:ascii="Times New Roman" w:hAnsi="Times New Roman"/>
                      <w:b/>
                      <w:bCs w:val="0"/>
                    </w:rPr>
                    <w:t>（单位：mg/m</w:t>
                  </w:r>
                  <w:r>
                    <w:rPr>
                      <w:rFonts w:ascii="Times New Roman" w:hAnsi="Times New Roman"/>
                      <w:b/>
                      <w:bCs w:val="0"/>
                      <w:vertAlign w:val="superscript"/>
                    </w:rPr>
                    <w:t>3</w:t>
                  </w:r>
                  <w:r>
                    <w:rPr>
                      <w:rFonts w:ascii="Times New Roman" w:hAnsi="Times New Roman"/>
                      <w:b/>
                      <w:bCs w:val="0"/>
                    </w:rPr>
                    <w:t>）</w:t>
                  </w:r>
                </w:p>
              </w:tc>
              <w:tc>
                <w:tcPr>
                  <w:tcW w:w="1321"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b/>
                    </w:rPr>
                  </w:pPr>
                  <w:r>
                    <w:rPr>
                      <w:rFonts w:ascii="Times New Roman" w:hAnsi="Times New Roman"/>
                      <w:b/>
                      <w:bCs w:val="0"/>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9"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ascii="Times New Roman" w:hAnsi="Times New Roman"/>
                    </w:rPr>
                    <w:t>非甲烷总烃</w:t>
                  </w:r>
                </w:p>
              </w:tc>
              <w:tc>
                <w:tcPr>
                  <w:tcW w:w="985"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60</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3.0</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4.0</w:t>
                  </w:r>
                </w:p>
              </w:tc>
              <w:tc>
                <w:tcPr>
                  <w:tcW w:w="1321" w:type="pct"/>
                  <w:vMerge w:val="restar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《大气污染物综合排放标准》（DB32/4041-2021）表1及表3标准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69"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颗粒物</w:t>
                  </w:r>
                </w:p>
              </w:tc>
              <w:tc>
                <w:tcPr>
                  <w:tcW w:w="985"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20</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1.0</w:t>
                  </w:r>
                </w:p>
              </w:tc>
              <w:tc>
                <w:tcPr>
                  <w:tcW w:w="1012" w:type="pct"/>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r>
                    <w:rPr>
                      <w:rFonts w:hint="eastAsia" w:ascii="Times New Roman" w:hAnsi="Times New Roman"/>
                    </w:rPr>
                    <w:t>0.5</w:t>
                  </w:r>
                </w:p>
              </w:tc>
              <w:tc>
                <w:tcPr>
                  <w:tcW w:w="1321" w:type="pct"/>
                  <w:vMerge w:val="continue"/>
                  <w:vAlign w:val="center"/>
                </w:tcPr>
                <w:p>
                  <w:pPr>
                    <w:pStyle w:val="49"/>
                    <w:keepNext w:val="0"/>
                    <w:keepLines w:val="0"/>
                    <w:suppressLineNumbers w:val="0"/>
                    <w:adjustRightInd w:val="0"/>
                    <w:snapToGrid w:val="0"/>
                    <w:spacing w:before="0" w:beforeAutospacing="0" w:after="0" w:afterAutospacing="0"/>
                    <w:ind w:left="0" w:right="0"/>
                    <w:rPr>
                      <w:rFonts w:ascii="Times New Roman" w:hAnsi="Times New Roman"/>
                    </w:rPr>
                  </w:pPr>
                </w:p>
              </w:tc>
            </w:tr>
          </w:tbl>
          <w:p>
            <w:pPr>
              <w:keepNext w:val="0"/>
              <w:keepLines w:val="0"/>
              <w:suppressLineNumbers w:val="0"/>
              <w:adjustRightInd w:val="0"/>
              <w:snapToGrid w:val="0"/>
              <w:spacing w:before="0" w:beforeAutospacing="0" w:after="0" w:afterAutospacing="0"/>
              <w:ind w:left="0" w:right="0"/>
              <w:jc w:val="center"/>
              <w:rPr>
                <w:sz w:val="24"/>
              </w:rPr>
            </w:pPr>
            <w:r>
              <w:rPr>
                <w:rFonts w:ascii="宋体" w:hAnsi="宋体"/>
                <w:b/>
                <w:bCs/>
                <w:sz w:val="24"/>
              </w:rPr>
              <w:t>表</w:t>
            </w:r>
            <w:r>
              <w:rPr>
                <w:rFonts w:hint="eastAsia"/>
                <w:b/>
                <w:bCs/>
                <w:sz w:val="24"/>
              </w:rPr>
              <w:t>3</w:t>
            </w:r>
            <w:r>
              <w:rPr>
                <w:b/>
                <w:bCs/>
                <w:sz w:val="24"/>
              </w:rPr>
              <w:t>-</w:t>
            </w:r>
            <w:r>
              <w:rPr>
                <w:rFonts w:hint="eastAsia"/>
                <w:b/>
                <w:bCs/>
                <w:sz w:val="24"/>
              </w:rPr>
              <w:t>8</w:t>
            </w:r>
            <w:r>
              <w:rPr>
                <w:b/>
                <w:bCs/>
                <w:sz w:val="24"/>
              </w:rPr>
              <w:t xml:space="preserve"> </w:t>
            </w:r>
            <w:r>
              <w:rPr>
                <w:rFonts w:ascii="宋体" w:hAnsi="宋体"/>
                <w:b/>
                <w:bCs/>
                <w:sz w:val="24"/>
              </w:rPr>
              <w:t>厂区内非甲烷总</w:t>
            </w:r>
            <w:r>
              <w:rPr>
                <w:rFonts w:hint="eastAsia" w:ascii="宋体" w:hAnsi="宋体"/>
                <w:b/>
                <w:bCs/>
                <w:sz w:val="24"/>
              </w:rPr>
              <w:t>烃无组织排放限</w:t>
            </w:r>
            <w:r>
              <w:rPr>
                <w:rFonts w:ascii="宋体" w:hAnsi="宋体"/>
                <w:b/>
                <w:bCs/>
                <w:sz w:val="24"/>
              </w:rPr>
              <w:t>值</w:t>
            </w:r>
          </w:p>
          <w:tbl>
            <w:tblPr>
              <w:tblStyle w:val="2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688"/>
              <w:gridCol w:w="1339"/>
              <w:gridCol w:w="1333"/>
              <w:gridCol w:w="25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9"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ascii="Times New Roman" w:hAnsi="Times New Roman"/>
                      <w:b/>
                      <w:bCs w:val="0"/>
                      <w:szCs w:val="21"/>
                    </w:rPr>
                    <w:t>污染物名称</w:t>
                  </w:r>
                </w:p>
              </w:tc>
              <w:tc>
                <w:tcPr>
                  <w:tcW w:w="1059"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hint="eastAsia" w:ascii="Times New Roman" w:hAnsi="Times New Roman"/>
                      <w:b/>
                      <w:bCs w:val="0"/>
                      <w:szCs w:val="21"/>
                    </w:rPr>
                    <w:t>限值含义</w:t>
                  </w:r>
                </w:p>
              </w:tc>
              <w:tc>
                <w:tcPr>
                  <w:tcW w:w="1676" w:type="pct"/>
                  <w:gridSpan w:val="2"/>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hint="eastAsia" w:ascii="Times New Roman" w:hAnsi="Times New Roman"/>
                      <w:b/>
                      <w:bCs w:val="0"/>
                      <w:szCs w:val="21"/>
                    </w:rPr>
                    <w:t>特别排放限值（mg/m</w:t>
                  </w:r>
                  <w:r>
                    <w:rPr>
                      <w:rFonts w:hint="eastAsia" w:ascii="Times New Roman" w:hAnsi="Times New Roman"/>
                      <w:b/>
                      <w:bCs w:val="0"/>
                      <w:szCs w:val="21"/>
                      <w:vertAlign w:val="superscript"/>
                    </w:rPr>
                    <w:t>3</w:t>
                  </w:r>
                  <w:r>
                    <w:rPr>
                      <w:rFonts w:hint="eastAsia" w:ascii="Times New Roman" w:hAnsi="Times New Roman"/>
                      <w:b/>
                      <w:bCs w:val="0"/>
                      <w:szCs w:val="21"/>
                    </w:rPr>
                    <w:t>）</w:t>
                  </w:r>
                </w:p>
              </w:tc>
              <w:tc>
                <w:tcPr>
                  <w:tcW w:w="1626"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hint="eastAsia" w:ascii="Times New Roman" w:hAnsi="Times New Roman"/>
                      <w:b/>
                      <w:bCs w:val="0"/>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9" w:type="pct"/>
                  <w:vMerge w:val="restart"/>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hint="eastAsia" w:ascii="Times New Roman" w:hAnsi="Times New Roman"/>
                      <w:szCs w:val="21"/>
                    </w:rPr>
                    <w:t>NMHC</w:t>
                  </w:r>
                </w:p>
              </w:tc>
              <w:tc>
                <w:tcPr>
                  <w:tcW w:w="1059"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r>
                    <w:rPr>
                      <w:rFonts w:hint="eastAsia" w:ascii="Times New Roman" w:hAnsi="Times New Roman"/>
                      <w:szCs w:val="21"/>
                    </w:rPr>
                    <w:t>监控点处1h平均浓度值</w:t>
                  </w:r>
                </w:p>
              </w:tc>
              <w:tc>
                <w:tcPr>
                  <w:tcW w:w="840" w:type="pct"/>
                  <w:vMerge w:val="restart"/>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r>
                    <w:rPr>
                      <w:rFonts w:hint="eastAsia" w:ascii="Times New Roman" w:hAnsi="Times New Roman"/>
                      <w:szCs w:val="21"/>
                    </w:rPr>
                    <w:t>在厂房外设置监控点</w:t>
                  </w:r>
                </w:p>
              </w:tc>
              <w:tc>
                <w:tcPr>
                  <w:tcW w:w="836"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r>
                    <w:rPr>
                      <w:rFonts w:hint="eastAsia" w:ascii="Times New Roman" w:hAnsi="Times New Roman"/>
                      <w:szCs w:val="21"/>
                    </w:rPr>
                    <w:t>6</w:t>
                  </w:r>
                </w:p>
              </w:tc>
              <w:tc>
                <w:tcPr>
                  <w:tcW w:w="1626" w:type="pct"/>
                  <w:vMerge w:val="restart"/>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rPr>
                  </w:pPr>
                  <w:r>
                    <w:rPr>
                      <w:rFonts w:hint="eastAsia" w:ascii="Times New Roman" w:hAnsi="Times New Roman"/>
                    </w:rPr>
                    <w:t>《大气污染物综合排放标准》（DB32/4041-2021）表2标准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39" w:type="pct"/>
                  <w:vMerge w:val="continue"/>
                  <w:vAlign w:val="center"/>
                </w:tcPr>
                <w:p>
                  <w:pPr>
                    <w:pStyle w:val="49"/>
                    <w:keepNext w:val="0"/>
                    <w:keepLines w:val="0"/>
                    <w:suppressLineNumbers w:val="0"/>
                    <w:spacing w:before="0" w:beforeAutospacing="0" w:after="0" w:afterAutospacing="0" w:line="240" w:lineRule="auto"/>
                    <w:ind w:left="0" w:right="0"/>
                    <w:rPr>
                      <w:rFonts w:hint="eastAsia" w:ascii="Times New Roman" w:hAnsi="Times New Roman" w:eastAsia="宋体"/>
                      <w:szCs w:val="21"/>
                      <w:highlight w:val="yellow"/>
                      <w:lang w:eastAsia="zh-CN"/>
                    </w:rPr>
                  </w:pPr>
                </w:p>
              </w:tc>
              <w:tc>
                <w:tcPr>
                  <w:tcW w:w="1059"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r>
                    <w:rPr>
                      <w:rFonts w:hint="eastAsia" w:ascii="Times New Roman" w:hAnsi="Times New Roman"/>
                      <w:szCs w:val="21"/>
                    </w:rPr>
                    <w:t>监控点处任意一次浓度值</w:t>
                  </w:r>
                </w:p>
              </w:tc>
              <w:tc>
                <w:tcPr>
                  <w:tcW w:w="840" w:type="pct"/>
                  <w:vMerge w:val="continue"/>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p>
              </w:tc>
              <w:tc>
                <w:tcPr>
                  <w:tcW w:w="836" w:type="pct"/>
                  <w:vAlign w:val="center"/>
                </w:tcPr>
                <w:p>
                  <w:pPr>
                    <w:pStyle w:val="49"/>
                    <w:keepNext w:val="0"/>
                    <w:keepLines w:val="0"/>
                    <w:suppressLineNumbers w:val="0"/>
                    <w:spacing w:before="0" w:beforeAutospacing="0" w:after="0" w:afterAutospacing="0" w:line="240" w:lineRule="auto"/>
                    <w:ind w:left="0" w:right="0"/>
                    <w:rPr>
                      <w:rFonts w:ascii="Times New Roman" w:hAnsi="Times New Roman"/>
                      <w:bCs w:val="0"/>
                      <w:szCs w:val="21"/>
                    </w:rPr>
                  </w:pPr>
                  <w:r>
                    <w:rPr>
                      <w:rFonts w:hint="eastAsia" w:ascii="Times New Roman" w:hAnsi="Times New Roman"/>
                      <w:szCs w:val="21"/>
                    </w:rPr>
                    <w:t>20</w:t>
                  </w:r>
                </w:p>
              </w:tc>
              <w:tc>
                <w:tcPr>
                  <w:tcW w:w="1626" w:type="pct"/>
                  <w:vMerge w:val="continue"/>
                  <w:vAlign w:val="center"/>
                </w:tcPr>
                <w:p>
                  <w:pPr>
                    <w:pStyle w:val="49"/>
                    <w:keepNext w:val="0"/>
                    <w:keepLines w:val="0"/>
                    <w:suppressLineNumbers w:val="0"/>
                    <w:spacing w:before="0" w:beforeAutospacing="0" w:after="0" w:afterAutospacing="0" w:line="240" w:lineRule="auto"/>
                    <w:ind w:left="0" w:right="0"/>
                    <w:rPr>
                      <w:rFonts w:ascii="Times New Roman" w:hAnsi="Times New Roman"/>
                      <w:szCs w:val="21"/>
                      <w:highlight w:val="yellow"/>
                    </w:rPr>
                  </w:pPr>
                </w:p>
              </w:tc>
            </w:tr>
          </w:tbl>
          <w:p>
            <w:pPr>
              <w:keepNext w:val="0"/>
              <w:keepLines w:val="0"/>
              <w:suppressLineNumbers w:val="0"/>
              <w:wordWrap w:val="0"/>
              <w:adjustRightInd w:val="0"/>
              <w:spacing w:before="0" w:beforeAutospacing="0" w:after="0" w:afterAutospacing="0"/>
              <w:ind w:left="0" w:right="0"/>
              <w:jc w:val="center"/>
              <w:rPr>
                <w:b/>
                <w:bCs/>
                <w:sz w:val="24"/>
              </w:rPr>
            </w:pPr>
            <w:r>
              <w:rPr>
                <w:rFonts w:hAnsi="宋体"/>
                <w:b/>
                <w:bCs/>
                <w:sz w:val="24"/>
              </w:rPr>
              <w:t>表</w:t>
            </w:r>
            <w:r>
              <w:rPr>
                <w:b/>
                <w:bCs/>
                <w:sz w:val="24"/>
              </w:rPr>
              <w:t xml:space="preserve">3-9 </w:t>
            </w:r>
            <w:r>
              <w:rPr>
                <w:rFonts w:hAnsi="宋体"/>
                <w:b/>
                <w:bCs/>
                <w:sz w:val="24"/>
              </w:rPr>
              <w:t>《饮食业油烟排放标准》（</w:t>
            </w:r>
            <w:r>
              <w:rPr>
                <w:b/>
                <w:bCs/>
                <w:sz w:val="24"/>
              </w:rPr>
              <w:t>GB18483—2001</w:t>
            </w:r>
            <w:r>
              <w:rPr>
                <w:rFonts w:hAnsi="宋体"/>
                <w:b/>
                <w:bCs/>
                <w:sz w:val="24"/>
              </w:rPr>
              <w:t>）</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1741"/>
              <w:gridCol w:w="1530"/>
              <w:gridCol w:w="13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b/>
                      <w:bCs/>
                      <w:szCs w:val="21"/>
                    </w:rPr>
                  </w:pPr>
                  <w:r>
                    <w:rPr>
                      <w:rFonts w:hAnsi="宋体"/>
                      <w:b/>
                      <w:bCs/>
                      <w:szCs w:val="21"/>
                    </w:rPr>
                    <w:t>规模</w:t>
                  </w:r>
                </w:p>
              </w:tc>
              <w:tc>
                <w:tcPr>
                  <w:tcW w:w="1741" w:type="dxa"/>
                  <w:shd w:val="clear" w:color="auto" w:fill="D7D7D7"/>
                  <w:vAlign w:val="center"/>
                </w:tcPr>
                <w:p>
                  <w:pPr>
                    <w:keepNext w:val="0"/>
                    <w:keepLines w:val="0"/>
                    <w:suppressLineNumbers w:val="0"/>
                    <w:spacing w:before="0" w:beforeAutospacing="0" w:after="0" w:afterAutospacing="0"/>
                    <w:ind w:left="0" w:right="0"/>
                    <w:jc w:val="center"/>
                    <w:rPr>
                      <w:b/>
                      <w:bCs/>
                      <w:szCs w:val="21"/>
                    </w:rPr>
                  </w:pPr>
                  <w:r>
                    <w:rPr>
                      <w:rFonts w:hAnsi="宋体"/>
                      <w:b/>
                      <w:bCs/>
                      <w:szCs w:val="21"/>
                    </w:rPr>
                    <w:t>小型</w:t>
                  </w:r>
                </w:p>
              </w:tc>
              <w:tc>
                <w:tcPr>
                  <w:tcW w:w="1530" w:type="dxa"/>
                  <w:shd w:val="clear" w:color="auto" w:fill="auto"/>
                  <w:vAlign w:val="center"/>
                </w:tcPr>
                <w:p>
                  <w:pPr>
                    <w:keepNext w:val="0"/>
                    <w:keepLines w:val="0"/>
                    <w:suppressLineNumbers w:val="0"/>
                    <w:spacing w:before="0" w:beforeAutospacing="0" w:after="0" w:afterAutospacing="0"/>
                    <w:ind w:left="0" w:right="0"/>
                    <w:jc w:val="center"/>
                    <w:rPr>
                      <w:b/>
                      <w:bCs/>
                      <w:szCs w:val="21"/>
                    </w:rPr>
                  </w:pPr>
                  <w:r>
                    <w:rPr>
                      <w:rFonts w:hAnsi="宋体"/>
                      <w:b/>
                      <w:bCs/>
                      <w:szCs w:val="21"/>
                    </w:rPr>
                    <w:t>中型</w:t>
                  </w:r>
                </w:p>
              </w:tc>
              <w:tc>
                <w:tcPr>
                  <w:tcW w:w="1353" w:type="dxa"/>
                  <w:shd w:val="clear" w:color="auto" w:fill="FFFFFF"/>
                  <w:vAlign w:val="center"/>
                </w:tcPr>
                <w:p>
                  <w:pPr>
                    <w:keepNext w:val="0"/>
                    <w:keepLines w:val="0"/>
                    <w:suppressLineNumbers w:val="0"/>
                    <w:spacing w:before="0" w:beforeAutospacing="0" w:after="0" w:afterAutospacing="0"/>
                    <w:ind w:left="0" w:right="0"/>
                    <w:jc w:val="center"/>
                    <w:rPr>
                      <w:b/>
                      <w:bCs/>
                      <w:szCs w:val="21"/>
                    </w:rPr>
                  </w:pPr>
                  <w:r>
                    <w:rPr>
                      <w:rFonts w:hAnsi="宋体"/>
                      <w:b/>
                      <w:bCs/>
                      <w:szCs w:val="21"/>
                    </w:rPr>
                    <w:t>大型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szCs w:val="21"/>
                    </w:rPr>
                  </w:pPr>
                  <w:r>
                    <w:rPr>
                      <w:rFonts w:hAnsi="宋体"/>
                      <w:szCs w:val="21"/>
                    </w:rPr>
                    <w:t>基准灶头数</w:t>
                  </w:r>
                </w:p>
              </w:tc>
              <w:tc>
                <w:tcPr>
                  <w:tcW w:w="1741" w:type="dxa"/>
                  <w:shd w:val="clear" w:color="auto" w:fill="D7D7D7"/>
                  <w:vAlign w:val="center"/>
                </w:tcPr>
                <w:p>
                  <w:pPr>
                    <w:keepNext w:val="0"/>
                    <w:keepLines w:val="0"/>
                    <w:suppressLineNumbers w:val="0"/>
                    <w:spacing w:before="0" w:beforeAutospacing="0" w:after="0" w:afterAutospacing="0"/>
                    <w:ind w:left="0" w:right="0"/>
                    <w:jc w:val="center"/>
                    <w:rPr>
                      <w:szCs w:val="21"/>
                    </w:rPr>
                  </w:pPr>
                  <w:r>
                    <w:rPr>
                      <w:szCs w:val="21"/>
                    </w:rPr>
                    <w:t>≥1</w:t>
                  </w:r>
                  <w:r>
                    <w:rPr>
                      <w:rFonts w:hAnsi="宋体"/>
                      <w:szCs w:val="21"/>
                    </w:rPr>
                    <w:t>，＜</w:t>
                  </w:r>
                  <w:r>
                    <w:rPr>
                      <w:szCs w:val="21"/>
                    </w:rPr>
                    <w:t>3</w:t>
                  </w:r>
                </w:p>
              </w:tc>
              <w:tc>
                <w:tcPr>
                  <w:tcW w:w="1530" w:type="dxa"/>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≥3</w:t>
                  </w:r>
                  <w:r>
                    <w:rPr>
                      <w:rFonts w:hAnsi="宋体"/>
                      <w:szCs w:val="21"/>
                    </w:rPr>
                    <w:t>，＜</w:t>
                  </w:r>
                  <w:r>
                    <w:rPr>
                      <w:szCs w:val="21"/>
                    </w:rPr>
                    <w:t>6</w:t>
                  </w:r>
                </w:p>
              </w:tc>
              <w:tc>
                <w:tcPr>
                  <w:tcW w:w="1353" w:type="dxa"/>
                  <w:shd w:val="clear" w:color="auto" w:fill="FFFFFF"/>
                  <w:vAlign w:val="center"/>
                </w:tcPr>
                <w:p>
                  <w:pPr>
                    <w:keepNext w:val="0"/>
                    <w:keepLines w:val="0"/>
                    <w:suppressLineNumbers w:val="0"/>
                    <w:spacing w:before="0" w:beforeAutospacing="0" w:after="0" w:afterAutospacing="0"/>
                    <w:ind w:left="0" w:right="0"/>
                    <w:jc w:val="center"/>
                    <w:rPr>
                      <w:szCs w:val="21"/>
                    </w:rPr>
                  </w:pPr>
                  <w:r>
                    <w:rPr>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szCs w:val="21"/>
                    </w:rPr>
                  </w:pPr>
                  <w:r>
                    <w:rPr>
                      <w:rFonts w:hAnsi="宋体"/>
                      <w:szCs w:val="21"/>
                    </w:rPr>
                    <w:t>对应灶头总功率（</w:t>
                  </w:r>
                  <w:r>
                    <w:rPr>
                      <w:szCs w:val="21"/>
                    </w:rPr>
                    <w:t>108J/h</w:t>
                  </w:r>
                  <w:r>
                    <w:rPr>
                      <w:rFonts w:hAnsi="宋体"/>
                      <w:szCs w:val="21"/>
                    </w:rPr>
                    <w:t>）</w:t>
                  </w:r>
                </w:p>
              </w:tc>
              <w:tc>
                <w:tcPr>
                  <w:tcW w:w="1741" w:type="dxa"/>
                  <w:shd w:val="clear" w:color="auto" w:fill="D7D7D7"/>
                  <w:vAlign w:val="center"/>
                </w:tcPr>
                <w:p>
                  <w:pPr>
                    <w:keepNext w:val="0"/>
                    <w:keepLines w:val="0"/>
                    <w:suppressLineNumbers w:val="0"/>
                    <w:spacing w:before="0" w:beforeAutospacing="0" w:after="0" w:afterAutospacing="0"/>
                    <w:ind w:left="0" w:right="0"/>
                    <w:jc w:val="center"/>
                    <w:rPr>
                      <w:szCs w:val="21"/>
                    </w:rPr>
                  </w:pPr>
                  <w:r>
                    <w:rPr>
                      <w:szCs w:val="21"/>
                    </w:rPr>
                    <w:t>≥1.67</w:t>
                  </w:r>
                  <w:r>
                    <w:rPr>
                      <w:rFonts w:hAnsi="宋体"/>
                      <w:szCs w:val="21"/>
                    </w:rPr>
                    <w:t>，＜</w:t>
                  </w:r>
                  <w:r>
                    <w:rPr>
                      <w:szCs w:val="21"/>
                    </w:rPr>
                    <w:t>5.00</w:t>
                  </w:r>
                </w:p>
              </w:tc>
              <w:tc>
                <w:tcPr>
                  <w:tcW w:w="1530" w:type="dxa"/>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≥5.00</w:t>
                  </w:r>
                  <w:r>
                    <w:rPr>
                      <w:rFonts w:hAnsi="宋体"/>
                      <w:szCs w:val="21"/>
                    </w:rPr>
                    <w:t>，＜</w:t>
                  </w:r>
                  <w:r>
                    <w:rPr>
                      <w:szCs w:val="21"/>
                    </w:rPr>
                    <w:t>10</w:t>
                  </w:r>
                </w:p>
              </w:tc>
              <w:tc>
                <w:tcPr>
                  <w:tcW w:w="1353" w:type="dxa"/>
                  <w:shd w:val="clear" w:color="auto" w:fill="FFFFFF"/>
                  <w:vAlign w:val="center"/>
                </w:tcPr>
                <w:p>
                  <w:pPr>
                    <w:keepNext w:val="0"/>
                    <w:keepLines w:val="0"/>
                    <w:suppressLineNumbers w:val="0"/>
                    <w:spacing w:before="0" w:beforeAutospacing="0" w:after="0" w:afterAutospacing="0"/>
                    <w:ind w:left="0" w:right="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szCs w:val="21"/>
                    </w:rPr>
                  </w:pPr>
                  <w:r>
                    <w:rPr>
                      <w:rFonts w:hAnsi="宋体"/>
                      <w:szCs w:val="21"/>
                    </w:rPr>
                    <w:t>对应排气罩灶面总投影面积（</w:t>
                  </w:r>
                  <w:r>
                    <w:rPr>
                      <w:szCs w:val="21"/>
                    </w:rPr>
                    <w:t>m</w:t>
                  </w:r>
                  <w:r>
                    <w:rPr>
                      <w:szCs w:val="21"/>
                      <w:vertAlign w:val="superscript"/>
                    </w:rPr>
                    <w:t>2</w:t>
                  </w:r>
                  <w:r>
                    <w:rPr>
                      <w:rFonts w:hAnsi="宋体"/>
                      <w:szCs w:val="21"/>
                    </w:rPr>
                    <w:t>）</w:t>
                  </w:r>
                </w:p>
              </w:tc>
              <w:tc>
                <w:tcPr>
                  <w:tcW w:w="1741" w:type="dxa"/>
                  <w:shd w:val="clear" w:color="auto" w:fill="D7D7D7"/>
                  <w:vAlign w:val="center"/>
                </w:tcPr>
                <w:p>
                  <w:pPr>
                    <w:keepNext w:val="0"/>
                    <w:keepLines w:val="0"/>
                    <w:suppressLineNumbers w:val="0"/>
                    <w:spacing w:before="0" w:beforeAutospacing="0" w:after="0" w:afterAutospacing="0"/>
                    <w:ind w:left="0" w:right="0"/>
                    <w:jc w:val="center"/>
                    <w:rPr>
                      <w:szCs w:val="21"/>
                    </w:rPr>
                  </w:pPr>
                  <w:r>
                    <w:rPr>
                      <w:szCs w:val="21"/>
                    </w:rPr>
                    <w:t>≥1.1</w:t>
                  </w:r>
                  <w:r>
                    <w:rPr>
                      <w:rFonts w:hAnsi="宋体"/>
                      <w:szCs w:val="21"/>
                    </w:rPr>
                    <w:t>，＜</w:t>
                  </w:r>
                  <w:r>
                    <w:rPr>
                      <w:szCs w:val="21"/>
                    </w:rPr>
                    <w:t>3.3</w:t>
                  </w:r>
                </w:p>
              </w:tc>
              <w:tc>
                <w:tcPr>
                  <w:tcW w:w="1530" w:type="dxa"/>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≥3.3</w:t>
                  </w:r>
                  <w:r>
                    <w:rPr>
                      <w:rFonts w:hAnsi="宋体"/>
                      <w:szCs w:val="21"/>
                    </w:rPr>
                    <w:t>，＜</w:t>
                  </w:r>
                  <w:r>
                    <w:rPr>
                      <w:szCs w:val="21"/>
                    </w:rPr>
                    <w:t>6.6</w:t>
                  </w:r>
                </w:p>
              </w:tc>
              <w:tc>
                <w:tcPr>
                  <w:tcW w:w="1353" w:type="dxa"/>
                  <w:shd w:val="clear" w:color="auto" w:fill="FFFFFF"/>
                  <w:vAlign w:val="center"/>
                </w:tcPr>
                <w:p>
                  <w:pPr>
                    <w:keepNext w:val="0"/>
                    <w:keepLines w:val="0"/>
                    <w:suppressLineNumbers w:val="0"/>
                    <w:spacing w:before="0" w:beforeAutospacing="0" w:after="0" w:afterAutospacing="0"/>
                    <w:ind w:left="0" w:right="0"/>
                    <w:jc w:val="center"/>
                    <w:rPr>
                      <w:szCs w:val="21"/>
                    </w:rPr>
                  </w:pPr>
                  <w:r>
                    <w:rPr>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szCs w:val="21"/>
                    </w:rPr>
                  </w:pPr>
                  <w:r>
                    <w:rPr>
                      <w:rFonts w:hAnsi="宋体"/>
                      <w:szCs w:val="21"/>
                    </w:rPr>
                    <w:t>最高允许排放浓度（</w:t>
                  </w:r>
                  <w:r>
                    <w:rPr>
                      <w:szCs w:val="21"/>
                    </w:rPr>
                    <w:t>mg/m</w:t>
                  </w:r>
                  <w:r>
                    <w:rPr>
                      <w:szCs w:val="21"/>
                      <w:vertAlign w:val="superscript"/>
                    </w:rPr>
                    <w:t>3</w:t>
                  </w:r>
                  <w:r>
                    <w:rPr>
                      <w:rFonts w:hAnsi="宋体"/>
                      <w:szCs w:val="21"/>
                    </w:rPr>
                    <w:t>）</w:t>
                  </w:r>
                </w:p>
              </w:tc>
              <w:tc>
                <w:tcPr>
                  <w:tcW w:w="4624" w:type="dxa"/>
                  <w:gridSpan w:val="3"/>
                  <w:shd w:val="clear" w:color="auto" w:fill="D7D7D7"/>
                  <w:vAlign w:val="center"/>
                </w:tcPr>
                <w:p>
                  <w:pPr>
                    <w:keepNext w:val="0"/>
                    <w:keepLines w:val="0"/>
                    <w:suppressLineNumbers w:val="0"/>
                    <w:spacing w:before="0" w:beforeAutospacing="0" w:after="0" w:afterAutospacing="0"/>
                    <w:ind w:left="0" w:right="0"/>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keepNext w:val="0"/>
                    <w:keepLines w:val="0"/>
                    <w:suppressLineNumbers w:val="0"/>
                    <w:spacing w:before="0" w:beforeAutospacing="0" w:after="0" w:afterAutospacing="0"/>
                    <w:ind w:left="0" w:right="0"/>
                    <w:jc w:val="center"/>
                    <w:rPr>
                      <w:szCs w:val="21"/>
                    </w:rPr>
                  </w:pPr>
                  <w:r>
                    <w:rPr>
                      <w:rFonts w:hAnsi="宋体"/>
                      <w:szCs w:val="21"/>
                    </w:rPr>
                    <w:t>净化设施最低去除率（</w:t>
                  </w:r>
                  <w:r>
                    <w:rPr>
                      <w:szCs w:val="21"/>
                    </w:rPr>
                    <w:t>%</w:t>
                  </w:r>
                  <w:r>
                    <w:rPr>
                      <w:rFonts w:hAnsi="宋体"/>
                      <w:szCs w:val="21"/>
                    </w:rPr>
                    <w:t>）</w:t>
                  </w:r>
                </w:p>
              </w:tc>
              <w:tc>
                <w:tcPr>
                  <w:tcW w:w="1741" w:type="dxa"/>
                  <w:shd w:val="clear" w:color="auto" w:fill="D7D7D7"/>
                  <w:vAlign w:val="center"/>
                </w:tcPr>
                <w:p>
                  <w:pPr>
                    <w:keepNext w:val="0"/>
                    <w:keepLines w:val="0"/>
                    <w:suppressLineNumbers w:val="0"/>
                    <w:spacing w:before="0" w:beforeAutospacing="0" w:after="0" w:afterAutospacing="0"/>
                    <w:ind w:left="0" w:right="0"/>
                    <w:jc w:val="center"/>
                    <w:rPr>
                      <w:szCs w:val="21"/>
                    </w:rPr>
                  </w:pPr>
                  <w:r>
                    <w:rPr>
                      <w:szCs w:val="21"/>
                    </w:rPr>
                    <w:t>60</w:t>
                  </w:r>
                </w:p>
              </w:tc>
              <w:tc>
                <w:tcPr>
                  <w:tcW w:w="1530" w:type="dxa"/>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75</w:t>
                  </w:r>
                </w:p>
              </w:tc>
              <w:tc>
                <w:tcPr>
                  <w:tcW w:w="1353" w:type="dxa"/>
                  <w:shd w:val="clear" w:color="auto" w:fill="FFFFFF"/>
                  <w:vAlign w:val="center"/>
                </w:tcPr>
                <w:p>
                  <w:pPr>
                    <w:keepNext w:val="0"/>
                    <w:keepLines w:val="0"/>
                    <w:suppressLineNumbers w:val="0"/>
                    <w:spacing w:before="0" w:beforeAutospacing="0" w:after="0" w:afterAutospacing="0"/>
                    <w:ind w:left="0" w:right="0"/>
                    <w:jc w:val="center"/>
                    <w:rPr>
                      <w:szCs w:val="21"/>
                    </w:rPr>
                  </w:pPr>
                  <w:r>
                    <w:rPr>
                      <w:szCs w:val="21"/>
                    </w:rPr>
                    <w:t>85</w:t>
                  </w:r>
                </w:p>
              </w:tc>
            </w:tr>
          </w:tbl>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2、</w:t>
            </w:r>
            <w:r>
              <w:rPr>
                <w:b/>
                <w:sz w:val="24"/>
              </w:rPr>
              <w:t>废水</w:t>
            </w:r>
            <w:r>
              <w:rPr>
                <w:rFonts w:hint="eastAsia"/>
                <w:b/>
                <w:sz w:val="24"/>
              </w:rPr>
              <w:t>排放标准</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项目</w:t>
            </w:r>
            <w:r>
              <w:rPr>
                <w:rFonts w:hint="eastAsia"/>
                <w:bCs/>
                <w:sz w:val="24"/>
              </w:rPr>
              <w:t>食堂废水经隔油池处理后与</w:t>
            </w:r>
            <w:r>
              <w:rPr>
                <w:bCs/>
                <w:sz w:val="24"/>
              </w:rPr>
              <w:t>生活污水接入污水管网</w:t>
            </w:r>
            <w:r>
              <w:rPr>
                <w:sz w:val="24"/>
              </w:rPr>
              <w:t>，排入</w:t>
            </w:r>
            <w:r>
              <w:rPr>
                <w:rFonts w:hint="eastAsia"/>
                <w:sz w:val="24"/>
              </w:rPr>
              <w:t>武南</w:t>
            </w:r>
            <w:r>
              <w:rPr>
                <w:sz w:val="24"/>
              </w:rPr>
              <w:t>污水处理厂集中处理，尾水排入</w:t>
            </w:r>
            <w:r>
              <w:rPr>
                <w:rFonts w:hint="eastAsia"/>
                <w:sz w:val="24"/>
              </w:rPr>
              <w:t>武南</w:t>
            </w:r>
            <w:r>
              <w:rPr>
                <w:sz w:val="24"/>
              </w:rPr>
              <w:t>河。</w:t>
            </w:r>
            <w:r>
              <w:rPr>
                <w:rFonts w:hint="eastAsia"/>
                <w:sz w:val="24"/>
              </w:rPr>
              <w:t>武南</w:t>
            </w:r>
            <w:r>
              <w:rPr>
                <w:sz w:val="24"/>
              </w:rPr>
              <w:t>污水处理厂接管标准执行《污水排入城镇下水道水质标准》（GB/T31962-2015）表1中B级标准，污水处理厂尾水排放执行《太湖地区城镇污水处理厂及重点工业行业主要水污染物排放限值》（DB32/1072-20</w:t>
            </w:r>
            <w:r>
              <w:rPr>
                <w:rFonts w:hint="eastAsia"/>
                <w:sz w:val="24"/>
              </w:rPr>
              <w:t>18</w:t>
            </w:r>
            <w:r>
              <w:rPr>
                <w:sz w:val="24"/>
              </w:rPr>
              <w:t>）表2中城镇污水处理厂标准</w:t>
            </w:r>
            <w:r>
              <w:rPr>
                <w:rFonts w:hint="eastAsia"/>
                <w:sz w:val="24"/>
              </w:rPr>
              <w:t>，</w:t>
            </w:r>
            <w:r>
              <w:rPr>
                <w:bCs/>
                <w:sz w:val="24"/>
              </w:rPr>
              <w:t>上述未作规定的项目执行《城镇污水处理厂污染物排放标准》GB18918-2002）中表1一级A标准</w:t>
            </w:r>
            <w:r>
              <w:rPr>
                <w:sz w:val="24"/>
              </w:rPr>
              <w:t>，标准值如下：</w:t>
            </w:r>
          </w:p>
          <w:p>
            <w:pPr>
              <w:keepNext w:val="0"/>
              <w:keepLines w:val="0"/>
              <w:suppressLineNumbers w:val="0"/>
              <w:spacing w:before="0" w:beforeAutospacing="0" w:after="0" w:afterAutospacing="0"/>
              <w:ind w:left="0" w:right="0"/>
              <w:jc w:val="center"/>
              <w:rPr>
                <w:b/>
                <w:sz w:val="24"/>
              </w:rPr>
            </w:pPr>
            <w:r>
              <w:rPr>
                <w:b/>
                <w:sz w:val="24"/>
              </w:rPr>
              <w:t>表</w:t>
            </w:r>
            <w:r>
              <w:rPr>
                <w:rFonts w:hint="eastAsia"/>
                <w:b/>
                <w:sz w:val="24"/>
              </w:rPr>
              <w:t xml:space="preserve">3-10 </w:t>
            </w:r>
            <w:r>
              <w:rPr>
                <w:b/>
                <w:sz w:val="24"/>
              </w:rPr>
              <w:t>水污染物排放标准</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891"/>
              <w:gridCol w:w="1000"/>
              <w:gridCol w:w="1076"/>
              <w:gridCol w:w="722"/>
              <w:gridCol w:w="9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tcMar>
                    <w:left w:w="0" w:type="dxa"/>
                    <w:right w:w="0" w:type="dxa"/>
                  </w:tcMar>
                  <w:vAlign w:val="center"/>
                </w:tcPr>
                <w:p>
                  <w:pPr>
                    <w:keepNext w:val="0"/>
                    <w:keepLines w:val="0"/>
                    <w:suppressLineNumbers w:val="0"/>
                    <w:adjustRightInd w:val="0"/>
                    <w:spacing w:before="0" w:beforeAutospacing="0" w:after="0" w:afterAutospacing="0"/>
                    <w:ind w:left="0" w:right="0"/>
                    <w:jc w:val="center"/>
                    <w:rPr>
                      <w:b/>
                      <w:szCs w:val="21"/>
                    </w:rPr>
                  </w:pPr>
                  <w:r>
                    <w:rPr>
                      <w:b/>
                      <w:szCs w:val="21"/>
                    </w:rPr>
                    <w:t>排放口</w:t>
                  </w:r>
                </w:p>
                <w:p>
                  <w:pPr>
                    <w:keepNext w:val="0"/>
                    <w:keepLines w:val="0"/>
                    <w:suppressLineNumbers w:val="0"/>
                    <w:adjustRightInd w:val="0"/>
                    <w:spacing w:before="0" w:beforeAutospacing="0" w:after="0" w:afterAutospacing="0"/>
                    <w:ind w:left="0" w:right="0"/>
                    <w:jc w:val="center"/>
                    <w:rPr>
                      <w:b/>
                      <w:szCs w:val="21"/>
                    </w:rPr>
                  </w:pPr>
                  <w:r>
                    <w:rPr>
                      <w:b/>
                      <w:szCs w:val="21"/>
                    </w:rPr>
                    <w:t>名称</w:t>
                  </w:r>
                </w:p>
              </w:tc>
              <w:tc>
                <w:tcPr>
                  <w:tcW w:w="3016" w:type="dxa"/>
                  <w:vAlign w:val="center"/>
                </w:tcPr>
                <w:p>
                  <w:pPr>
                    <w:keepNext w:val="0"/>
                    <w:keepLines w:val="0"/>
                    <w:suppressLineNumbers w:val="0"/>
                    <w:adjustRightInd w:val="0"/>
                    <w:spacing w:before="0" w:beforeAutospacing="0" w:after="0" w:afterAutospacing="0"/>
                    <w:ind w:left="0" w:right="0"/>
                    <w:jc w:val="center"/>
                    <w:rPr>
                      <w:b/>
                      <w:szCs w:val="21"/>
                    </w:rPr>
                  </w:pPr>
                  <w:r>
                    <w:rPr>
                      <w:b/>
                      <w:szCs w:val="21"/>
                    </w:rPr>
                    <w:t>执行标准</w:t>
                  </w:r>
                </w:p>
              </w:tc>
              <w:tc>
                <w:tcPr>
                  <w:tcW w:w="1088" w:type="dxa"/>
                  <w:tcMar>
                    <w:left w:w="0" w:type="dxa"/>
                    <w:right w:w="0" w:type="dxa"/>
                  </w:tcMar>
                  <w:vAlign w:val="center"/>
                </w:tcPr>
                <w:p>
                  <w:pPr>
                    <w:keepNext w:val="0"/>
                    <w:keepLines w:val="0"/>
                    <w:suppressLineNumbers w:val="0"/>
                    <w:adjustRightInd w:val="0"/>
                    <w:spacing w:before="0" w:beforeAutospacing="0" w:after="0" w:afterAutospacing="0"/>
                    <w:ind w:left="0" w:right="0"/>
                    <w:jc w:val="center"/>
                    <w:rPr>
                      <w:b/>
                      <w:szCs w:val="21"/>
                    </w:rPr>
                  </w:pPr>
                  <w:r>
                    <w:rPr>
                      <w:b/>
                      <w:szCs w:val="21"/>
                    </w:rPr>
                    <w:t>取值表号及级别</w:t>
                  </w:r>
                </w:p>
              </w:tc>
              <w:tc>
                <w:tcPr>
                  <w:tcW w:w="1120" w:type="dxa"/>
                  <w:vAlign w:val="center"/>
                </w:tcPr>
                <w:p>
                  <w:pPr>
                    <w:keepNext w:val="0"/>
                    <w:keepLines w:val="0"/>
                    <w:suppressLineNumbers w:val="0"/>
                    <w:adjustRightInd w:val="0"/>
                    <w:spacing w:before="0" w:beforeAutospacing="0" w:after="0" w:afterAutospacing="0"/>
                    <w:ind w:left="0" w:right="0"/>
                    <w:jc w:val="center"/>
                    <w:rPr>
                      <w:b/>
                      <w:szCs w:val="21"/>
                    </w:rPr>
                  </w:pPr>
                  <w:r>
                    <w:rPr>
                      <w:b/>
                      <w:szCs w:val="21"/>
                    </w:rPr>
                    <w:t>污染物指标</w:t>
                  </w:r>
                </w:p>
              </w:tc>
              <w:tc>
                <w:tcPr>
                  <w:tcW w:w="730" w:type="dxa"/>
                  <w:vAlign w:val="center"/>
                </w:tcPr>
                <w:p>
                  <w:pPr>
                    <w:keepNext w:val="0"/>
                    <w:keepLines w:val="0"/>
                    <w:suppressLineNumbers w:val="0"/>
                    <w:adjustRightInd w:val="0"/>
                    <w:spacing w:before="0" w:beforeAutospacing="0" w:after="0" w:afterAutospacing="0"/>
                    <w:ind w:left="0" w:right="0"/>
                    <w:jc w:val="center"/>
                    <w:rPr>
                      <w:b/>
                      <w:szCs w:val="21"/>
                    </w:rPr>
                  </w:pPr>
                  <w:r>
                    <w:rPr>
                      <w:b/>
                      <w:szCs w:val="21"/>
                    </w:rPr>
                    <w:t>单位</w:t>
                  </w:r>
                </w:p>
              </w:tc>
              <w:tc>
                <w:tcPr>
                  <w:tcW w:w="981" w:type="dxa"/>
                  <w:vAlign w:val="center"/>
                </w:tcPr>
                <w:p>
                  <w:pPr>
                    <w:keepNext w:val="0"/>
                    <w:keepLines w:val="0"/>
                    <w:suppressLineNumbers w:val="0"/>
                    <w:adjustRightInd w:val="0"/>
                    <w:spacing w:before="0" w:beforeAutospacing="0" w:after="0" w:afterAutospacing="0"/>
                    <w:ind w:left="0" w:right="0"/>
                    <w:jc w:val="center"/>
                    <w:rPr>
                      <w:b/>
                      <w:szCs w:val="21"/>
                    </w:rPr>
                  </w:pPr>
                  <w:r>
                    <w:rPr>
                      <w:b/>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污水口</w:t>
                  </w:r>
                </w:p>
              </w:tc>
              <w:tc>
                <w:tcPr>
                  <w:tcW w:w="3016"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《污水排入城镇下水道水质标准》（GB/T31962-2015）</w:t>
                  </w:r>
                </w:p>
              </w:tc>
              <w:tc>
                <w:tcPr>
                  <w:tcW w:w="1088"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表1B级标准</w:t>
                  </w: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COD</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SS</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TP</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NH</w:t>
                  </w:r>
                  <w:r>
                    <w:rPr>
                      <w:bCs/>
                      <w:szCs w:val="21"/>
                      <w:vertAlign w:val="subscript"/>
                    </w:rPr>
                    <w:t>3</w:t>
                  </w:r>
                  <w:r>
                    <w:rPr>
                      <w:bCs/>
                      <w:szCs w:val="21"/>
                    </w:rPr>
                    <w:t>-N</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TN</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snapToGrid w:val="0"/>
                    <w:spacing w:before="0" w:beforeAutospacing="0" w:after="0" w:afterAutospacing="0"/>
                    <w:ind w:left="0" w:right="0"/>
                    <w:jc w:val="center"/>
                    <w:rPr>
                      <w:bCs/>
                      <w:szCs w:val="21"/>
                    </w:rPr>
                  </w:pPr>
                  <w:r>
                    <w:rPr>
                      <w:szCs w:val="21"/>
                    </w:rPr>
                    <w:t>动植物油</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snapToGrid w:val="0"/>
                    <w:spacing w:before="0" w:beforeAutospacing="0" w:after="0" w:afterAutospacing="0"/>
                    <w:ind w:left="0" w:right="0"/>
                    <w:jc w:val="center"/>
                    <w:rPr>
                      <w:bCs/>
                      <w:szCs w:val="21"/>
                    </w:rPr>
                  </w:pPr>
                  <w:r>
                    <w:rPr>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471"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污水处理厂排口</w:t>
                  </w:r>
                </w:p>
              </w:tc>
              <w:tc>
                <w:tcPr>
                  <w:tcW w:w="3016"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《城镇污水处理厂污染物排放标准》(GB18918-2002)</w:t>
                  </w:r>
                </w:p>
              </w:tc>
              <w:tc>
                <w:tcPr>
                  <w:tcW w:w="1088"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表1</w:t>
                  </w:r>
                </w:p>
                <w:p>
                  <w:pPr>
                    <w:keepNext w:val="0"/>
                    <w:keepLines w:val="0"/>
                    <w:suppressLineNumbers w:val="0"/>
                    <w:adjustRightInd w:val="0"/>
                    <w:spacing w:before="0" w:beforeAutospacing="0" w:after="0" w:afterAutospacing="0"/>
                    <w:ind w:left="0" w:right="0"/>
                    <w:jc w:val="center"/>
                    <w:rPr>
                      <w:bCs/>
                      <w:szCs w:val="21"/>
                    </w:rPr>
                  </w:pPr>
                  <w:r>
                    <w:rPr>
                      <w:bCs/>
                      <w:szCs w:val="21"/>
                    </w:rPr>
                    <w:t>一级A标准</w:t>
                  </w: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rFonts w:hint="eastAsia"/>
                      <w:bCs/>
                      <w:szCs w:val="21"/>
                    </w:rPr>
                    <w:t>p</w:t>
                  </w:r>
                  <w:r>
                    <w:rPr>
                      <w:bCs/>
                      <w:szCs w:val="21"/>
                    </w:rPr>
                    <w:t>H</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SS</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snapToGrid w:val="0"/>
                    <w:spacing w:before="0" w:beforeAutospacing="0" w:after="0" w:afterAutospacing="0"/>
                    <w:ind w:left="0" w:right="0"/>
                    <w:jc w:val="center"/>
                    <w:rPr>
                      <w:bCs/>
                      <w:szCs w:val="21"/>
                    </w:rPr>
                  </w:pPr>
                  <w:r>
                    <w:rPr>
                      <w:szCs w:val="21"/>
                    </w:rPr>
                    <w:t>动植物油</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《太湖地区城镇污水处理厂及重点工业行业主要水污染物排放限值》(DB32/1072-2018)</w:t>
                  </w:r>
                </w:p>
              </w:tc>
              <w:tc>
                <w:tcPr>
                  <w:tcW w:w="1088" w:type="dxa"/>
                  <w:vMerge w:val="restart"/>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表2</w:t>
                  </w: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COD</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NH</w:t>
                  </w:r>
                  <w:r>
                    <w:rPr>
                      <w:bCs/>
                      <w:szCs w:val="21"/>
                      <w:vertAlign w:val="subscript"/>
                    </w:rPr>
                    <w:t>3</w:t>
                  </w:r>
                  <w:r>
                    <w:rPr>
                      <w:bCs/>
                      <w:szCs w:val="21"/>
                    </w:rPr>
                    <w:t>-N</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TP</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3016"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088" w:type="dxa"/>
                  <w:vMerge w:val="continue"/>
                  <w:vAlign w:val="center"/>
                </w:tcPr>
                <w:p>
                  <w:pPr>
                    <w:keepNext w:val="0"/>
                    <w:keepLines w:val="0"/>
                    <w:suppressLineNumbers w:val="0"/>
                    <w:adjustRightInd w:val="0"/>
                    <w:spacing w:before="0" w:beforeAutospacing="0" w:after="0" w:afterAutospacing="0"/>
                    <w:ind w:left="0" w:right="0"/>
                    <w:jc w:val="center"/>
                    <w:rPr>
                      <w:bCs/>
                      <w:szCs w:val="21"/>
                    </w:rPr>
                  </w:pPr>
                </w:p>
              </w:tc>
              <w:tc>
                <w:tcPr>
                  <w:tcW w:w="112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TN</w:t>
                  </w:r>
                </w:p>
              </w:tc>
              <w:tc>
                <w:tcPr>
                  <w:tcW w:w="730"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mg/L</w:t>
                  </w:r>
                </w:p>
              </w:tc>
              <w:tc>
                <w:tcPr>
                  <w:tcW w:w="981" w:type="dxa"/>
                  <w:vAlign w:val="center"/>
                </w:tcPr>
                <w:p>
                  <w:pPr>
                    <w:keepNext w:val="0"/>
                    <w:keepLines w:val="0"/>
                    <w:suppressLineNumbers w:val="0"/>
                    <w:adjustRightInd w:val="0"/>
                    <w:spacing w:before="0" w:beforeAutospacing="0" w:after="0" w:afterAutospacing="0"/>
                    <w:ind w:left="0" w:right="0"/>
                    <w:jc w:val="center"/>
                    <w:rPr>
                      <w:bCs/>
                      <w:szCs w:val="21"/>
                    </w:rPr>
                  </w:pPr>
                  <w:r>
                    <w:rPr>
                      <w:bCs/>
                      <w:szCs w:val="21"/>
                    </w:rPr>
                    <w:t>12（15）</w:t>
                  </w:r>
                </w:p>
              </w:tc>
            </w:tr>
          </w:tbl>
          <w:p>
            <w:pPr>
              <w:pStyle w:val="7"/>
              <w:keepNext w:val="0"/>
              <w:keepLines w:val="0"/>
              <w:suppressLineNumbers w:val="0"/>
              <w:snapToGrid/>
              <w:spacing w:before="0" w:beforeAutospacing="0" w:after="0" w:afterAutospacing="0" w:line="360" w:lineRule="auto"/>
              <w:ind w:left="0" w:right="0"/>
              <w:rPr>
                <w:b/>
                <w:color w:val="000000"/>
                <w:sz w:val="21"/>
                <w:szCs w:val="21"/>
              </w:rPr>
            </w:pPr>
            <w:r>
              <w:rPr>
                <w:b/>
                <w:sz w:val="21"/>
                <w:szCs w:val="21"/>
              </w:rPr>
              <w:t>注</w:t>
            </w:r>
            <w:r>
              <w:rPr>
                <w:b/>
                <w:color w:val="000000" w:themeColor="text1"/>
                <w:sz w:val="21"/>
                <w:szCs w:val="21"/>
              </w:rPr>
              <w:t>：</w:t>
            </w:r>
            <w:r>
              <w:rPr>
                <w:b/>
                <w:color w:val="000000"/>
                <w:sz w:val="21"/>
                <w:szCs w:val="21"/>
              </w:rPr>
              <w:t>括号外数值为水温&gt;12</w:t>
            </w:r>
            <w:r>
              <w:rPr>
                <w:rFonts w:hint="eastAsia" w:ascii="宋体" w:hAnsi="宋体" w:cs="宋体"/>
                <w:b/>
                <w:color w:val="000000"/>
                <w:sz w:val="21"/>
                <w:szCs w:val="21"/>
              </w:rPr>
              <w:t>℃</w:t>
            </w:r>
            <w:r>
              <w:rPr>
                <w:b/>
                <w:color w:val="000000"/>
                <w:sz w:val="21"/>
                <w:szCs w:val="21"/>
              </w:rPr>
              <w:t>时的控制指标，括号内数值为水温≤12</w:t>
            </w:r>
            <w:r>
              <w:rPr>
                <w:rFonts w:hint="eastAsia" w:ascii="宋体" w:hAnsi="宋体" w:cs="宋体"/>
                <w:b/>
                <w:color w:val="000000"/>
                <w:sz w:val="21"/>
                <w:szCs w:val="21"/>
              </w:rPr>
              <w:t>℃</w:t>
            </w:r>
            <w:r>
              <w:rPr>
                <w:b/>
                <w:color w:val="000000"/>
                <w:sz w:val="21"/>
                <w:szCs w:val="21"/>
              </w:rPr>
              <w:t>时的控制指标</w:t>
            </w:r>
          </w:p>
          <w:p>
            <w:pPr>
              <w:keepNext w:val="0"/>
              <w:keepLines w:val="0"/>
              <w:suppressLineNumbers w:val="0"/>
              <w:spacing w:before="0" w:beforeAutospacing="0" w:after="0" w:afterAutospacing="0" w:line="360" w:lineRule="auto"/>
              <w:ind w:left="0" w:right="0"/>
              <w:rPr>
                <w:b/>
                <w:sz w:val="24"/>
              </w:rPr>
            </w:pPr>
            <w:r>
              <w:rPr>
                <w:rFonts w:hint="eastAsia"/>
                <w:b/>
                <w:sz w:val="24"/>
              </w:rPr>
              <w:t>3</w:t>
            </w:r>
            <w:r>
              <w:rPr>
                <w:b/>
                <w:sz w:val="24"/>
              </w:rPr>
              <w:t>、噪声</w:t>
            </w:r>
            <w:r>
              <w:rPr>
                <w:rFonts w:hint="eastAsia"/>
                <w:b/>
                <w:sz w:val="24"/>
              </w:rPr>
              <w:t>排放标准</w:t>
            </w:r>
          </w:p>
          <w:p>
            <w:pPr>
              <w:keepNext w:val="0"/>
              <w:keepLines w:val="0"/>
              <w:suppressLineNumbers w:val="0"/>
              <w:spacing w:before="0" w:beforeAutospacing="0" w:after="0" w:afterAutospacing="0" w:line="360" w:lineRule="auto"/>
              <w:ind w:left="0" w:right="0" w:firstLine="480" w:firstLineChars="200"/>
              <w:rPr>
                <w:sz w:val="24"/>
              </w:rPr>
            </w:pPr>
            <w:r>
              <w:rPr>
                <w:sz w:val="24"/>
              </w:rPr>
              <w:t>根据《常州市市区声环境功能区划（2017）》（常政发[2017]161号）</w:t>
            </w:r>
            <w:r>
              <w:rPr>
                <w:rFonts w:hint="eastAsia"/>
                <w:sz w:val="24"/>
              </w:rPr>
              <w:t>、</w:t>
            </w:r>
            <w:r>
              <w:rPr>
                <w:rFonts w:hAnsi="宋体"/>
                <w:bCs/>
                <w:sz w:val="24"/>
              </w:rPr>
              <w:t>《关于加强和规范声环境功能区划分管理工作的通知</w:t>
            </w:r>
            <w:r>
              <w:rPr>
                <w:rFonts w:hint="eastAsia" w:hAnsi="宋体"/>
                <w:bCs/>
                <w:sz w:val="24"/>
              </w:rPr>
              <w:t>》</w:t>
            </w:r>
            <w:r>
              <w:rPr>
                <w:rFonts w:hAnsi="宋体"/>
                <w:bCs/>
                <w:sz w:val="24"/>
              </w:rPr>
              <w:t>（环办大气函[2017]1709号）</w:t>
            </w:r>
            <w:r>
              <w:rPr>
                <w:rFonts w:hint="eastAsia" w:hAnsi="宋体"/>
                <w:bCs/>
                <w:sz w:val="24"/>
              </w:rPr>
              <w:t>及《声环境功能区划分技术规范》（GB/T 15190-2014）</w:t>
            </w:r>
            <w:r>
              <w:rPr>
                <w:rFonts w:hAnsi="宋体"/>
                <w:bCs/>
                <w:sz w:val="24"/>
              </w:rPr>
              <w:t>，</w:t>
            </w:r>
            <w:r>
              <w:rPr>
                <w:rFonts w:hint="eastAsia" w:hAnsi="宋体"/>
                <w:bCs/>
                <w:sz w:val="24"/>
              </w:rPr>
              <w:t>本项目所在区域不属于规划范围内。由于本项目所在地周边为居民、工业混合区</w:t>
            </w:r>
            <w:r>
              <w:rPr>
                <w:rFonts w:hint="eastAsia"/>
                <w:sz w:val="24"/>
              </w:rPr>
              <w:t>，</w:t>
            </w:r>
            <w:r>
              <w:rPr>
                <w:sz w:val="24"/>
              </w:rPr>
              <w:t>本项目营运期厂界噪声执行《工业企业厂界环境噪声排放标准》</w:t>
            </w:r>
            <w:r>
              <w:rPr>
                <w:rFonts w:hint="eastAsia"/>
                <w:sz w:val="24"/>
                <w:lang w:eastAsia="zh-CN"/>
              </w:rPr>
              <w:t>（</w:t>
            </w:r>
            <w:r>
              <w:rPr>
                <w:sz w:val="24"/>
              </w:rPr>
              <w:t>GB12348-2008</w:t>
            </w:r>
            <w:r>
              <w:rPr>
                <w:rFonts w:hint="eastAsia"/>
                <w:sz w:val="24"/>
                <w:lang w:eastAsia="zh-CN"/>
              </w:rPr>
              <w:t>）</w:t>
            </w:r>
            <w:r>
              <w:rPr>
                <w:sz w:val="24"/>
              </w:rPr>
              <w:t>中</w:t>
            </w:r>
            <w:r>
              <w:rPr>
                <w:rFonts w:hint="eastAsia"/>
                <w:sz w:val="24"/>
              </w:rPr>
              <w:t>2</w:t>
            </w:r>
            <w:r>
              <w:rPr>
                <w:sz w:val="24"/>
              </w:rPr>
              <w:t>类标准，具体标准值见下表：</w:t>
            </w:r>
          </w:p>
          <w:p>
            <w:pPr>
              <w:keepNext w:val="0"/>
              <w:keepLines w:val="0"/>
              <w:suppressLineNumbers w:val="0"/>
              <w:wordWrap w:val="0"/>
              <w:adjustRightInd w:val="0"/>
              <w:spacing w:before="0" w:beforeAutospacing="0" w:after="0" w:afterAutospacing="0"/>
              <w:ind w:left="0" w:right="0" w:firstLine="2474" w:firstLineChars="1027"/>
              <w:jc w:val="left"/>
              <w:rPr>
                <w:b/>
                <w:bCs/>
                <w:sz w:val="24"/>
                <w:szCs w:val="22"/>
              </w:rPr>
            </w:pPr>
            <w:r>
              <w:rPr>
                <w:b/>
                <w:bCs/>
                <w:sz w:val="24"/>
                <w:szCs w:val="22"/>
              </w:rPr>
              <w:t>表</w:t>
            </w:r>
            <w:r>
              <w:rPr>
                <w:rFonts w:hint="eastAsia"/>
                <w:b/>
                <w:bCs/>
                <w:sz w:val="24"/>
                <w:szCs w:val="22"/>
              </w:rPr>
              <w:t xml:space="preserve">3-11 </w:t>
            </w:r>
            <w:r>
              <w:rPr>
                <w:b/>
                <w:bCs/>
                <w:sz w:val="24"/>
                <w:szCs w:val="22"/>
              </w:rPr>
              <w:t>营运期噪声排放标准</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1842"/>
              <w:gridCol w:w="1844"/>
              <w:gridCol w:w="1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21" w:type="pct"/>
                  <w:vAlign w:val="center"/>
                </w:tcPr>
                <w:p>
                  <w:pPr>
                    <w:keepNext w:val="0"/>
                    <w:keepLines w:val="0"/>
                    <w:suppressLineNumbers w:val="0"/>
                    <w:adjustRightInd w:val="0"/>
                    <w:spacing w:before="0" w:beforeAutospacing="0" w:after="0" w:afterAutospacing="0"/>
                    <w:ind w:left="0" w:right="0"/>
                    <w:jc w:val="center"/>
                    <w:rPr>
                      <w:b/>
                      <w:bCs/>
                      <w:szCs w:val="21"/>
                    </w:rPr>
                  </w:pPr>
                  <w:r>
                    <w:rPr>
                      <w:b/>
                      <w:bCs/>
                      <w:szCs w:val="21"/>
                    </w:rPr>
                    <w:t>声环境功能类别</w:t>
                  </w:r>
                </w:p>
              </w:tc>
              <w:tc>
                <w:tcPr>
                  <w:tcW w:w="1155" w:type="pct"/>
                  <w:vAlign w:val="center"/>
                </w:tcPr>
                <w:p>
                  <w:pPr>
                    <w:keepNext w:val="0"/>
                    <w:keepLines w:val="0"/>
                    <w:suppressLineNumbers w:val="0"/>
                    <w:adjustRightInd w:val="0"/>
                    <w:spacing w:before="0" w:beforeAutospacing="0" w:after="0" w:afterAutospacing="0"/>
                    <w:ind w:left="0" w:right="0"/>
                    <w:jc w:val="center"/>
                    <w:rPr>
                      <w:b/>
                      <w:bCs/>
                      <w:szCs w:val="21"/>
                    </w:rPr>
                  </w:pPr>
                  <w:r>
                    <w:rPr>
                      <w:b/>
                      <w:bCs/>
                      <w:szCs w:val="21"/>
                    </w:rPr>
                    <w:t>昼间</w:t>
                  </w:r>
                </w:p>
              </w:tc>
              <w:tc>
                <w:tcPr>
                  <w:tcW w:w="1156" w:type="pct"/>
                  <w:vAlign w:val="center"/>
                </w:tcPr>
                <w:p>
                  <w:pPr>
                    <w:keepNext w:val="0"/>
                    <w:keepLines w:val="0"/>
                    <w:suppressLineNumbers w:val="0"/>
                    <w:adjustRightInd w:val="0"/>
                    <w:spacing w:before="0" w:beforeAutospacing="0" w:after="0" w:afterAutospacing="0"/>
                    <w:ind w:left="0" w:right="0"/>
                    <w:jc w:val="center"/>
                    <w:rPr>
                      <w:b/>
                      <w:bCs/>
                      <w:szCs w:val="21"/>
                    </w:rPr>
                  </w:pPr>
                  <w:r>
                    <w:rPr>
                      <w:b/>
                      <w:bCs/>
                      <w:szCs w:val="21"/>
                    </w:rPr>
                    <w:t>夜间</w:t>
                  </w:r>
                </w:p>
              </w:tc>
              <w:tc>
                <w:tcPr>
                  <w:tcW w:w="1168" w:type="pct"/>
                  <w:vAlign w:val="center"/>
                </w:tcPr>
                <w:p>
                  <w:pPr>
                    <w:keepNext w:val="0"/>
                    <w:keepLines w:val="0"/>
                    <w:suppressLineNumbers w:val="0"/>
                    <w:adjustRightInd w:val="0"/>
                    <w:spacing w:before="0" w:beforeAutospacing="0" w:after="0" w:afterAutospacing="0"/>
                    <w:ind w:left="0" w:right="0"/>
                    <w:jc w:val="center"/>
                    <w:rPr>
                      <w:b/>
                      <w:bCs/>
                      <w:szCs w:val="21"/>
                    </w:rPr>
                  </w:pPr>
                  <w:r>
                    <w:rPr>
                      <w:b/>
                      <w:bCs/>
                      <w:szCs w:val="21"/>
                    </w:rPr>
                    <w:t>执行区域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21" w:type="pct"/>
                  <w:vAlign w:val="center"/>
                </w:tcPr>
                <w:p>
                  <w:pPr>
                    <w:keepNext w:val="0"/>
                    <w:keepLines w:val="0"/>
                    <w:suppressLineNumbers w:val="0"/>
                    <w:adjustRightInd w:val="0"/>
                    <w:spacing w:before="0" w:beforeAutospacing="0" w:after="0" w:afterAutospacing="0"/>
                    <w:ind w:left="0" w:right="0"/>
                    <w:jc w:val="center"/>
                    <w:rPr>
                      <w:szCs w:val="21"/>
                    </w:rPr>
                  </w:pPr>
                  <w:r>
                    <w:rPr>
                      <w:szCs w:val="21"/>
                    </w:rPr>
                    <w:t>2类</w:t>
                  </w:r>
                </w:p>
              </w:tc>
              <w:tc>
                <w:tcPr>
                  <w:tcW w:w="1155" w:type="pct"/>
                  <w:vAlign w:val="center"/>
                </w:tcPr>
                <w:p>
                  <w:pPr>
                    <w:keepNext w:val="0"/>
                    <w:keepLines w:val="0"/>
                    <w:suppressLineNumbers w:val="0"/>
                    <w:adjustRightInd w:val="0"/>
                    <w:spacing w:before="0" w:beforeAutospacing="0" w:after="0" w:afterAutospacing="0"/>
                    <w:ind w:left="0" w:right="0"/>
                    <w:jc w:val="center"/>
                    <w:rPr>
                      <w:szCs w:val="21"/>
                    </w:rPr>
                  </w:pPr>
                  <w:r>
                    <w:rPr>
                      <w:szCs w:val="21"/>
                    </w:rPr>
                    <w:t>≤60dB（A）</w:t>
                  </w:r>
                </w:p>
              </w:tc>
              <w:tc>
                <w:tcPr>
                  <w:tcW w:w="1156" w:type="pct"/>
                  <w:vAlign w:val="center"/>
                </w:tcPr>
                <w:p>
                  <w:pPr>
                    <w:keepNext w:val="0"/>
                    <w:keepLines w:val="0"/>
                    <w:suppressLineNumbers w:val="0"/>
                    <w:adjustRightInd w:val="0"/>
                    <w:spacing w:before="0" w:beforeAutospacing="0" w:after="0" w:afterAutospacing="0"/>
                    <w:ind w:left="0" w:right="0"/>
                    <w:jc w:val="center"/>
                    <w:rPr>
                      <w:szCs w:val="21"/>
                    </w:rPr>
                  </w:pPr>
                  <w:r>
                    <w:rPr>
                      <w:szCs w:val="21"/>
                    </w:rPr>
                    <w:t>≤50dB（A）</w:t>
                  </w:r>
                </w:p>
              </w:tc>
              <w:tc>
                <w:tcPr>
                  <w:tcW w:w="1168" w:type="pct"/>
                  <w:vAlign w:val="center"/>
                </w:tcPr>
                <w:p>
                  <w:pPr>
                    <w:keepNext w:val="0"/>
                    <w:keepLines w:val="0"/>
                    <w:suppressLineNumbers w:val="0"/>
                    <w:adjustRightInd w:val="0"/>
                    <w:spacing w:before="0" w:beforeAutospacing="0" w:after="0" w:afterAutospacing="0"/>
                    <w:ind w:left="0" w:right="0"/>
                    <w:jc w:val="center"/>
                    <w:rPr>
                      <w:szCs w:val="21"/>
                    </w:rPr>
                  </w:pPr>
                  <w:r>
                    <w:rPr>
                      <w:rFonts w:hint="eastAsia"/>
                      <w:szCs w:val="21"/>
                    </w:rPr>
                    <w:t>厂房四周</w:t>
                  </w:r>
                </w:p>
              </w:tc>
            </w:tr>
          </w:tbl>
          <w:p>
            <w:pPr>
              <w:keepNext w:val="0"/>
              <w:keepLines w:val="0"/>
              <w:suppressLineNumbers w:val="0"/>
              <w:spacing w:before="0" w:beforeAutospacing="0" w:after="0" w:afterAutospacing="0" w:line="360" w:lineRule="auto"/>
              <w:ind w:left="0" w:right="0"/>
              <w:rPr>
                <w:b/>
                <w:sz w:val="24"/>
              </w:rPr>
            </w:pPr>
            <w:r>
              <w:rPr>
                <w:rFonts w:hint="eastAsia"/>
                <w:b/>
                <w:sz w:val="24"/>
              </w:rPr>
              <w:t>4</w:t>
            </w:r>
            <w:r>
              <w:rPr>
                <w:rFonts w:hAnsi="宋体"/>
                <w:b/>
                <w:sz w:val="24"/>
              </w:rPr>
              <w:t>、固废</w:t>
            </w:r>
            <w:r>
              <w:rPr>
                <w:rFonts w:hint="eastAsia" w:hAnsi="宋体"/>
                <w:b/>
                <w:sz w:val="24"/>
              </w:rPr>
              <w:t>标准</w:t>
            </w:r>
          </w:p>
          <w:p>
            <w:pPr>
              <w:keepNext w:val="0"/>
              <w:keepLines w:val="0"/>
              <w:numPr>
                <w:ilvl w:val="0"/>
                <w:numId w:val="1"/>
              </w:numPr>
              <w:suppressLineNumbers w:val="0"/>
              <w:adjustRightInd w:val="0"/>
              <w:spacing w:before="0" w:beforeAutospacing="0" w:after="0" w:afterAutospacing="0" w:line="360" w:lineRule="auto"/>
              <w:ind w:right="0" w:firstLine="468"/>
              <w:rPr>
                <w:rFonts w:ascii="宋体" w:hAnsi="宋体"/>
                <w:sz w:val="24"/>
              </w:rPr>
            </w:pPr>
            <w:r>
              <w:rPr>
                <w:rFonts w:hint="eastAsia" w:ascii="宋体" w:hAnsi="宋体"/>
                <w:spacing w:val="-3"/>
                <w:sz w:val="24"/>
              </w:rPr>
              <w:t>一般固废：执行《一般工业固体废物贮存、处置场污染控制标准》（</w:t>
            </w:r>
            <w:r>
              <w:rPr>
                <w:rFonts w:hint="eastAsia" w:hAnsi="宋体"/>
                <w:spacing w:val="-3"/>
                <w:sz w:val="24"/>
              </w:rPr>
              <w:t>GB18599-2020</w:t>
            </w:r>
            <w:r>
              <w:rPr>
                <w:rFonts w:hint="eastAsia" w:ascii="宋体" w:hAnsi="宋体"/>
                <w:spacing w:val="-3"/>
                <w:sz w:val="24"/>
              </w:rPr>
              <w:t>）；</w:t>
            </w:r>
          </w:p>
          <w:p>
            <w:pPr>
              <w:keepNext w:val="0"/>
              <w:keepLines w:val="0"/>
              <w:numPr>
                <w:ilvl w:val="0"/>
                <w:numId w:val="1"/>
              </w:numPr>
              <w:suppressLineNumbers w:val="0"/>
              <w:adjustRightInd w:val="0"/>
              <w:spacing w:before="0" w:beforeAutospacing="0" w:after="0" w:afterAutospacing="0" w:line="360" w:lineRule="auto"/>
              <w:ind w:right="0" w:firstLine="468"/>
              <w:rPr>
                <w:bCs/>
                <w:sz w:val="24"/>
              </w:rPr>
            </w:pPr>
            <w:r>
              <w:rPr>
                <w:rFonts w:hint="eastAsia" w:ascii="宋体" w:hAnsi="宋体"/>
                <w:spacing w:val="-3"/>
                <w:sz w:val="24"/>
              </w:rPr>
              <w:t>危险废物：</w:t>
            </w:r>
            <w:r>
              <w:rPr>
                <w:bCs/>
                <w:sz w:val="24"/>
              </w:rPr>
              <w:t>执行《危险废物贮存污染控制标准》</w:t>
            </w:r>
            <w:r>
              <w:rPr>
                <w:rFonts w:hint="eastAsia"/>
                <w:bCs/>
                <w:sz w:val="24"/>
                <w:lang w:eastAsia="zh-CN"/>
              </w:rPr>
              <w:t>（</w:t>
            </w:r>
            <w:r>
              <w:rPr>
                <w:bCs/>
                <w:sz w:val="24"/>
              </w:rPr>
              <w:t>GB18597-2001</w:t>
            </w:r>
            <w:r>
              <w:rPr>
                <w:rFonts w:hint="eastAsia"/>
                <w:bCs/>
                <w:sz w:val="24"/>
                <w:lang w:eastAsia="zh-CN"/>
              </w:rPr>
              <w:t>）（</w:t>
            </w:r>
            <w:r>
              <w:rPr>
                <w:bCs/>
                <w:sz w:val="24"/>
              </w:rPr>
              <w:t>2013年修订版</w:t>
            </w:r>
            <w:r>
              <w:rPr>
                <w:rFonts w:hint="eastAsia"/>
                <w:bCs/>
                <w:sz w:val="24"/>
                <w:lang w:eastAsia="zh-CN"/>
              </w:rPr>
              <w:t>）</w:t>
            </w:r>
            <w:r>
              <w:rPr>
                <w:rFonts w:hint="eastAsia"/>
                <w:bCs/>
                <w:sz w:val="24"/>
              </w:rPr>
              <w:t>，</w:t>
            </w:r>
            <w:r>
              <w:rPr>
                <w:bCs/>
                <w:sz w:val="24"/>
              </w:rPr>
              <w:t>同时执行《省生态环境厅关于进一步加强危险废物污染防治工作的实施意见》（苏环办[2019]327号）</w:t>
            </w:r>
            <w:r>
              <w:rPr>
                <w:rFonts w:hint="eastAsia"/>
                <w:bCs/>
                <w:sz w:val="24"/>
              </w:rPr>
              <w:t>、</w:t>
            </w:r>
            <w:r>
              <w:rPr>
                <w:bCs/>
                <w:sz w:val="24"/>
              </w:rPr>
              <w:t>《省生态环境厅关于进一步加强危险废物环境管理工作的通知》（苏环办</w:t>
            </w:r>
            <w:r>
              <w:rPr>
                <w:rFonts w:hint="eastAsia"/>
                <w:bCs/>
                <w:sz w:val="24"/>
                <w:lang w:eastAsia="zh-CN"/>
              </w:rPr>
              <w:t>【</w:t>
            </w:r>
            <w:r>
              <w:rPr>
                <w:bCs/>
                <w:sz w:val="24"/>
              </w:rPr>
              <w:t>2021</w:t>
            </w:r>
            <w:r>
              <w:rPr>
                <w:rFonts w:hint="eastAsia"/>
                <w:bCs/>
                <w:sz w:val="24"/>
                <w:lang w:eastAsia="zh-CN"/>
              </w:rPr>
              <w:t>】</w:t>
            </w:r>
            <w:r>
              <w:rPr>
                <w:bCs/>
                <w:sz w:val="24"/>
              </w:rPr>
              <w:t>207号）的要求</w:t>
            </w:r>
            <w:r>
              <w:rPr>
                <w:rFonts w:hint="eastAsia"/>
                <w:bCs/>
                <w:sz w:val="24"/>
              </w:rPr>
              <w:t>。</w:t>
            </w: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800"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总量</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控制</w:t>
            </w:r>
          </w:p>
          <w:p>
            <w:pPr>
              <w:keepNext w:val="0"/>
              <w:keepLines w:val="0"/>
              <w:suppressLineNumbers w:val="0"/>
              <w:adjustRightInd w:val="0"/>
              <w:snapToGrid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指标</w:t>
            </w:r>
          </w:p>
        </w:tc>
        <w:tc>
          <w:tcPr>
            <w:tcW w:w="8190" w:type="dxa"/>
          </w:tcPr>
          <w:p>
            <w:pPr>
              <w:keepNext w:val="0"/>
              <w:keepLines w:val="0"/>
              <w:suppressLineNumbers w:val="0"/>
              <w:overflowPunct w:val="0"/>
              <w:snapToGrid w:val="0"/>
              <w:spacing w:before="0" w:beforeAutospacing="0" w:after="0" w:afterAutospacing="0" w:line="360" w:lineRule="auto"/>
              <w:ind w:left="0" w:right="0" w:firstLine="482" w:firstLineChars="200"/>
              <w:rPr>
                <w:b/>
                <w:bCs/>
                <w:sz w:val="24"/>
              </w:rPr>
            </w:pPr>
            <w:r>
              <w:rPr>
                <w:rFonts w:hint="eastAsia"/>
                <w:b/>
                <w:bCs/>
                <w:sz w:val="24"/>
              </w:rPr>
              <w:t>1、总量控制因子</w:t>
            </w:r>
          </w:p>
          <w:p>
            <w:pPr>
              <w:keepNext w:val="0"/>
              <w:keepLines w:val="0"/>
              <w:suppressLineNumbers w:val="0"/>
              <w:overflowPunct w:val="0"/>
              <w:snapToGrid w:val="0"/>
              <w:spacing w:before="0" w:beforeAutospacing="0" w:after="0" w:afterAutospacing="0" w:line="360" w:lineRule="auto"/>
              <w:ind w:left="0" w:right="0" w:firstLine="480" w:firstLineChars="200"/>
              <w:rPr>
                <w:sz w:val="24"/>
              </w:rPr>
            </w:pPr>
            <w:r>
              <w:rPr>
                <w:sz w:val="24"/>
              </w:rPr>
              <w:t>《市政府办公室关于印发&lt;常州市建设项目主要污染物排放总量指标审核及管理实施细则&gt;的通知》（常政办发[2015]104号）等文件规定，结合本项目排污特征，确定本项目总量控制因子。</w:t>
            </w:r>
          </w:p>
          <w:p>
            <w:pPr>
              <w:keepNext w:val="0"/>
              <w:keepLines w:val="0"/>
              <w:suppressLineNumbers w:val="0"/>
              <w:overflowPunct w:val="0"/>
              <w:autoSpaceDE w:val="0"/>
              <w:snapToGrid w:val="0"/>
              <w:spacing w:before="0" w:beforeAutospacing="0" w:after="0" w:afterAutospacing="0" w:line="360" w:lineRule="auto"/>
              <w:ind w:left="0" w:right="0" w:firstLine="480" w:firstLineChars="200"/>
              <w:rPr>
                <w:color w:val="000000"/>
                <w:kern w:val="0"/>
                <w:sz w:val="24"/>
              </w:rPr>
            </w:pPr>
            <w:r>
              <w:rPr>
                <w:sz w:val="24"/>
              </w:rPr>
              <w:t>水污染物总量控制因子：COD、NH</w:t>
            </w:r>
            <w:r>
              <w:rPr>
                <w:sz w:val="24"/>
                <w:vertAlign w:val="subscript"/>
              </w:rPr>
              <w:t>3</w:t>
            </w:r>
            <w:r>
              <w:rPr>
                <w:sz w:val="24"/>
              </w:rPr>
              <w:t>-N、TN、TP</w:t>
            </w:r>
            <w:r>
              <w:rPr>
                <w:rFonts w:hint="eastAsia"/>
                <w:sz w:val="24"/>
              </w:rPr>
              <w:t>，</w:t>
            </w:r>
            <w:r>
              <w:rPr>
                <w:rFonts w:hint="eastAsia" w:ascii="宋体" w:hAnsi="宋体" w:cs="宋体"/>
                <w:color w:val="000000"/>
                <w:kern w:val="0"/>
                <w:sz w:val="24"/>
              </w:rPr>
              <w:t>总量考核因子：</w:t>
            </w:r>
            <w:r>
              <w:rPr>
                <w:color w:val="000000"/>
                <w:kern w:val="0"/>
                <w:sz w:val="24"/>
              </w:rPr>
              <w:t>SS</w:t>
            </w:r>
            <w:r>
              <w:rPr>
                <w:rFonts w:hint="eastAsia"/>
                <w:color w:val="000000"/>
                <w:kern w:val="0"/>
                <w:sz w:val="24"/>
              </w:rPr>
              <w:t>；</w:t>
            </w:r>
          </w:p>
          <w:p>
            <w:pPr>
              <w:keepNext w:val="0"/>
              <w:keepLines w:val="0"/>
              <w:suppressLineNumbers w:val="0"/>
              <w:overflowPunct w:val="0"/>
              <w:autoSpaceDE w:val="0"/>
              <w:snapToGrid w:val="0"/>
              <w:spacing w:before="0" w:beforeAutospacing="0" w:after="0" w:afterAutospacing="0" w:line="360" w:lineRule="auto"/>
              <w:ind w:left="0" w:right="0" w:firstLine="480" w:firstLineChars="200"/>
              <w:rPr>
                <w:sz w:val="24"/>
              </w:rPr>
            </w:pPr>
            <w:r>
              <w:rPr>
                <w:rFonts w:hint="eastAsia"/>
                <w:sz w:val="24"/>
              </w:rPr>
              <w:t>大气</w:t>
            </w:r>
            <w:r>
              <w:rPr>
                <w:sz w:val="24"/>
              </w:rPr>
              <w:t>污染物总量控制因子</w:t>
            </w:r>
            <w:r>
              <w:rPr>
                <w:rFonts w:hint="eastAsia"/>
                <w:sz w:val="24"/>
              </w:rPr>
              <w:t>：VOCs、颗粒物</w:t>
            </w:r>
            <w:r>
              <w:rPr>
                <w:sz w:val="24"/>
              </w:rPr>
              <w:t>。</w:t>
            </w:r>
          </w:p>
          <w:p>
            <w:pPr>
              <w:keepNext w:val="0"/>
              <w:keepLines w:val="0"/>
              <w:suppressLineNumbers w:val="0"/>
              <w:overflowPunct w:val="0"/>
              <w:autoSpaceDE w:val="0"/>
              <w:snapToGrid w:val="0"/>
              <w:spacing w:before="0" w:beforeAutospacing="0" w:after="0" w:afterAutospacing="0" w:line="360" w:lineRule="auto"/>
              <w:ind w:left="0" w:right="0" w:firstLine="482" w:firstLineChars="200"/>
              <w:rPr>
                <w:rFonts w:ascii="宋体" w:hAnsi="宋体"/>
                <w:b/>
                <w:bCs/>
                <w:sz w:val="24"/>
              </w:rPr>
            </w:pPr>
            <w:r>
              <w:rPr>
                <w:rFonts w:hint="eastAsia" w:ascii="宋体" w:hAnsi="宋体"/>
                <w:b/>
                <w:bCs/>
                <w:sz w:val="24"/>
              </w:rPr>
              <w:t>2、总量控制指标</w:t>
            </w:r>
          </w:p>
          <w:p>
            <w:pPr>
              <w:keepNext w:val="0"/>
              <w:keepLines w:val="0"/>
              <w:suppressLineNumbers w:val="0"/>
              <w:overflowPunct w:val="0"/>
              <w:autoSpaceDE w:val="0"/>
              <w:snapToGrid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本项目建成后污染物总量控制指标及来源途径见下表：</w:t>
            </w:r>
          </w:p>
          <w:p>
            <w:pPr>
              <w:keepNext w:val="0"/>
              <w:keepLines w:val="0"/>
              <w:suppressLineNumbers w:val="0"/>
              <w:adjustRightInd w:val="0"/>
              <w:snapToGrid w:val="0"/>
              <w:spacing w:before="0" w:beforeAutospacing="0" w:after="0" w:afterAutospacing="0"/>
              <w:ind w:left="0" w:right="0"/>
              <w:jc w:val="center"/>
              <w:rPr>
                <w:rFonts w:hint="eastAsia" w:eastAsia="宋体"/>
                <w:b/>
                <w:bCs/>
                <w:sz w:val="24"/>
                <w:lang w:eastAsia="zh-CN"/>
              </w:rPr>
            </w:pPr>
            <w:r>
              <w:rPr>
                <w:b/>
                <w:bCs/>
                <w:sz w:val="24"/>
              </w:rPr>
              <w:t>表</w:t>
            </w:r>
            <w:r>
              <w:rPr>
                <w:rFonts w:hint="eastAsia"/>
                <w:b/>
                <w:bCs/>
                <w:sz w:val="24"/>
              </w:rPr>
              <w:t xml:space="preserve">3-12 </w:t>
            </w:r>
            <w:r>
              <w:rPr>
                <w:b/>
                <w:bCs/>
                <w:sz w:val="24"/>
              </w:rPr>
              <w:t>全厂污染物排放情况一览表</w:t>
            </w:r>
            <w:r>
              <w:rPr>
                <w:rFonts w:hint="eastAsia"/>
                <w:b/>
                <w:bCs/>
                <w:sz w:val="24"/>
                <w:lang w:eastAsia="zh-CN"/>
              </w:rPr>
              <w:t>（</w:t>
            </w:r>
            <w:r>
              <w:rPr>
                <w:b/>
                <w:bCs/>
                <w:sz w:val="24"/>
              </w:rPr>
              <w:t>t/a</w:t>
            </w:r>
            <w:r>
              <w:rPr>
                <w:rFonts w:hint="eastAsia"/>
                <w:b/>
                <w:bCs/>
                <w:sz w:val="24"/>
                <w:lang w:eastAsia="zh-CN"/>
              </w:rPr>
              <w:t>）</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753"/>
              <w:gridCol w:w="836"/>
              <w:gridCol w:w="1109"/>
              <w:gridCol w:w="1109"/>
              <w:gridCol w:w="899"/>
              <w:gridCol w:w="828"/>
              <w:gridCol w:w="899"/>
              <w:gridCol w:w="10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54"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b/>
                      <w:bCs/>
                      <w:szCs w:val="21"/>
                    </w:rPr>
                    <w:t>种类</w:t>
                  </w:r>
                </w:p>
              </w:tc>
              <w:tc>
                <w:tcPr>
                  <w:tcW w:w="497"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b/>
                      <w:bCs/>
                      <w:szCs w:val="21"/>
                    </w:rPr>
                    <w:t>污染物名称</w:t>
                  </w:r>
                </w:p>
              </w:tc>
              <w:tc>
                <w:tcPr>
                  <w:tcW w:w="549"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rFonts w:hint="eastAsia"/>
                      <w:b/>
                      <w:bCs/>
                      <w:szCs w:val="21"/>
                    </w:rPr>
                    <w:t>原有项目批复排放量</w:t>
                  </w:r>
                </w:p>
              </w:tc>
              <w:tc>
                <w:tcPr>
                  <w:tcW w:w="1938" w:type="pct"/>
                  <w:gridSpan w:val="3"/>
                  <w:vAlign w:val="center"/>
                </w:tcPr>
                <w:p>
                  <w:pPr>
                    <w:keepNext w:val="0"/>
                    <w:keepLines w:val="0"/>
                    <w:widowControl/>
                    <w:suppressLineNumbers w:val="0"/>
                    <w:spacing w:before="0" w:beforeAutospacing="0" w:after="0" w:afterAutospacing="0"/>
                    <w:ind w:left="0" w:right="0"/>
                    <w:jc w:val="center"/>
                    <w:rPr>
                      <w:b/>
                      <w:bCs/>
                      <w:szCs w:val="21"/>
                    </w:rPr>
                  </w:pPr>
                  <w:r>
                    <w:rPr>
                      <w:rFonts w:hint="eastAsia"/>
                      <w:b/>
                      <w:bCs/>
                      <w:szCs w:val="21"/>
                    </w:rPr>
                    <w:t>本项目排放量</w:t>
                  </w:r>
                </w:p>
              </w:tc>
              <w:tc>
                <w:tcPr>
                  <w:tcW w:w="544"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rFonts w:hint="eastAsia"/>
                      <w:b/>
                      <w:bCs/>
                      <w:szCs w:val="21"/>
                    </w:rPr>
                    <w:t>以新带老削减量</w:t>
                  </w:r>
                </w:p>
              </w:tc>
              <w:tc>
                <w:tcPr>
                  <w:tcW w:w="544"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rFonts w:hint="eastAsia"/>
                      <w:b/>
                      <w:bCs/>
                      <w:szCs w:val="21"/>
                    </w:rPr>
                    <w:t>全厂排放量</w:t>
                  </w:r>
                </w:p>
              </w:tc>
              <w:tc>
                <w:tcPr>
                  <w:tcW w:w="572" w:type="pct"/>
                  <w:vMerge w:val="restart"/>
                  <w:vAlign w:val="center"/>
                </w:tcPr>
                <w:p>
                  <w:pPr>
                    <w:keepNext w:val="0"/>
                    <w:keepLines w:val="0"/>
                    <w:widowControl/>
                    <w:suppressLineNumbers w:val="0"/>
                    <w:spacing w:before="0" w:beforeAutospacing="0" w:after="0" w:afterAutospacing="0"/>
                    <w:ind w:left="0" w:right="0"/>
                    <w:jc w:val="center"/>
                    <w:rPr>
                      <w:b/>
                      <w:bCs/>
                      <w:szCs w:val="21"/>
                    </w:rPr>
                  </w:pPr>
                  <w:r>
                    <w:rPr>
                      <w:rFonts w:hint="eastAsia"/>
                      <w:b/>
                      <w:bCs/>
                      <w:szCs w:val="21"/>
                    </w:rPr>
                    <w:t>全厂增减量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c>
                <w:tcPr>
                  <w:tcW w:w="497"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c>
                <w:tcPr>
                  <w:tcW w:w="549"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c>
                <w:tcPr>
                  <w:tcW w:w="695" w:type="pct"/>
                  <w:vAlign w:val="center"/>
                </w:tcPr>
                <w:p>
                  <w:pPr>
                    <w:keepNext w:val="0"/>
                    <w:keepLines w:val="0"/>
                    <w:widowControl/>
                    <w:suppressLineNumbers w:val="0"/>
                    <w:spacing w:before="0" w:beforeAutospacing="0" w:after="0" w:afterAutospacing="0"/>
                    <w:ind w:left="0" w:right="0"/>
                    <w:jc w:val="center"/>
                    <w:rPr>
                      <w:b/>
                      <w:bCs/>
                      <w:szCs w:val="21"/>
                    </w:rPr>
                  </w:pPr>
                  <w:r>
                    <w:rPr>
                      <w:b/>
                      <w:bCs/>
                      <w:szCs w:val="21"/>
                    </w:rPr>
                    <w:t>产生量</w:t>
                  </w:r>
                </w:p>
              </w:tc>
              <w:tc>
                <w:tcPr>
                  <w:tcW w:w="695" w:type="pct"/>
                  <w:vAlign w:val="center"/>
                </w:tcPr>
                <w:p>
                  <w:pPr>
                    <w:keepNext w:val="0"/>
                    <w:keepLines w:val="0"/>
                    <w:widowControl/>
                    <w:suppressLineNumbers w:val="0"/>
                    <w:spacing w:before="0" w:beforeAutospacing="0" w:after="0" w:afterAutospacing="0"/>
                    <w:ind w:left="0" w:right="0"/>
                    <w:jc w:val="center"/>
                    <w:rPr>
                      <w:b/>
                      <w:bCs/>
                      <w:szCs w:val="21"/>
                    </w:rPr>
                  </w:pPr>
                  <w:r>
                    <w:rPr>
                      <w:b/>
                      <w:bCs/>
                      <w:szCs w:val="21"/>
                    </w:rPr>
                    <w:t>削减量</w:t>
                  </w:r>
                </w:p>
              </w:tc>
              <w:tc>
                <w:tcPr>
                  <w:tcW w:w="547" w:type="pct"/>
                  <w:vAlign w:val="center"/>
                </w:tcPr>
                <w:p>
                  <w:pPr>
                    <w:keepNext w:val="0"/>
                    <w:keepLines w:val="0"/>
                    <w:widowControl/>
                    <w:suppressLineNumbers w:val="0"/>
                    <w:spacing w:before="0" w:beforeAutospacing="0" w:after="0" w:afterAutospacing="0"/>
                    <w:ind w:left="0" w:right="0"/>
                    <w:jc w:val="center"/>
                    <w:rPr>
                      <w:b/>
                      <w:bCs/>
                      <w:szCs w:val="21"/>
                    </w:rPr>
                  </w:pPr>
                  <w:r>
                    <w:rPr>
                      <w:b/>
                      <w:bCs/>
                      <w:szCs w:val="21"/>
                    </w:rPr>
                    <w:t>排放量</w:t>
                  </w:r>
                </w:p>
              </w:tc>
              <w:tc>
                <w:tcPr>
                  <w:tcW w:w="544"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c>
                <w:tcPr>
                  <w:tcW w:w="544"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c>
                <w:tcPr>
                  <w:tcW w:w="572" w:type="pct"/>
                  <w:vMerge w:val="continue"/>
                  <w:vAlign w:val="center"/>
                </w:tcPr>
                <w:p>
                  <w:pPr>
                    <w:keepNext w:val="0"/>
                    <w:keepLines w:val="0"/>
                    <w:widowControl/>
                    <w:suppressLineNumbers w:val="0"/>
                    <w:spacing w:before="0" w:beforeAutospacing="0" w:after="0" w:afterAutospacing="0"/>
                    <w:ind w:left="0" w:right="0"/>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restart"/>
                  <w:vAlign w:val="center"/>
                </w:tcPr>
                <w:p>
                  <w:pPr>
                    <w:keepNext w:val="0"/>
                    <w:keepLines w:val="0"/>
                    <w:widowControl/>
                    <w:suppressLineNumbers w:val="0"/>
                    <w:spacing w:before="0" w:beforeAutospacing="0" w:after="0" w:afterAutospacing="0"/>
                    <w:ind w:left="0" w:right="0"/>
                    <w:jc w:val="center"/>
                    <w:rPr>
                      <w:bCs/>
                      <w:szCs w:val="21"/>
                    </w:rPr>
                  </w:pPr>
                  <w:r>
                    <w:rPr>
                      <w:bCs/>
                      <w:szCs w:val="21"/>
                    </w:rPr>
                    <w:t>废水</w:t>
                  </w: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水量</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960</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3456</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3456</w:t>
                  </w:r>
                </w:p>
              </w:tc>
              <w:tc>
                <w:tcPr>
                  <w:tcW w:w="544"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960</w:t>
                  </w:r>
                </w:p>
              </w:tc>
              <w:tc>
                <w:tcPr>
                  <w:tcW w:w="863"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3456</w:t>
                  </w:r>
                </w:p>
              </w:tc>
              <w:tc>
                <w:tcPr>
                  <w:tcW w:w="572"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w:t>
                  </w:r>
                  <w:r>
                    <w:rPr>
                      <w:rFonts w:hint="eastAsia"/>
                      <w:szCs w:val="21"/>
                      <w:lang w:val="en-US" w:eastAsia="zh-CN"/>
                    </w:rPr>
                    <w:t>2496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COD</w:t>
                  </w:r>
                </w:p>
              </w:tc>
              <w:tc>
                <w:tcPr>
                  <w:tcW w:w="549"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.38</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1.</w:t>
                  </w:r>
                  <w:r>
                    <w:rPr>
                      <w:rFonts w:hint="eastAsia"/>
                      <w:lang w:val="en-US" w:eastAsia="zh-CN"/>
                    </w:rPr>
                    <w:t>382</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1.</w:t>
                  </w:r>
                  <w:r>
                    <w:rPr>
                      <w:rFonts w:hint="eastAsia"/>
                      <w:lang w:val="en-US" w:eastAsia="zh-CN"/>
                    </w:rPr>
                    <w:t>382</w:t>
                  </w:r>
                </w:p>
              </w:tc>
              <w:tc>
                <w:tcPr>
                  <w:tcW w:w="544" w:type="pct"/>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.38</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1.</w:t>
                  </w:r>
                  <w:r>
                    <w:rPr>
                      <w:rFonts w:hint="eastAsia"/>
                      <w:lang w:val="en-US" w:eastAsia="zh-CN"/>
                    </w:rPr>
                    <w:t>382</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w:t>
                  </w:r>
                  <w:r>
                    <w:rPr>
                      <w:rFonts w:hint="eastAsia"/>
                      <w:lang w:val="en-US" w:eastAsia="zh-CN"/>
                    </w:rPr>
                    <w:t>0.887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SS</w:t>
                  </w:r>
                </w:p>
              </w:tc>
              <w:tc>
                <w:tcPr>
                  <w:tcW w:w="549"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.3</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lang w:val="en-US" w:eastAsia="zh-CN"/>
                    </w:rPr>
                    <w:t>1.037</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1.037</w:t>
                  </w:r>
                </w:p>
              </w:tc>
              <w:tc>
                <w:tcPr>
                  <w:tcW w:w="544" w:type="pct"/>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.3</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1.037</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737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氨氮</w:t>
                  </w:r>
                </w:p>
              </w:tc>
              <w:tc>
                <w:tcPr>
                  <w:tcW w:w="549"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.03</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t>0.</w:t>
                  </w:r>
                  <w:r>
                    <w:rPr>
                      <w:rFonts w:hint="eastAsia"/>
                      <w:lang w:val="en-US" w:eastAsia="zh-CN"/>
                    </w:rPr>
                    <w:t>0864</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0864</w:t>
                  </w:r>
                </w:p>
              </w:tc>
              <w:tc>
                <w:tcPr>
                  <w:tcW w:w="544" w:type="pct"/>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.03</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0864</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w:t>
                  </w:r>
                  <w:r>
                    <w:t>0.0</w:t>
                  </w:r>
                  <w:r>
                    <w:rPr>
                      <w:rFonts w:hint="eastAsia"/>
                      <w:lang w:val="en-US" w:eastAsia="zh-CN"/>
                    </w:rPr>
                    <w:t>564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TP</w:t>
                  </w:r>
                </w:p>
              </w:tc>
              <w:tc>
                <w:tcPr>
                  <w:tcW w:w="549"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.005</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t>0.0</w:t>
                  </w:r>
                  <w:r>
                    <w:rPr>
                      <w:rFonts w:hint="eastAsia"/>
                      <w:lang w:val="en-US" w:eastAsia="zh-CN"/>
                    </w:rPr>
                    <w:t>1728</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pPr>
                  <w:r>
                    <w:t>0.0</w:t>
                  </w:r>
                  <w:r>
                    <w:rPr>
                      <w:rFonts w:hint="eastAsia"/>
                      <w:lang w:val="en-US" w:eastAsia="zh-CN"/>
                    </w:rPr>
                    <w:t>1728</w:t>
                  </w:r>
                </w:p>
              </w:tc>
              <w:tc>
                <w:tcPr>
                  <w:tcW w:w="544" w:type="pct"/>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.005</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t>0.0</w:t>
                  </w:r>
                  <w:r>
                    <w:rPr>
                      <w:rFonts w:hint="eastAsia"/>
                      <w:lang w:val="en-US" w:eastAsia="zh-CN"/>
                    </w:rPr>
                    <w:t>1728</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w:t>
                  </w:r>
                  <w:r>
                    <w:t>0.0</w:t>
                  </w:r>
                  <w:r>
                    <w:rPr>
                      <w:rFonts w:hint="eastAsia"/>
                    </w:rPr>
                    <w:t>1</w:t>
                  </w:r>
                  <w:r>
                    <w:rPr>
                      <w:rFonts w:hint="eastAsia"/>
                      <w:lang w:val="en-US" w:eastAsia="zh-CN"/>
                    </w:rPr>
                    <w:t>228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T</w:t>
                  </w:r>
                  <w:r>
                    <w:rPr>
                      <w:rFonts w:hint="eastAsia"/>
                      <w:szCs w:val="21"/>
                    </w:rPr>
                    <w:t>N</w:t>
                  </w:r>
                </w:p>
              </w:tc>
              <w:tc>
                <w:tcPr>
                  <w:tcW w:w="549" w:type="pct"/>
                  <w:vAlign w:val="center"/>
                </w:tcPr>
                <w:p>
                  <w:pPr>
                    <w:keepNext w:val="0"/>
                    <w:keepLines w:val="0"/>
                    <w:suppressLineNumbers w:val="0"/>
                    <w:adjustRightInd w:val="0"/>
                    <w:snapToGrid w:val="0"/>
                    <w:spacing w:before="0" w:beforeAutospacing="0" w:after="0" w:afterAutospacing="0"/>
                    <w:ind w:left="0" w:right="0"/>
                    <w:jc w:val="center"/>
                  </w:pPr>
                  <w:r>
                    <w:rPr>
                      <w:rFonts w:hint="eastAsia"/>
                    </w:rPr>
                    <w:t>0</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t>0.</w:t>
                  </w:r>
                  <w:r>
                    <w:rPr>
                      <w:rFonts w:hint="eastAsia"/>
                      <w:lang w:val="en-US" w:eastAsia="zh-CN"/>
                    </w:rPr>
                    <w:t>1728</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1728</w:t>
                  </w:r>
                </w:p>
              </w:tc>
              <w:tc>
                <w:tcPr>
                  <w:tcW w:w="544" w:type="pct"/>
                  <w:vAlign w:val="center"/>
                </w:tcPr>
                <w:p>
                  <w:pPr>
                    <w:keepNext w:val="0"/>
                    <w:keepLines w:val="0"/>
                    <w:suppressLineNumbers w:val="0"/>
                    <w:adjustRightInd w:val="0"/>
                    <w:snapToGrid w:val="0"/>
                    <w:spacing w:before="0" w:beforeAutospacing="0" w:after="0" w:afterAutospacing="0"/>
                    <w:ind w:left="0" w:right="0"/>
                    <w:jc w:val="center"/>
                  </w:pPr>
                  <w:r>
                    <w:rPr>
                      <w:rFonts w:hint="eastAsia"/>
                    </w:rPr>
                    <w:t>0</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1728</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w:t>
                  </w:r>
                  <w:r>
                    <w:t>0.</w:t>
                  </w:r>
                  <w:r>
                    <w:rPr>
                      <w:rFonts w:hint="eastAsia"/>
                    </w:rPr>
                    <w:t>1</w:t>
                  </w:r>
                  <w:r>
                    <w:rPr>
                      <w:rFonts w:hint="eastAsia"/>
                      <w:lang w:val="en-US" w:eastAsia="zh-CN"/>
                    </w:rPr>
                    <w:t>728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动植物油</w:t>
                  </w:r>
                </w:p>
              </w:tc>
              <w:tc>
                <w:tcPr>
                  <w:tcW w:w="549" w:type="pct"/>
                  <w:vAlign w:val="center"/>
                </w:tcPr>
                <w:p>
                  <w:pPr>
                    <w:keepNext w:val="0"/>
                    <w:keepLines w:val="0"/>
                    <w:suppressLineNumbers w:val="0"/>
                    <w:adjustRightInd w:val="0"/>
                    <w:snapToGrid w:val="0"/>
                    <w:spacing w:before="0" w:beforeAutospacing="0" w:after="0" w:afterAutospacing="0"/>
                    <w:ind w:left="0" w:right="0"/>
                    <w:jc w:val="center"/>
                  </w:pPr>
                  <w:r>
                    <w:rPr>
                      <w:rFonts w:hint="eastAsia"/>
                    </w:rPr>
                    <w:t>0</w:t>
                  </w:r>
                </w:p>
              </w:tc>
              <w:tc>
                <w:tcPr>
                  <w:tcW w:w="695"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46</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0.0</w:t>
                  </w:r>
                  <w:r>
                    <w:rPr>
                      <w:rFonts w:hint="eastAsia"/>
                      <w:szCs w:val="21"/>
                      <w:lang w:val="en-US" w:eastAsia="zh-CN"/>
                    </w:rPr>
                    <w:t>23</w:t>
                  </w:r>
                </w:p>
              </w:tc>
              <w:tc>
                <w:tcPr>
                  <w:tcW w:w="87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lang w:val="en-US"/>
                    </w:rPr>
                  </w:pPr>
                  <w:r>
                    <w:rPr>
                      <w:rFonts w:hint="eastAsia"/>
                    </w:rPr>
                    <w:t>0.0</w:t>
                  </w:r>
                  <w:r>
                    <w:rPr>
                      <w:rFonts w:hint="eastAsia"/>
                      <w:lang w:val="en-US" w:eastAsia="zh-CN"/>
                    </w:rPr>
                    <w:t>23</w:t>
                  </w:r>
                </w:p>
              </w:tc>
              <w:tc>
                <w:tcPr>
                  <w:tcW w:w="544" w:type="pct"/>
                  <w:vAlign w:val="center"/>
                </w:tcPr>
                <w:p>
                  <w:pPr>
                    <w:keepNext w:val="0"/>
                    <w:keepLines w:val="0"/>
                    <w:suppressLineNumbers w:val="0"/>
                    <w:adjustRightInd w:val="0"/>
                    <w:snapToGrid w:val="0"/>
                    <w:spacing w:before="0" w:beforeAutospacing="0" w:after="0" w:afterAutospacing="0"/>
                    <w:ind w:left="0" w:right="0"/>
                    <w:jc w:val="center"/>
                  </w:pPr>
                  <w:r>
                    <w:rPr>
                      <w:rFonts w:hint="eastAsia"/>
                    </w:rPr>
                    <w:t>0</w:t>
                  </w:r>
                </w:p>
              </w:tc>
              <w:tc>
                <w:tcPr>
                  <w:tcW w:w="863"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w:t>
                  </w:r>
                  <w:r>
                    <w:rPr>
                      <w:rFonts w:hint="eastAsia"/>
                      <w:lang w:val="en-US" w:eastAsia="zh-CN"/>
                    </w:rPr>
                    <w:t>23</w:t>
                  </w:r>
                </w:p>
              </w:tc>
              <w:tc>
                <w:tcPr>
                  <w:tcW w:w="57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restart"/>
                  <w:vAlign w:val="center"/>
                </w:tcPr>
                <w:p>
                  <w:pPr>
                    <w:keepNext w:val="0"/>
                    <w:keepLines w:val="0"/>
                    <w:widowControl/>
                    <w:suppressLineNumbers w:val="0"/>
                    <w:spacing w:before="0" w:beforeAutospacing="0" w:after="0" w:afterAutospacing="0"/>
                    <w:ind w:left="0" w:right="0"/>
                    <w:jc w:val="center"/>
                    <w:rPr>
                      <w:bCs/>
                      <w:szCs w:val="21"/>
                    </w:rPr>
                  </w:pPr>
                  <w:r>
                    <w:rPr>
                      <w:bCs/>
                      <w:szCs w:val="21"/>
                    </w:rPr>
                    <w:t>废气</w:t>
                  </w:r>
                </w:p>
              </w:tc>
              <w:tc>
                <w:tcPr>
                  <w:tcW w:w="49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VOCs</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5562</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4452</w:t>
                  </w:r>
                </w:p>
              </w:tc>
              <w:tc>
                <w:tcPr>
                  <w:tcW w:w="547"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111</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111</w:t>
                  </w:r>
                </w:p>
              </w:tc>
              <w:tc>
                <w:tcPr>
                  <w:tcW w:w="572"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111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颗粒物</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0.216</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4.9</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4.802</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0.098</w:t>
                  </w:r>
                </w:p>
              </w:tc>
              <w:tc>
                <w:tcPr>
                  <w:tcW w:w="544" w:type="pct"/>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0.216</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0.098</w:t>
                  </w:r>
                </w:p>
              </w:tc>
              <w:tc>
                <w:tcPr>
                  <w:tcW w:w="572"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-0.118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vertAlign w:val="subscript"/>
                    </w:rPr>
                  </w:pPr>
                  <w:r>
                    <w:rPr>
                      <w:rFonts w:hint="eastAsia"/>
                      <w:szCs w:val="21"/>
                    </w:rPr>
                    <w:t>NO</w:t>
                  </w:r>
                  <w:r>
                    <w:rPr>
                      <w:rFonts w:hint="eastAsia"/>
                      <w:szCs w:val="21"/>
                      <w:vertAlign w:val="subscript"/>
                    </w:rPr>
                    <w:t>X</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0.19</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0.19</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1017"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w:t>
                  </w:r>
                  <w:r>
                    <w:rPr>
                      <w:rFonts w:hint="eastAsia"/>
                      <w:szCs w:val="21"/>
                    </w:rPr>
                    <w:t>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vertAlign w:val="subscript"/>
                    </w:rPr>
                  </w:pPr>
                  <w:r>
                    <w:rPr>
                      <w:rFonts w:hint="eastAsia"/>
                      <w:szCs w:val="21"/>
                    </w:rPr>
                    <w:t>SO</w:t>
                  </w:r>
                  <w:r>
                    <w:rPr>
                      <w:rFonts w:hint="eastAsia"/>
                      <w:szCs w:val="21"/>
                      <w:vertAlign w:val="subscript"/>
                    </w:rPr>
                    <w:t>2</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0.04</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0.04</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1017"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w:t>
                  </w:r>
                  <w:r>
                    <w:rPr>
                      <w:rFonts w:hint="eastAsia"/>
                      <w:szCs w:val="21"/>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4" w:type="pct"/>
                  <w:vMerge w:val="restart"/>
                  <w:vAlign w:val="center"/>
                </w:tcPr>
                <w:p>
                  <w:pPr>
                    <w:keepNext w:val="0"/>
                    <w:keepLines w:val="0"/>
                    <w:widowControl/>
                    <w:suppressLineNumbers w:val="0"/>
                    <w:spacing w:before="0" w:beforeAutospacing="0" w:after="0" w:afterAutospacing="0"/>
                    <w:ind w:left="0" w:right="0"/>
                    <w:jc w:val="center"/>
                    <w:rPr>
                      <w:bCs/>
                      <w:szCs w:val="21"/>
                    </w:rPr>
                  </w:pPr>
                  <w:r>
                    <w:rPr>
                      <w:bCs/>
                      <w:szCs w:val="21"/>
                    </w:rPr>
                    <w:t>固废</w:t>
                  </w: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一般固废</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1</w:t>
                  </w:r>
                  <w:r>
                    <w:rPr>
                      <w:rFonts w:hint="eastAsia"/>
                      <w:szCs w:val="21"/>
                      <w:lang w:val="en-US" w:eastAsia="zh-CN"/>
                    </w:rPr>
                    <w:t>240.0834</w:t>
                  </w:r>
                </w:p>
              </w:tc>
              <w:tc>
                <w:tcPr>
                  <w:tcW w:w="1109"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1</w:t>
                  </w:r>
                  <w:r>
                    <w:rPr>
                      <w:rFonts w:hint="eastAsia"/>
                      <w:szCs w:val="21"/>
                      <w:lang w:val="en-US" w:eastAsia="zh-CN"/>
                    </w:rPr>
                    <w:t>240.0834</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危险固废</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9.7</w:t>
                  </w:r>
                </w:p>
              </w:tc>
              <w:tc>
                <w:tcPr>
                  <w:tcW w:w="695" w:type="pct"/>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9.7</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4" w:type="pct"/>
                  <w:vMerge w:val="continue"/>
                  <w:vAlign w:val="center"/>
                </w:tcPr>
                <w:p>
                  <w:pPr>
                    <w:keepNext w:val="0"/>
                    <w:keepLines w:val="0"/>
                    <w:widowControl/>
                    <w:suppressLineNumbers w:val="0"/>
                    <w:spacing w:before="0" w:beforeAutospacing="0" w:after="0" w:afterAutospacing="0"/>
                    <w:ind w:left="0" w:right="0"/>
                    <w:jc w:val="center"/>
                    <w:rPr>
                      <w:bCs/>
                      <w:szCs w:val="21"/>
                    </w:rPr>
                  </w:pPr>
                </w:p>
              </w:tc>
              <w:tc>
                <w:tcPr>
                  <w:tcW w:w="497" w:type="pct"/>
                  <w:vAlign w:val="center"/>
                </w:tcPr>
                <w:p>
                  <w:pPr>
                    <w:keepNext w:val="0"/>
                    <w:keepLines w:val="0"/>
                    <w:suppressLineNumbers w:val="0"/>
                    <w:spacing w:before="0" w:beforeAutospacing="0" w:after="0" w:afterAutospacing="0"/>
                    <w:ind w:left="0" w:right="0"/>
                    <w:jc w:val="center"/>
                    <w:rPr>
                      <w:szCs w:val="21"/>
                    </w:rPr>
                  </w:pPr>
                  <w:r>
                    <w:rPr>
                      <w:szCs w:val="21"/>
                    </w:rPr>
                    <w:t>生活垃圾</w:t>
                  </w:r>
                </w:p>
              </w:tc>
              <w:tc>
                <w:tcPr>
                  <w:tcW w:w="549"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36</w:t>
                  </w:r>
                </w:p>
              </w:tc>
              <w:tc>
                <w:tcPr>
                  <w:tcW w:w="695"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36</w:t>
                  </w:r>
                </w:p>
              </w:tc>
              <w:tc>
                <w:tcPr>
                  <w:tcW w:w="547"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44"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c>
                <w:tcPr>
                  <w:tcW w:w="5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0</w:t>
                  </w:r>
                </w:p>
              </w:tc>
            </w:tr>
          </w:tbl>
          <w:p>
            <w:pPr>
              <w:keepNext w:val="0"/>
              <w:keepLines w:val="0"/>
              <w:suppressLineNumbers w:val="0"/>
              <w:overflowPunct w:val="0"/>
              <w:autoSpaceDE w:val="0"/>
              <w:snapToGrid w:val="0"/>
              <w:spacing w:before="0" w:beforeAutospacing="0" w:after="0" w:afterAutospacing="0" w:line="360" w:lineRule="auto"/>
              <w:ind w:left="0" w:right="0" w:firstLine="482" w:firstLineChars="200"/>
              <w:rPr>
                <w:rFonts w:ascii="宋体" w:hAnsi="宋体"/>
                <w:b/>
                <w:bCs/>
                <w:sz w:val="24"/>
              </w:rPr>
            </w:pPr>
            <w:r>
              <w:rPr>
                <w:b/>
                <w:bCs/>
                <w:sz w:val="24"/>
              </w:rPr>
              <w:t>2、总</w:t>
            </w:r>
            <w:r>
              <w:rPr>
                <w:rFonts w:hint="eastAsia" w:ascii="宋体" w:hAnsi="宋体"/>
                <w:b/>
                <w:bCs/>
                <w:sz w:val="24"/>
              </w:rPr>
              <w:t>量平衡方案</w:t>
            </w:r>
          </w:p>
          <w:p>
            <w:pPr>
              <w:keepNext w:val="0"/>
              <w:keepLines w:val="0"/>
              <w:suppressLineNumbers w:val="0"/>
              <w:overflowPunct w:val="0"/>
              <w:autoSpaceDE w:val="0"/>
              <w:snapToGrid w:val="0"/>
              <w:spacing w:before="0" w:beforeAutospacing="0" w:after="0" w:afterAutospacing="0" w:line="360" w:lineRule="auto"/>
              <w:ind w:left="0" w:right="0" w:firstLine="480" w:firstLineChars="200"/>
              <w:rPr>
                <w:sz w:val="24"/>
              </w:rPr>
            </w:pPr>
            <w:r>
              <w:rPr>
                <w:sz w:val="24"/>
              </w:rPr>
              <w:t>废水：</w:t>
            </w:r>
            <w:r>
              <w:rPr>
                <w:rFonts w:hint="eastAsia"/>
                <w:sz w:val="24"/>
              </w:rPr>
              <w:t>水污染物：本项目污水水量3</w:t>
            </w:r>
            <w:r>
              <w:rPr>
                <w:rFonts w:hint="eastAsia"/>
                <w:sz w:val="24"/>
                <w:lang w:val="en-US" w:eastAsia="zh-CN"/>
              </w:rPr>
              <w:t>456</w:t>
            </w:r>
            <w:r>
              <w:rPr>
                <w:rFonts w:hint="eastAsia"/>
                <w:sz w:val="24"/>
              </w:rPr>
              <w:t xml:space="preserve">t/a，COD </w:t>
            </w:r>
            <w:r>
              <w:rPr>
                <w:rFonts w:hint="eastAsia"/>
                <w:sz w:val="24"/>
                <w:lang w:val="en-US" w:eastAsia="zh-CN"/>
              </w:rPr>
              <w:t>1.382</w:t>
            </w:r>
            <w:r>
              <w:rPr>
                <w:rFonts w:hint="eastAsia"/>
                <w:sz w:val="24"/>
              </w:rPr>
              <w:t xml:space="preserve">t/a、SS </w:t>
            </w:r>
            <w:r>
              <w:rPr>
                <w:rFonts w:hint="eastAsia"/>
                <w:sz w:val="24"/>
                <w:lang w:val="en-US" w:eastAsia="zh-CN"/>
              </w:rPr>
              <w:t>1.037</w:t>
            </w:r>
            <w:r>
              <w:rPr>
                <w:rFonts w:hint="eastAsia"/>
                <w:sz w:val="24"/>
              </w:rPr>
              <w:t>t/a、TN 0.</w:t>
            </w:r>
            <w:r>
              <w:rPr>
                <w:rFonts w:hint="eastAsia"/>
                <w:sz w:val="24"/>
                <w:lang w:val="en-US" w:eastAsia="zh-CN"/>
              </w:rPr>
              <w:t>1728</w:t>
            </w:r>
            <w:r>
              <w:rPr>
                <w:rFonts w:hint="eastAsia"/>
                <w:sz w:val="24"/>
              </w:rPr>
              <w:t>t/a、NH</w:t>
            </w:r>
            <w:r>
              <w:rPr>
                <w:rFonts w:hint="eastAsia"/>
                <w:sz w:val="24"/>
                <w:vertAlign w:val="subscript"/>
              </w:rPr>
              <w:t>3</w:t>
            </w:r>
            <w:r>
              <w:rPr>
                <w:rFonts w:hint="eastAsia"/>
                <w:sz w:val="24"/>
              </w:rPr>
              <w:t>-N 0.0</w:t>
            </w:r>
            <w:r>
              <w:rPr>
                <w:rFonts w:hint="eastAsia"/>
                <w:sz w:val="24"/>
                <w:lang w:val="en-US" w:eastAsia="zh-CN"/>
              </w:rPr>
              <w:t>864</w:t>
            </w:r>
            <w:r>
              <w:rPr>
                <w:rFonts w:hint="eastAsia"/>
                <w:sz w:val="24"/>
              </w:rPr>
              <w:t>t/a、TP 0.0</w:t>
            </w:r>
            <w:r>
              <w:rPr>
                <w:rFonts w:hint="eastAsia"/>
                <w:sz w:val="24"/>
                <w:lang w:val="en-US" w:eastAsia="zh-CN"/>
              </w:rPr>
              <w:t>1728</w:t>
            </w:r>
            <w:r>
              <w:rPr>
                <w:rFonts w:hint="eastAsia"/>
                <w:sz w:val="24"/>
              </w:rPr>
              <w:t>t/a、动植物油 0.0</w:t>
            </w:r>
            <w:r>
              <w:rPr>
                <w:rFonts w:hint="eastAsia"/>
                <w:sz w:val="24"/>
                <w:lang w:val="en-US" w:eastAsia="zh-CN"/>
              </w:rPr>
              <w:t>23</w:t>
            </w:r>
            <w:r>
              <w:rPr>
                <w:rFonts w:hint="eastAsia"/>
                <w:sz w:val="24"/>
              </w:rPr>
              <w:t>t/a，接入污水管网，排入武南污水处理厂集中处理，污染物总量在污水处理厂内平衡。</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废气：</w:t>
            </w:r>
            <w:r>
              <w:rPr>
                <w:rFonts w:hint="eastAsia" w:ascii="宋体" w:hAnsi="宋体"/>
                <w:sz w:val="24"/>
              </w:rPr>
              <w:t>项目排放</w:t>
            </w:r>
            <w:r>
              <w:rPr>
                <w:sz w:val="24"/>
              </w:rPr>
              <w:t>VOCs</w:t>
            </w:r>
            <w:r>
              <w:rPr>
                <w:rFonts w:hint="eastAsia"/>
                <w:sz w:val="24"/>
              </w:rPr>
              <w:t xml:space="preserve"> </w:t>
            </w:r>
            <w:r>
              <w:rPr>
                <w:sz w:val="24"/>
              </w:rPr>
              <w:t>0.</w:t>
            </w:r>
            <w:r>
              <w:rPr>
                <w:rFonts w:hint="eastAsia"/>
                <w:sz w:val="24"/>
                <w:lang w:val="en-US" w:eastAsia="zh-CN"/>
              </w:rPr>
              <w:t>111</w:t>
            </w:r>
            <w:r>
              <w:rPr>
                <w:sz w:val="24"/>
              </w:rPr>
              <w:t>t/a</w:t>
            </w:r>
            <w:r>
              <w:rPr>
                <w:rFonts w:hint="eastAsia"/>
                <w:sz w:val="24"/>
              </w:rPr>
              <w:t>、颗粒物0.098t/a</w:t>
            </w:r>
            <w:r>
              <w:rPr>
                <w:sz w:val="24"/>
              </w:rPr>
              <w:t>，根据《市政</w:t>
            </w:r>
            <w:r>
              <w:rPr>
                <w:rFonts w:hint="eastAsia" w:ascii="宋体" w:hAnsi="宋体"/>
                <w:sz w:val="24"/>
              </w:rPr>
              <w:t>府办公</w:t>
            </w:r>
            <w:r>
              <w:rPr>
                <w:sz w:val="24"/>
              </w:rPr>
              <w:t>室关于印发&lt;常州市建设项目主要污染物排放总量指标审核及管理实施细则&gt;的通知》（常政办发[2015]104号），“新、改、扩建排放挥发性有机物的项目，按工程减排类项目2倍削减量替代或关闭类项目1.5倍削减量替代”，因此，本项目VOCs</w:t>
            </w:r>
            <w:r>
              <w:rPr>
                <w:rFonts w:hint="eastAsia"/>
                <w:sz w:val="24"/>
              </w:rPr>
              <w:t>、颗粒物</w:t>
            </w:r>
            <w:r>
              <w:rPr>
                <w:sz w:val="24"/>
              </w:rPr>
              <w:t>应落实区域减量替代方案，总量在武进区削减的总量内平衡。</w:t>
            </w:r>
          </w:p>
          <w:p>
            <w:pPr>
              <w:keepNext w:val="0"/>
              <w:keepLines w:val="0"/>
              <w:suppressLineNumbers w:val="0"/>
              <w:spacing w:before="0" w:beforeAutospacing="0" w:after="0" w:afterAutospacing="0" w:line="360" w:lineRule="auto"/>
              <w:ind w:left="0" w:right="0" w:firstLine="480" w:firstLineChars="200"/>
              <w:rPr>
                <w:szCs w:val="21"/>
              </w:rPr>
            </w:pPr>
            <w:r>
              <w:rPr>
                <w:sz w:val="24"/>
              </w:rPr>
              <w:t>固废：本项目产生的固体废物均进行合理处置，实现固体废物零排放，无需申请总量。</w:t>
            </w: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p>
            <w:pPr>
              <w:pStyle w:val="27"/>
              <w:keepNext w:val="0"/>
              <w:keepLines w:val="0"/>
              <w:suppressLineNumbers w:val="0"/>
              <w:ind w:left="0" w:leftChars="0" w:firstLine="383" w:firstLineChars="137"/>
              <w:rPr>
                <w:rFonts w:eastAsiaTheme="minorEastAsia"/>
              </w:rPr>
            </w:pPr>
          </w:p>
        </w:tc>
      </w:tr>
    </w:tbl>
    <w:p>
      <w:pPr>
        <w:pStyle w:val="18"/>
        <w:spacing w:before="0" w:beforeAutospacing="0" w:after="0" w:afterAutospacing="0"/>
        <w:jc w:val="center"/>
        <w:outlineLvl w:val="0"/>
        <w:rPr>
          <w:rFonts w:ascii="黑体" w:hAnsi="黑体" w:eastAsia="黑体"/>
          <w:snapToGrid w:val="0"/>
          <w:sz w:val="30"/>
          <w:szCs w:val="30"/>
        </w:rPr>
      </w:pPr>
      <w:r>
        <w:rPr>
          <w:rFonts w:ascii="黑体" w:hAnsi="黑体" w:eastAsia="黑体"/>
          <w:snapToGrid w:val="0"/>
          <w:sz w:val="36"/>
          <w:szCs w:val="36"/>
        </w:rPr>
        <w:br w:type="page"/>
      </w:r>
      <w:bookmarkStart w:id="5" w:name="_Toc22731"/>
      <w:r>
        <w:rPr>
          <w:rFonts w:hint="eastAsia" w:ascii="黑体" w:hAnsi="黑体" w:eastAsia="黑体"/>
          <w:snapToGrid w:val="0"/>
          <w:sz w:val="30"/>
          <w:szCs w:val="30"/>
        </w:rPr>
        <w:t>四、主要环境影响和保护措施</w:t>
      </w:r>
      <w:bookmarkEnd w:id="5"/>
    </w:p>
    <w:tbl>
      <w:tblPr>
        <w:tblStyle w:val="21"/>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583" w:type="dxa"/>
            <w:tcMar>
              <w:left w:w="28" w:type="dxa"/>
              <w:right w:w="28" w:type="dxa"/>
            </w:tcMar>
            <w:vAlign w:val="center"/>
          </w:tcPr>
          <w:p>
            <w:pPr>
              <w:pStyle w:val="18"/>
              <w:keepNext w:val="0"/>
              <w:keepLines w:val="0"/>
              <w:suppressLineNumbers w:val="0"/>
              <w:adjustRightInd w:val="0"/>
              <w:snapToGrid w:val="0"/>
              <w:spacing w:before="0" w:beforeAutospacing="0" w:after="0" w:afterAutospacing="0"/>
              <w:ind w:left="0" w:right="0"/>
              <w:jc w:val="center"/>
              <w:rPr>
                <w:rFonts w:cs="宋体"/>
                <w:kern w:val="2"/>
                <w:sz w:val="21"/>
                <w:szCs w:val="21"/>
              </w:rPr>
            </w:pPr>
            <w:r>
              <w:rPr>
                <w:rFonts w:hint="eastAsia" w:cs="宋体"/>
                <w:kern w:val="2"/>
                <w:sz w:val="21"/>
                <w:szCs w:val="21"/>
              </w:rPr>
              <w:t>施工</w:t>
            </w:r>
          </w:p>
          <w:p>
            <w:pPr>
              <w:pStyle w:val="18"/>
              <w:keepNext w:val="0"/>
              <w:keepLines w:val="0"/>
              <w:suppressLineNumbers w:val="0"/>
              <w:adjustRightInd w:val="0"/>
              <w:snapToGrid w:val="0"/>
              <w:spacing w:before="0" w:beforeAutospacing="0" w:after="0" w:afterAutospacing="0"/>
              <w:ind w:left="0" w:right="0"/>
              <w:jc w:val="center"/>
              <w:rPr>
                <w:rFonts w:cs="宋体"/>
                <w:kern w:val="2"/>
                <w:sz w:val="21"/>
                <w:szCs w:val="21"/>
              </w:rPr>
            </w:pPr>
            <w:r>
              <w:rPr>
                <w:rFonts w:hint="eastAsia" w:cs="宋体"/>
                <w:kern w:val="2"/>
                <w:sz w:val="21"/>
                <w:szCs w:val="21"/>
              </w:rPr>
              <w:t>期环</w:t>
            </w:r>
          </w:p>
          <w:p>
            <w:pPr>
              <w:pStyle w:val="18"/>
              <w:keepNext w:val="0"/>
              <w:keepLines w:val="0"/>
              <w:suppressLineNumbers w:val="0"/>
              <w:adjustRightInd w:val="0"/>
              <w:snapToGrid w:val="0"/>
              <w:spacing w:before="0" w:beforeAutospacing="0" w:after="0" w:afterAutospacing="0"/>
              <w:ind w:left="0" w:right="0"/>
              <w:jc w:val="center"/>
              <w:rPr>
                <w:rFonts w:cs="宋体"/>
                <w:kern w:val="2"/>
                <w:sz w:val="21"/>
                <w:szCs w:val="21"/>
              </w:rPr>
            </w:pPr>
            <w:r>
              <w:rPr>
                <w:rFonts w:hint="eastAsia" w:cs="宋体"/>
                <w:kern w:val="2"/>
                <w:sz w:val="21"/>
                <w:szCs w:val="21"/>
              </w:rPr>
              <w:t>境保</w:t>
            </w:r>
          </w:p>
          <w:p>
            <w:pPr>
              <w:pStyle w:val="18"/>
              <w:keepNext w:val="0"/>
              <w:keepLines w:val="0"/>
              <w:suppressLineNumbers w:val="0"/>
              <w:adjustRightInd w:val="0"/>
              <w:snapToGrid w:val="0"/>
              <w:spacing w:before="0" w:beforeAutospacing="0" w:after="0" w:afterAutospacing="0"/>
              <w:ind w:left="0" w:right="0"/>
              <w:jc w:val="center"/>
              <w:rPr>
                <w:rFonts w:cs="宋体"/>
                <w:kern w:val="2"/>
                <w:sz w:val="21"/>
                <w:szCs w:val="21"/>
              </w:rPr>
            </w:pPr>
            <w:r>
              <w:rPr>
                <w:rFonts w:hint="eastAsia" w:cs="宋体"/>
                <w:kern w:val="2"/>
                <w:sz w:val="21"/>
                <w:szCs w:val="21"/>
              </w:rPr>
              <w:t>护措</w:t>
            </w:r>
          </w:p>
          <w:p>
            <w:pPr>
              <w:pStyle w:val="18"/>
              <w:keepNext w:val="0"/>
              <w:keepLines w:val="0"/>
              <w:suppressLineNumbers w:val="0"/>
              <w:adjustRightInd w:val="0"/>
              <w:snapToGrid w:val="0"/>
              <w:spacing w:before="0" w:beforeAutospacing="0" w:after="0" w:afterAutospacing="0"/>
              <w:ind w:left="0" w:right="0"/>
              <w:jc w:val="center"/>
              <w:rPr>
                <w:rFonts w:cs="宋体"/>
                <w:bCs/>
                <w:kern w:val="2"/>
                <w:sz w:val="21"/>
                <w:szCs w:val="21"/>
              </w:rPr>
            </w:pPr>
            <w:r>
              <w:rPr>
                <w:rFonts w:hint="eastAsia" w:cs="宋体"/>
                <w:kern w:val="2"/>
                <w:sz w:val="21"/>
                <w:szCs w:val="21"/>
              </w:rPr>
              <w:t>施</w:t>
            </w:r>
          </w:p>
        </w:tc>
        <w:tc>
          <w:tcPr>
            <w:tcW w:w="8398" w:type="dxa"/>
            <w:vAlign w:val="center"/>
          </w:tcPr>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cs="宋体"/>
                <w:color w:val="000000"/>
                <w:sz w:val="24"/>
              </w:rPr>
            </w:pPr>
            <w:r>
              <w:rPr>
                <w:rFonts w:hint="eastAsia" w:ascii="宋体" w:hAnsi="宋体" w:cs="宋体"/>
                <w:color w:val="000000"/>
                <w:sz w:val="24"/>
              </w:rPr>
              <w:t>企业</w:t>
            </w:r>
            <w:r>
              <w:rPr>
                <w:rFonts w:hAnsi="宋体"/>
                <w:sz w:val="24"/>
              </w:rPr>
              <w:t>购买</w:t>
            </w:r>
            <w:r>
              <w:rPr>
                <w:rFonts w:hint="eastAsia" w:hAnsi="宋体"/>
                <w:sz w:val="24"/>
                <w:lang w:eastAsia="zh-CN"/>
              </w:rPr>
              <w:t>常州武进武新资产经营有限公司</w:t>
            </w:r>
            <w:r>
              <w:rPr>
                <w:rFonts w:hAnsi="宋体"/>
                <w:sz w:val="24"/>
              </w:rPr>
              <w:t>存量土地</w:t>
            </w:r>
            <w:r>
              <w:rPr>
                <w:sz w:val="24"/>
              </w:rPr>
              <w:t>68</w:t>
            </w:r>
            <w:r>
              <w:rPr>
                <w:rFonts w:hAnsi="宋体"/>
                <w:sz w:val="24"/>
              </w:rPr>
              <w:t>亩、存量厂房</w:t>
            </w:r>
            <w:r>
              <w:rPr>
                <w:sz w:val="24"/>
              </w:rPr>
              <w:t>26541.73</w:t>
            </w:r>
            <w:r>
              <w:rPr>
                <w:rFonts w:hAnsi="宋体"/>
                <w:sz w:val="24"/>
              </w:rPr>
              <w:t>平方米</w:t>
            </w:r>
            <w:r>
              <w:rPr>
                <w:rFonts w:hint="eastAsia" w:hAnsi="宋体"/>
                <w:sz w:val="24"/>
                <w:lang w:eastAsia="zh-CN"/>
              </w:rPr>
              <w:t>，</w:t>
            </w:r>
            <w:r>
              <w:rPr>
                <w:rFonts w:hAnsi="宋体"/>
                <w:sz w:val="24"/>
              </w:rPr>
              <w:t>并进行厂房改造</w:t>
            </w:r>
            <w:r>
              <w:rPr>
                <w:rFonts w:hint="eastAsia" w:ascii="宋体" w:hAnsi="宋体" w:cs="宋体"/>
                <w:color w:val="000000"/>
                <w:sz w:val="24"/>
              </w:rPr>
              <w:t>，施工期环境影响分析</w:t>
            </w:r>
            <w:r>
              <w:rPr>
                <w:rFonts w:hint="eastAsia" w:ascii="宋体" w:hAnsi="宋体" w:cs="宋体"/>
                <w:color w:val="000000"/>
                <w:sz w:val="24"/>
                <w:lang w:eastAsia="zh-CN"/>
              </w:rPr>
              <w:t>如下</w:t>
            </w:r>
            <w:r>
              <w:rPr>
                <w:rFonts w:hint="eastAsia" w:ascii="宋体" w:hAnsi="宋体" w:cs="宋体"/>
                <w:color w:val="000000"/>
                <w:sz w:val="24"/>
              </w:rPr>
              <w:t>。</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snapToGrid w:val="0"/>
                <w:color w:val="auto"/>
                <w:kern w:val="0"/>
                <w:sz w:val="24"/>
              </w:rPr>
            </w:pPr>
            <w:r>
              <w:rPr>
                <w:rFonts w:hint="eastAsia" w:ascii="宋体" w:hAnsi="宋体" w:eastAsia="宋体" w:cs="宋体"/>
                <w:b/>
                <w:bCs/>
                <w:snapToGrid w:val="0"/>
                <w:color w:val="auto"/>
                <w:kern w:val="0"/>
                <w:sz w:val="24"/>
              </w:rPr>
              <w:t>1、废气</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为防止建设期废气污染</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可采取如下措施：</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①对施工现场实行合理化管理</w:t>
            </w:r>
            <w:r>
              <w:rPr>
                <w:rFonts w:hint="eastAsia" w:ascii="宋体" w:hAnsi="宋体" w:eastAsia="宋体" w:cs="宋体"/>
                <w:color w:val="auto"/>
                <w:sz w:val="24"/>
                <w:lang w:eastAsia="zh-CN"/>
              </w:rPr>
              <w:t>，</w:t>
            </w:r>
            <w:r>
              <w:rPr>
                <w:rFonts w:hint="eastAsia" w:ascii="宋体" w:hAnsi="宋体" w:eastAsia="宋体" w:cs="宋体"/>
                <w:color w:val="auto"/>
                <w:sz w:val="24"/>
              </w:rPr>
              <w:t>使砂石料统一堆放</w:t>
            </w:r>
            <w:r>
              <w:rPr>
                <w:rFonts w:hint="eastAsia" w:ascii="宋体" w:hAnsi="宋体" w:eastAsia="宋体" w:cs="宋体"/>
                <w:color w:val="auto"/>
                <w:sz w:val="24"/>
                <w:lang w:eastAsia="zh-CN"/>
              </w:rPr>
              <w:t>，</w:t>
            </w:r>
            <w:r>
              <w:rPr>
                <w:rFonts w:hint="eastAsia" w:ascii="宋体" w:hAnsi="宋体" w:eastAsia="宋体" w:cs="宋体"/>
                <w:color w:val="auto"/>
                <w:sz w:val="24"/>
              </w:rPr>
              <w:t>水泥应设专门库房堆放</w:t>
            </w:r>
            <w:r>
              <w:rPr>
                <w:rFonts w:hint="eastAsia" w:ascii="宋体" w:hAnsi="宋体" w:eastAsia="宋体" w:cs="宋体"/>
                <w:color w:val="auto"/>
                <w:sz w:val="24"/>
                <w:lang w:eastAsia="zh-CN"/>
              </w:rPr>
              <w:t>，</w:t>
            </w:r>
            <w:r>
              <w:rPr>
                <w:rFonts w:hint="eastAsia" w:ascii="宋体" w:hAnsi="宋体" w:eastAsia="宋体" w:cs="宋体"/>
                <w:color w:val="auto"/>
                <w:sz w:val="24"/>
              </w:rPr>
              <w:t>并尽量减少搬运环节</w:t>
            </w:r>
            <w:r>
              <w:rPr>
                <w:rFonts w:hint="eastAsia" w:ascii="宋体" w:hAnsi="宋体" w:eastAsia="宋体" w:cs="宋体"/>
                <w:color w:val="auto"/>
                <w:sz w:val="24"/>
                <w:lang w:eastAsia="zh-CN"/>
              </w:rPr>
              <w:t>，</w:t>
            </w:r>
            <w:r>
              <w:rPr>
                <w:rFonts w:hint="eastAsia" w:ascii="宋体" w:hAnsi="宋体" w:eastAsia="宋体" w:cs="宋体"/>
                <w:color w:val="auto"/>
                <w:sz w:val="24"/>
              </w:rPr>
              <w:t>搬运时做到轻举轻放</w:t>
            </w:r>
            <w:r>
              <w:rPr>
                <w:rFonts w:hint="eastAsia" w:ascii="宋体" w:hAnsi="宋体" w:eastAsia="宋体" w:cs="宋体"/>
                <w:color w:val="auto"/>
                <w:sz w:val="24"/>
                <w:lang w:eastAsia="zh-CN"/>
              </w:rPr>
              <w:t>，</w:t>
            </w:r>
            <w:r>
              <w:rPr>
                <w:rFonts w:hint="eastAsia" w:ascii="宋体" w:hAnsi="宋体" w:eastAsia="宋体" w:cs="宋体"/>
                <w:color w:val="auto"/>
                <w:sz w:val="24"/>
              </w:rPr>
              <w:t>防止包装袋破裂</w:t>
            </w:r>
            <w:r>
              <w:rPr>
                <w:rFonts w:hint="eastAsia" w:ascii="宋体" w:hAnsi="宋体" w:eastAsia="宋体" w:cs="宋体"/>
                <w:color w:val="auto"/>
                <w:sz w:val="24"/>
                <w:lang w:eastAsia="zh-CN"/>
              </w:rPr>
              <w:t>，</w:t>
            </w:r>
            <w:r>
              <w:rPr>
                <w:rFonts w:hint="eastAsia" w:ascii="宋体" w:hAnsi="宋体" w:eastAsia="宋体" w:cs="宋体"/>
                <w:color w:val="auto"/>
                <w:sz w:val="24"/>
              </w:rPr>
              <w:t>对水泥类等建筑材料设专门库房堆放碎包；</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②施工区和堆土区要经常洒水。开挖时</w:t>
            </w:r>
            <w:r>
              <w:rPr>
                <w:rFonts w:hint="eastAsia" w:ascii="宋体" w:hAnsi="宋体" w:eastAsia="宋体" w:cs="宋体"/>
                <w:color w:val="auto"/>
                <w:sz w:val="24"/>
                <w:lang w:eastAsia="zh-CN"/>
              </w:rPr>
              <w:t>，</w:t>
            </w:r>
            <w:r>
              <w:rPr>
                <w:rFonts w:hint="eastAsia" w:ascii="宋体" w:hAnsi="宋体" w:eastAsia="宋体" w:cs="宋体"/>
                <w:color w:val="auto"/>
                <w:sz w:val="24"/>
              </w:rPr>
              <w:t>对作业面和土堆适当洒水</w:t>
            </w:r>
            <w:r>
              <w:rPr>
                <w:rFonts w:hint="eastAsia" w:ascii="宋体" w:hAnsi="宋体" w:eastAsia="宋体" w:cs="宋体"/>
                <w:color w:val="auto"/>
                <w:sz w:val="24"/>
                <w:lang w:eastAsia="zh-CN"/>
              </w:rPr>
              <w:t>，</w:t>
            </w:r>
            <w:r>
              <w:rPr>
                <w:rFonts w:hint="eastAsia" w:ascii="宋体" w:hAnsi="宋体" w:eastAsia="宋体" w:cs="宋体"/>
                <w:color w:val="auto"/>
                <w:sz w:val="24"/>
              </w:rPr>
              <w:t>使其保持一定湿度</w:t>
            </w:r>
            <w:r>
              <w:rPr>
                <w:rFonts w:hint="eastAsia" w:ascii="宋体" w:hAnsi="宋体" w:eastAsia="宋体" w:cs="宋体"/>
                <w:color w:val="auto"/>
                <w:sz w:val="24"/>
                <w:lang w:eastAsia="zh-CN"/>
              </w:rPr>
              <w:t>，</w:t>
            </w:r>
            <w:r>
              <w:rPr>
                <w:rFonts w:hint="eastAsia" w:ascii="宋体" w:hAnsi="宋体" w:eastAsia="宋体" w:cs="宋体"/>
                <w:color w:val="auto"/>
                <w:sz w:val="24"/>
              </w:rPr>
              <w:t>以减少扬尘量。而且开挖的泥土和建筑垃圾要及时运走</w:t>
            </w:r>
            <w:r>
              <w:rPr>
                <w:rFonts w:hint="eastAsia" w:ascii="宋体" w:hAnsi="宋体" w:eastAsia="宋体" w:cs="宋体"/>
                <w:color w:val="auto"/>
                <w:sz w:val="24"/>
                <w:lang w:eastAsia="zh-CN"/>
              </w:rPr>
              <w:t>，</w:t>
            </w:r>
            <w:r>
              <w:rPr>
                <w:rFonts w:hint="eastAsia" w:ascii="宋体" w:hAnsi="宋体" w:eastAsia="宋体" w:cs="宋体"/>
                <w:color w:val="auto"/>
                <w:sz w:val="24"/>
              </w:rPr>
              <w:t>以防长期堆放表面干燥而起尘或被雨水冲刷；</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③运输车辆应完好</w:t>
            </w:r>
            <w:r>
              <w:rPr>
                <w:rFonts w:hint="eastAsia" w:ascii="宋体" w:hAnsi="宋体" w:eastAsia="宋体" w:cs="宋体"/>
                <w:color w:val="auto"/>
                <w:sz w:val="24"/>
                <w:lang w:eastAsia="zh-CN"/>
              </w:rPr>
              <w:t>，</w:t>
            </w:r>
            <w:r>
              <w:rPr>
                <w:rFonts w:hint="eastAsia" w:ascii="宋体" w:hAnsi="宋体" w:eastAsia="宋体" w:cs="宋体"/>
                <w:color w:val="auto"/>
                <w:sz w:val="24"/>
              </w:rPr>
              <w:t>不应装载过满</w:t>
            </w:r>
            <w:r>
              <w:rPr>
                <w:rFonts w:hint="eastAsia" w:ascii="宋体" w:hAnsi="宋体" w:eastAsia="宋体" w:cs="宋体"/>
                <w:color w:val="auto"/>
                <w:sz w:val="24"/>
                <w:lang w:eastAsia="zh-CN"/>
              </w:rPr>
              <w:t>，</w:t>
            </w:r>
            <w:r>
              <w:rPr>
                <w:rFonts w:hint="eastAsia" w:ascii="宋体" w:hAnsi="宋体" w:eastAsia="宋体" w:cs="宋体"/>
                <w:color w:val="auto"/>
                <w:sz w:val="24"/>
              </w:rPr>
              <w:t>并尽量采取遮盖、密闭措施</w:t>
            </w:r>
            <w:r>
              <w:rPr>
                <w:rFonts w:hint="eastAsia" w:ascii="宋体" w:hAnsi="宋体" w:eastAsia="宋体" w:cs="宋体"/>
                <w:color w:val="auto"/>
                <w:sz w:val="24"/>
                <w:lang w:eastAsia="zh-CN"/>
              </w:rPr>
              <w:t>，</w:t>
            </w:r>
            <w:r>
              <w:rPr>
                <w:rFonts w:hint="eastAsia" w:ascii="宋体" w:hAnsi="宋体" w:eastAsia="宋体" w:cs="宋体"/>
                <w:color w:val="auto"/>
                <w:sz w:val="24"/>
              </w:rPr>
              <w:t>运输弃土的车辆要减少沿途撒落</w:t>
            </w:r>
            <w:r>
              <w:rPr>
                <w:rFonts w:hint="eastAsia" w:ascii="宋体" w:hAnsi="宋体" w:eastAsia="宋体" w:cs="宋体"/>
                <w:color w:val="auto"/>
                <w:sz w:val="24"/>
                <w:lang w:eastAsia="zh-CN"/>
              </w:rPr>
              <w:t>，</w:t>
            </w:r>
            <w:r>
              <w:rPr>
                <w:rFonts w:hint="eastAsia" w:ascii="宋体" w:hAnsi="宋体" w:eastAsia="宋体" w:cs="宋体"/>
                <w:color w:val="auto"/>
                <w:sz w:val="24"/>
              </w:rPr>
              <w:t>并及时清扫散落在地面上的泥土和建筑材料</w:t>
            </w:r>
            <w:r>
              <w:rPr>
                <w:rFonts w:hint="eastAsia" w:ascii="宋体" w:hAnsi="宋体" w:eastAsia="宋体" w:cs="宋体"/>
                <w:color w:val="auto"/>
                <w:sz w:val="24"/>
                <w:lang w:eastAsia="zh-CN"/>
              </w:rPr>
              <w:t>，</w:t>
            </w:r>
            <w:r>
              <w:rPr>
                <w:rFonts w:hint="eastAsia" w:ascii="宋体" w:hAnsi="宋体" w:eastAsia="宋体" w:cs="宋体"/>
                <w:color w:val="auto"/>
                <w:sz w:val="24"/>
              </w:rPr>
              <w:t>冲洗轮胎</w:t>
            </w:r>
            <w:r>
              <w:rPr>
                <w:rFonts w:hint="eastAsia" w:ascii="宋体" w:hAnsi="宋体" w:eastAsia="宋体" w:cs="宋体"/>
                <w:color w:val="auto"/>
                <w:sz w:val="24"/>
                <w:lang w:eastAsia="zh-CN"/>
              </w:rPr>
              <w:t>，</w:t>
            </w:r>
            <w:r>
              <w:rPr>
                <w:rFonts w:hint="eastAsia" w:ascii="宋体" w:hAnsi="宋体" w:eastAsia="宋体" w:cs="宋体"/>
                <w:color w:val="auto"/>
                <w:sz w:val="24"/>
              </w:rPr>
              <w:t>定时洒水压尘</w:t>
            </w:r>
            <w:r>
              <w:rPr>
                <w:rFonts w:hint="eastAsia" w:ascii="宋体" w:hAnsi="宋体" w:eastAsia="宋体" w:cs="宋体"/>
                <w:color w:val="auto"/>
                <w:sz w:val="24"/>
                <w:lang w:eastAsia="zh-CN"/>
              </w:rPr>
              <w:t>，</w:t>
            </w:r>
            <w:r>
              <w:rPr>
                <w:rFonts w:hint="eastAsia" w:ascii="宋体" w:hAnsi="宋体" w:eastAsia="宋体" w:cs="宋体"/>
                <w:color w:val="auto"/>
                <w:sz w:val="24"/>
              </w:rPr>
              <w:t>以减少运输过程中的扬尘；</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④使用商品混凝土；</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⑤施工现场要设围栏</w:t>
            </w:r>
            <w:r>
              <w:rPr>
                <w:rFonts w:hint="eastAsia" w:ascii="宋体" w:hAnsi="宋体" w:eastAsia="宋体" w:cs="宋体"/>
                <w:color w:val="auto"/>
                <w:sz w:val="24"/>
                <w:lang w:eastAsia="zh-CN"/>
              </w:rPr>
              <w:t>，</w:t>
            </w:r>
            <w:r>
              <w:rPr>
                <w:rFonts w:hint="eastAsia" w:ascii="宋体" w:hAnsi="宋体" w:eastAsia="宋体" w:cs="宋体"/>
                <w:color w:val="auto"/>
                <w:sz w:val="24"/>
              </w:rPr>
              <w:t>缩小施工扬尘扩散范围；</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⑥当风速过大时</w:t>
            </w:r>
            <w:r>
              <w:rPr>
                <w:rFonts w:hint="eastAsia" w:ascii="宋体" w:hAnsi="宋体" w:eastAsia="宋体" w:cs="宋体"/>
                <w:color w:val="auto"/>
                <w:sz w:val="24"/>
                <w:lang w:eastAsia="zh-CN"/>
              </w:rPr>
              <w:t>，</w:t>
            </w:r>
            <w:r>
              <w:rPr>
                <w:rFonts w:hint="eastAsia" w:ascii="宋体" w:hAnsi="宋体" w:eastAsia="宋体" w:cs="宋体"/>
                <w:color w:val="auto"/>
                <w:sz w:val="24"/>
              </w:rPr>
              <w:t>应停止施工作业</w:t>
            </w:r>
            <w:r>
              <w:rPr>
                <w:rFonts w:hint="eastAsia" w:ascii="宋体" w:hAnsi="宋体" w:eastAsia="宋体" w:cs="宋体"/>
                <w:color w:val="auto"/>
                <w:sz w:val="24"/>
                <w:lang w:eastAsia="zh-CN"/>
              </w:rPr>
              <w:t>，</w:t>
            </w:r>
            <w:r>
              <w:rPr>
                <w:rFonts w:hint="eastAsia" w:ascii="宋体" w:hAnsi="宋体" w:eastAsia="宋体" w:cs="宋体"/>
                <w:color w:val="auto"/>
                <w:sz w:val="24"/>
              </w:rPr>
              <w:t>并对堆存的砂粉等建筑材料采取遮盖措施；</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⑦对排烟大的施工机械安装消烟装置</w:t>
            </w:r>
            <w:r>
              <w:rPr>
                <w:rFonts w:hint="eastAsia" w:ascii="宋体" w:hAnsi="宋体" w:eastAsia="宋体" w:cs="宋体"/>
                <w:color w:val="auto"/>
                <w:sz w:val="24"/>
                <w:lang w:eastAsia="zh-CN"/>
              </w:rPr>
              <w:t>，</w:t>
            </w:r>
            <w:r>
              <w:rPr>
                <w:rFonts w:hint="eastAsia" w:ascii="宋体" w:hAnsi="宋体" w:eastAsia="宋体" w:cs="宋体"/>
                <w:color w:val="auto"/>
                <w:sz w:val="24"/>
              </w:rPr>
              <w:t>以减轻对大气环境的污染。</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snapToGrid w:val="0"/>
                <w:color w:val="auto"/>
                <w:kern w:val="0"/>
                <w:sz w:val="24"/>
              </w:rPr>
            </w:pPr>
            <w:r>
              <w:rPr>
                <w:rFonts w:hint="eastAsia" w:ascii="宋体" w:hAnsi="宋体" w:eastAsia="宋体" w:cs="宋体"/>
                <w:b/>
                <w:bCs/>
                <w:snapToGrid w:val="0"/>
                <w:color w:val="auto"/>
                <w:kern w:val="0"/>
                <w:sz w:val="24"/>
              </w:rPr>
              <w:t>2、废水</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lang w:val="en-US" w:eastAsia="zh-CN"/>
              </w:rPr>
              <w:t>施工期</w:t>
            </w:r>
            <w:r>
              <w:rPr>
                <w:rFonts w:hint="eastAsia" w:ascii="宋体" w:hAnsi="宋体" w:eastAsia="宋体" w:cs="宋体"/>
                <w:snapToGrid w:val="0"/>
                <w:color w:val="auto"/>
                <w:kern w:val="0"/>
                <w:sz w:val="24"/>
              </w:rPr>
              <w:t>污水水量不大</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但如果不经处理或处理不当</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同样会危害环境。其污染防范措施主要有：</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①加强施工期管理</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生活污水接管；</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②施工现场建造沉淀池、隔油池等污水临时处理设施</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对含油量高的施工机械冲洗水或悬浮物含量高的</w:t>
            </w:r>
            <w:r>
              <w:rPr>
                <w:rFonts w:hint="eastAsia" w:ascii="宋体" w:hAnsi="宋体" w:cs="宋体"/>
                <w:snapToGrid w:val="0"/>
                <w:color w:val="auto"/>
                <w:kern w:val="0"/>
                <w:sz w:val="24"/>
                <w:lang w:eastAsia="zh-CN"/>
              </w:rPr>
              <w:t>其他施工</w:t>
            </w:r>
            <w:r>
              <w:rPr>
                <w:rFonts w:hint="eastAsia" w:ascii="宋体" w:hAnsi="宋体" w:eastAsia="宋体" w:cs="宋体"/>
                <w:snapToGrid w:val="0"/>
                <w:color w:val="auto"/>
                <w:kern w:val="0"/>
                <w:sz w:val="24"/>
              </w:rPr>
              <w:t>废水处理后</w:t>
            </w:r>
            <w:r>
              <w:rPr>
                <w:rFonts w:hint="eastAsia" w:ascii="宋体" w:hAnsi="宋体" w:eastAsia="宋体" w:cs="宋体"/>
                <w:snapToGrid w:val="0"/>
                <w:color w:val="auto"/>
                <w:kern w:val="0"/>
                <w:sz w:val="24"/>
                <w:lang w:val="en-US" w:eastAsia="zh-CN"/>
              </w:rPr>
              <w:t>回用</w:t>
            </w:r>
            <w:r>
              <w:rPr>
                <w:rFonts w:hint="eastAsia" w:ascii="宋体" w:hAnsi="宋体" w:eastAsia="宋体" w:cs="宋体"/>
                <w:snapToGrid w:val="0"/>
                <w:color w:val="auto"/>
                <w:kern w:val="0"/>
                <w:sz w:val="24"/>
              </w:rPr>
              <w:t>；</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snapToGrid w:val="0"/>
                <w:color w:val="auto"/>
                <w:kern w:val="0"/>
                <w:sz w:val="24"/>
              </w:rPr>
            </w:pPr>
            <w:r>
              <w:rPr>
                <w:rFonts w:hint="eastAsia" w:ascii="宋体" w:hAnsi="宋体" w:eastAsia="宋体" w:cs="宋体"/>
                <w:snapToGrid w:val="0"/>
                <w:color w:val="auto"/>
                <w:kern w:val="0"/>
                <w:sz w:val="24"/>
              </w:rPr>
              <w:t>③水泥、黄砂、石灰类的建筑材料需集中堆放</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并采取一定防雨措施</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及时清扫施工过程中抛洒的上述建筑材料</w:t>
            </w:r>
            <w:r>
              <w:rPr>
                <w:rFonts w:hint="eastAsia" w:ascii="宋体" w:hAnsi="宋体" w:eastAsia="宋体" w:cs="宋体"/>
                <w:snapToGrid w:val="0"/>
                <w:color w:val="auto"/>
                <w:kern w:val="0"/>
                <w:sz w:val="24"/>
                <w:lang w:eastAsia="zh-CN"/>
              </w:rPr>
              <w:t>，</w:t>
            </w:r>
            <w:r>
              <w:rPr>
                <w:rFonts w:hint="eastAsia" w:ascii="宋体" w:hAnsi="宋体" w:eastAsia="宋体" w:cs="宋体"/>
                <w:snapToGrid w:val="0"/>
                <w:color w:val="auto"/>
                <w:kern w:val="0"/>
                <w:sz w:val="24"/>
              </w:rPr>
              <w:t>以免这些物质随雨水冲刷污染附近水体。</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snapToGrid w:val="0"/>
                <w:color w:val="auto"/>
                <w:kern w:val="0"/>
                <w:sz w:val="24"/>
              </w:rPr>
            </w:pPr>
            <w:r>
              <w:rPr>
                <w:rFonts w:hint="eastAsia" w:ascii="宋体" w:hAnsi="宋体" w:eastAsia="宋体" w:cs="宋体"/>
                <w:b/>
                <w:bCs/>
                <w:snapToGrid w:val="0"/>
                <w:color w:val="auto"/>
                <w:kern w:val="0"/>
                <w:sz w:val="24"/>
              </w:rPr>
              <w:t>3、噪声</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①为了减少施工对周围的居民影响</w:t>
            </w:r>
            <w:r>
              <w:rPr>
                <w:rFonts w:hint="eastAsia" w:ascii="宋体" w:hAnsi="宋体" w:eastAsia="宋体" w:cs="宋体"/>
                <w:color w:val="auto"/>
                <w:sz w:val="24"/>
                <w:lang w:eastAsia="zh-CN"/>
              </w:rPr>
              <w:t>，</w:t>
            </w:r>
            <w:r>
              <w:rPr>
                <w:rFonts w:hint="eastAsia" w:ascii="宋体" w:hAnsi="宋体" w:eastAsia="宋体" w:cs="宋体"/>
                <w:color w:val="auto"/>
                <w:sz w:val="24"/>
              </w:rPr>
              <w:t>工程不允许在晚上十一点至次日上午六时内施工</w:t>
            </w:r>
            <w:r>
              <w:rPr>
                <w:rFonts w:hint="eastAsia" w:ascii="宋体" w:hAnsi="宋体" w:eastAsia="宋体" w:cs="宋体"/>
                <w:color w:val="auto"/>
                <w:sz w:val="24"/>
                <w:lang w:eastAsia="zh-CN"/>
              </w:rPr>
              <w:t>，</w:t>
            </w:r>
            <w:r>
              <w:rPr>
                <w:rFonts w:hint="eastAsia" w:ascii="宋体" w:hAnsi="宋体" w:eastAsia="宋体" w:cs="宋体"/>
                <w:color w:val="auto"/>
                <w:sz w:val="24"/>
              </w:rPr>
              <w:t>同时应在施工设备和施工方法加以考虑</w:t>
            </w:r>
            <w:r>
              <w:rPr>
                <w:rFonts w:hint="eastAsia" w:ascii="宋体" w:hAnsi="宋体" w:eastAsia="宋体" w:cs="宋体"/>
                <w:color w:val="auto"/>
                <w:sz w:val="24"/>
                <w:lang w:eastAsia="zh-CN"/>
              </w:rPr>
              <w:t>，</w:t>
            </w:r>
            <w:r>
              <w:rPr>
                <w:rFonts w:hint="eastAsia" w:ascii="宋体" w:hAnsi="宋体" w:eastAsia="宋体" w:cs="宋体"/>
                <w:color w:val="auto"/>
                <w:sz w:val="24"/>
              </w:rPr>
              <w:t>尽量采用低噪声机械。</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②改革工艺和操作方法以降低施工噪声；对动力机械设备进行定期的维修、养护</w:t>
            </w:r>
            <w:r>
              <w:rPr>
                <w:rFonts w:hint="eastAsia" w:ascii="宋体" w:hAnsi="宋体" w:eastAsia="宋体" w:cs="宋体"/>
                <w:color w:val="auto"/>
                <w:sz w:val="24"/>
                <w:lang w:eastAsia="zh-CN"/>
              </w:rPr>
              <w:t>，</w:t>
            </w:r>
            <w:r>
              <w:rPr>
                <w:rFonts w:hint="eastAsia" w:ascii="宋体" w:hAnsi="宋体" w:eastAsia="宋体" w:cs="宋体"/>
                <w:color w:val="auto"/>
                <w:sz w:val="24"/>
              </w:rPr>
              <w:t>尽量采用低噪声的施工工具</w:t>
            </w:r>
            <w:r>
              <w:rPr>
                <w:rFonts w:hint="eastAsia" w:ascii="宋体" w:hAnsi="宋体" w:eastAsia="宋体" w:cs="宋体"/>
                <w:color w:val="auto"/>
                <w:sz w:val="24"/>
                <w:lang w:eastAsia="zh-CN"/>
              </w:rPr>
              <w:t>，</w:t>
            </w:r>
            <w:r>
              <w:rPr>
                <w:rFonts w:hint="eastAsia" w:ascii="宋体" w:hAnsi="宋体" w:eastAsia="宋体" w:cs="宋体"/>
                <w:color w:val="auto"/>
                <w:sz w:val="24"/>
              </w:rPr>
              <w:t>如以液压工具代替气压工具</w:t>
            </w:r>
            <w:r>
              <w:rPr>
                <w:rFonts w:hint="eastAsia" w:ascii="宋体" w:hAnsi="宋体" w:eastAsia="宋体" w:cs="宋体"/>
                <w:color w:val="auto"/>
                <w:sz w:val="24"/>
                <w:lang w:eastAsia="zh-CN"/>
              </w:rPr>
              <w:t>，</w:t>
            </w:r>
            <w:r>
              <w:rPr>
                <w:rFonts w:hint="eastAsia" w:ascii="宋体" w:hAnsi="宋体" w:eastAsia="宋体" w:cs="宋体"/>
                <w:color w:val="auto"/>
                <w:sz w:val="24"/>
              </w:rPr>
              <w:t>闲置不用的设备应立即关闭。</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③除上述施工机械产生的噪声外</w:t>
            </w:r>
            <w:r>
              <w:rPr>
                <w:rFonts w:hint="eastAsia" w:ascii="宋体" w:hAnsi="宋体" w:eastAsia="宋体" w:cs="宋体"/>
                <w:color w:val="auto"/>
                <w:sz w:val="24"/>
                <w:lang w:eastAsia="zh-CN"/>
              </w:rPr>
              <w:t>，</w:t>
            </w:r>
            <w:r>
              <w:rPr>
                <w:rFonts w:hint="eastAsia" w:ascii="宋体" w:hAnsi="宋体" w:eastAsia="宋体" w:cs="宋体"/>
                <w:color w:val="auto"/>
                <w:sz w:val="24"/>
              </w:rPr>
              <w:t>施工过程中各种运输车辆的运行</w:t>
            </w:r>
            <w:r>
              <w:rPr>
                <w:rFonts w:hint="eastAsia" w:ascii="宋体" w:hAnsi="宋体" w:eastAsia="宋体" w:cs="宋体"/>
                <w:color w:val="auto"/>
                <w:sz w:val="24"/>
                <w:lang w:eastAsia="zh-CN"/>
              </w:rPr>
              <w:t>，</w:t>
            </w:r>
            <w:r>
              <w:rPr>
                <w:rFonts w:hint="eastAsia" w:ascii="宋体" w:hAnsi="宋体" w:eastAsia="宋体" w:cs="宋体"/>
                <w:color w:val="auto"/>
                <w:sz w:val="24"/>
              </w:rPr>
              <w:t>将引起居民区噪声级的增加。因此</w:t>
            </w:r>
            <w:r>
              <w:rPr>
                <w:rFonts w:hint="eastAsia" w:ascii="宋体" w:hAnsi="宋体" w:eastAsia="宋体" w:cs="宋体"/>
                <w:color w:val="auto"/>
                <w:sz w:val="24"/>
                <w:lang w:eastAsia="zh-CN"/>
              </w:rPr>
              <w:t>，</w:t>
            </w:r>
            <w:r>
              <w:rPr>
                <w:rFonts w:hint="eastAsia" w:ascii="宋体" w:hAnsi="宋体" w:eastAsia="宋体" w:cs="宋体"/>
                <w:color w:val="auto"/>
                <w:sz w:val="24"/>
              </w:rPr>
              <w:t>应加强对运输车辆的管理</w:t>
            </w:r>
            <w:r>
              <w:rPr>
                <w:rFonts w:hint="eastAsia" w:ascii="宋体" w:hAnsi="宋体" w:eastAsia="宋体" w:cs="宋体"/>
                <w:color w:val="auto"/>
                <w:sz w:val="24"/>
                <w:lang w:eastAsia="zh-CN"/>
              </w:rPr>
              <w:t>，</w:t>
            </w:r>
            <w:r>
              <w:rPr>
                <w:rFonts w:hint="eastAsia" w:ascii="宋体" w:hAnsi="宋体" w:eastAsia="宋体" w:cs="宋体"/>
                <w:color w:val="auto"/>
                <w:sz w:val="24"/>
              </w:rPr>
              <w:t>尽量压缩工区汽车数量和行车密度</w:t>
            </w:r>
            <w:r>
              <w:rPr>
                <w:rFonts w:hint="eastAsia" w:ascii="宋体" w:hAnsi="宋体" w:eastAsia="宋体" w:cs="宋体"/>
                <w:color w:val="auto"/>
                <w:sz w:val="24"/>
                <w:lang w:eastAsia="zh-CN"/>
              </w:rPr>
              <w:t>，</w:t>
            </w:r>
            <w:r>
              <w:rPr>
                <w:rFonts w:hint="eastAsia" w:ascii="宋体" w:hAnsi="宋体" w:eastAsia="宋体" w:cs="宋体"/>
                <w:color w:val="auto"/>
                <w:sz w:val="24"/>
              </w:rPr>
              <w:t>控制汽车鸣笛。</w:t>
            </w:r>
          </w:p>
          <w:p>
            <w:pPr>
              <w:keepNext w:val="0"/>
              <w:keepLines w:val="0"/>
              <w:pageBreakBefore w:val="0"/>
              <w:widowControl w:val="0"/>
              <w:suppressLineNumbers w:val="0"/>
              <w:tabs>
                <w:tab w:val="left" w:pos="7875"/>
              </w:tabs>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snapToGrid w:val="0"/>
                <w:color w:val="auto"/>
                <w:kern w:val="0"/>
                <w:sz w:val="24"/>
                <w:lang w:eastAsia="zh-CN"/>
              </w:rPr>
            </w:pPr>
            <w:r>
              <w:rPr>
                <w:rFonts w:hint="eastAsia" w:ascii="宋体" w:hAnsi="宋体" w:eastAsia="宋体" w:cs="宋体"/>
                <w:b/>
                <w:bCs/>
                <w:snapToGrid w:val="0"/>
                <w:color w:val="auto"/>
                <w:kern w:val="0"/>
                <w:sz w:val="24"/>
              </w:rPr>
              <w:t>4、</w:t>
            </w:r>
            <w:r>
              <w:rPr>
                <w:rFonts w:hint="eastAsia" w:ascii="宋体" w:hAnsi="宋体" w:eastAsia="宋体" w:cs="宋体"/>
                <w:b/>
                <w:bCs/>
                <w:snapToGrid w:val="0"/>
                <w:color w:val="auto"/>
                <w:kern w:val="0"/>
                <w:sz w:val="24"/>
                <w:lang w:val="en-US" w:eastAsia="zh-CN"/>
              </w:rPr>
              <w:t>固体废物</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施工固体废物主要来自施工所产生的建筑垃圾和施工队伍产生的生活垃圾。其防治措施主要有：</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①尽量减少建筑材料在运输、装卸、施工过程中的跑、冒、滴、漏</w:t>
            </w:r>
            <w:r>
              <w:rPr>
                <w:rFonts w:hint="eastAsia" w:ascii="宋体" w:hAnsi="宋体" w:eastAsia="宋体" w:cs="宋体"/>
                <w:color w:val="auto"/>
                <w:sz w:val="24"/>
                <w:lang w:eastAsia="zh-CN"/>
              </w:rPr>
              <w:t>，</w:t>
            </w:r>
            <w:r>
              <w:rPr>
                <w:rFonts w:hint="eastAsia" w:ascii="宋体" w:hAnsi="宋体" w:eastAsia="宋体" w:cs="宋体"/>
                <w:color w:val="auto"/>
                <w:sz w:val="24"/>
              </w:rPr>
              <w:t>建筑垃圾应在指定的堆放点存放</w:t>
            </w:r>
            <w:r>
              <w:rPr>
                <w:rFonts w:hint="eastAsia" w:ascii="宋体" w:hAnsi="宋体" w:eastAsia="宋体" w:cs="宋体"/>
                <w:color w:val="auto"/>
                <w:sz w:val="24"/>
                <w:lang w:eastAsia="zh-CN"/>
              </w:rPr>
              <w:t>，</w:t>
            </w:r>
            <w:r>
              <w:rPr>
                <w:rFonts w:hint="eastAsia" w:ascii="宋体" w:hAnsi="宋体" w:eastAsia="宋体" w:cs="宋体"/>
                <w:color w:val="auto"/>
                <w:sz w:val="24"/>
              </w:rPr>
              <w:t>并及时送城市垃圾填埋场。</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②在工地废料被运送到合适的市场去以前</w:t>
            </w:r>
            <w:r>
              <w:rPr>
                <w:rFonts w:hint="eastAsia" w:ascii="宋体" w:hAnsi="宋体" w:eastAsia="宋体" w:cs="宋体"/>
                <w:color w:val="auto"/>
                <w:sz w:val="24"/>
                <w:lang w:eastAsia="zh-CN"/>
              </w:rPr>
              <w:t>，</w:t>
            </w:r>
            <w:r>
              <w:rPr>
                <w:rFonts w:hint="eastAsia" w:ascii="宋体" w:hAnsi="宋体" w:eastAsia="宋体" w:cs="宋体"/>
                <w:color w:val="auto"/>
                <w:sz w:val="24"/>
              </w:rPr>
              <w:t>需要制定一个堆放、分类回收和贮存材料的计划。一般而言</w:t>
            </w:r>
            <w:r>
              <w:rPr>
                <w:rFonts w:hint="eastAsia" w:ascii="宋体" w:hAnsi="宋体" w:eastAsia="宋体" w:cs="宋体"/>
                <w:color w:val="auto"/>
                <w:sz w:val="24"/>
                <w:lang w:eastAsia="zh-CN"/>
              </w:rPr>
              <w:t>，</w:t>
            </w:r>
            <w:r>
              <w:rPr>
                <w:rFonts w:hint="eastAsia" w:ascii="宋体" w:hAnsi="宋体" w:eastAsia="宋体" w:cs="宋体"/>
                <w:color w:val="auto"/>
                <w:sz w:val="24"/>
              </w:rPr>
              <w:t>主要针对钢材、金属、砌块、混凝土、未加工木材、瓦楞板纸和沥青等可再生材料进行现场分类和收集。</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③对施工现场及时清理</w:t>
            </w:r>
            <w:r>
              <w:rPr>
                <w:rFonts w:hint="eastAsia" w:ascii="宋体" w:hAnsi="宋体" w:eastAsia="宋体" w:cs="宋体"/>
                <w:color w:val="auto"/>
                <w:sz w:val="24"/>
                <w:lang w:eastAsia="zh-CN"/>
              </w:rPr>
              <w:t>，</w:t>
            </w:r>
            <w:r>
              <w:rPr>
                <w:rFonts w:hint="eastAsia" w:ascii="宋体" w:hAnsi="宋体" w:eastAsia="宋体" w:cs="宋体"/>
                <w:color w:val="auto"/>
                <w:sz w:val="24"/>
              </w:rPr>
              <w:t>建筑垃圾及时清运、加以利用</w:t>
            </w:r>
            <w:r>
              <w:rPr>
                <w:rFonts w:hint="eastAsia" w:ascii="宋体" w:hAnsi="宋体" w:eastAsia="宋体" w:cs="宋体"/>
                <w:color w:val="auto"/>
                <w:sz w:val="24"/>
                <w:lang w:eastAsia="zh-CN"/>
              </w:rPr>
              <w:t>，</w:t>
            </w:r>
            <w:r>
              <w:rPr>
                <w:rFonts w:hint="eastAsia" w:ascii="宋体" w:hAnsi="宋体" w:eastAsia="宋体" w:cs="宋体"/>
                <w:color w:val="auto"/>
                <w:sz w:val="24"/>
              </w:rPr>
              <w:t>防止其因长期堆放而产生扬尘。</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cs="宋体"/>
                <w:color w:val="auto"/>
                <w:sz w:val="24"/>
              </w:rPr>
            </w:pPr>
            <w:r>
              <w:rPr>
                <w:rFonts w:hint="eastAsia" w:ascii="宋体" w:hAnsi="宋体" w:eastAsia="宋体" w:cs="宋体"/>
                <w:color w:val="auto"/>
                <w:sz w:val="24"/>
              </w:rPr>
              <w:t>④施工人员居住区的生活垃圾要实行袋装化</w:t>
            </w:r>
            <w:r>
              <w:rPr>
                <w:rFonts w:hint="eastAsia" w:ascii="宋体" w:hAnsi="宋体" w:eastAsia="宋体" w:cs="宋体"/>
                <w:color w:val="auto"/>
                <w:sz w:val="24"/>
                <w:lang w:eastAsia="zh-CN"/>
              </w:rPr>
              <w:t>，</w:t>
            </w:r>
            <w:r>
              <w:rPr>
                <w:rFonts w:hint="eastAsia" w:ascii="宋体" w:hAnsi="宋体" w:eastAsia="宋体" w:cs="宋体"/>
                <w:color w:val="auto"/>
                <w:sz w:val="24"/>
              </w:rPr>
              <w:t>每天由清洁员清理</w:t>
            </w:r>
            <w:r>
              <w:rPr>
                <w:rFonts w:hint="eastAsia" w:ascii="宋体" w:hAnsi="宋体" w:eastAsia="宋体" w:cs="宋体"/>
                <w:color w:val="auto"/>
                <w:sz w:val="24"/>
                <w:lang w:eastAsia="zh-CN"/>
              </w:rPr>
              <w:t>，</w:t>
            </w:r>
            <w:r>
              <w:rPr>
                <w:rFonts w:hint="eastAsia" w:ascii="宋体" w:hAnsi="宋体" w:eastAsia="宋体" w:cs="宋体"/>
                <w:color w:val="auto"/>
                <w:sz w:val="24"/>
              </w:rPr>
              <w:t>集中送至指定堆放点</w:t>
            </w:r>
            <w:r>
              <w:rPr>
                <w:rFonts w:hint="eastAsia" w:ascii="宋体" w:hAnsi="宋体" w:eastAsia="宋体" w:cs="宋体"/>
                <w:color w:val="auto"/>
                <w:sz w:val="24"/>
                <w:lang w:eastAsia="zh-CN"/>
              </w:rPr>
              <w:t>，</w:t>
            </w:r>
            <w:r>
              <w:rPr>
                <w:rFonts w:hint="eastAsia" w:ascii="宋体" w:hAnsi="宋体" w:eastAsia="宋体" w:cs="宋体"/>
                <w:color w:val="auto"/>
                <w:sz w:val="24"/>
              </w:rPr>
              <w:t>由环卫所定期将之送往较近的垃圾场进行合理处理</w:t>
            </w:r>
            <w:r>
              <w:rPr>
                <w:rFonts w:hint="eastAsia" w:ascii="宋体" w:hAnsi="宋体" w:eastAsia="宋体" w:cs="宋体"/>
                <w:color w:val="auto"/>
                <w:sz w:val="24"/>
                <w:lang w:eastAsia="zh-CN"/>
              </w:rPr>
              <w:t>，</w:t>
            </w:r>
            <w:r>
              <w:rPr>
                <w:rFonts w:hint="eastAsia" w:ascii="宋体" w:hAnsi="宋体" w:eastAsia="宋体" w:cs="宋体"/>
                <w:color w:val="auto"/>
                <w:sz w:val="24"/>
              </w:rPr>
              <w:t>严禁乱堆乱扔</w:t>
            </w:r>
            <w:r>
              <w:rPr>
                <w:rFonts w:hint="eastAsia" w:ascii="宋体" w:hAnsi="宋体" w:eastAsia="宋体" w:cs="宋体"/>
                <w:color w:val="auto"/>
                <w:sz w:val="24"/>
                <w:lang w:eastAsia="zh-CN"/>
              </w:rPr>
              <w:t>，</w:t>
            </w:r>
            <w:r>
              <w:rPr>
                <w:rFonts w:hint="eastAsia" w:ascii="宋体" w:hAnsi="宋体" w:eastAsia="宋体" w:cs="宋体"/>
                <w:color w:val="auto"/>
                <w:sz w:val="24"/>
              </w:rPr>
              <w:t>防止产生二次污染。</w:t>
            </w:r>
          </w:p>
          <w:p>
            <w:pPr>
              <w:pStyle w:val="2"/>
              <w:keepNext w:val="0"/>
              <w:keepLines w:val="0"/>
              <w:suppressLineNumbers w:val="0"/>
              <w:spacing w:before="0" w:beforeAutospacing="0" w:afterAutospacing="0"/>
              <w:rPr>
                <w:rFonts w:hint="eastAsia" w:ascii="宋体" w:hAnsi="宋体" w:eastAsia="宋体" w:cs="宋体"/>
                <w:color w:val="auto"/>
                <w:sz w:val="24"/>
              </w:rPr>
            </w:pPr>
          </w:p>
          <w:p>
            <w:pPr>
              <w:pStyle w:val="2"/>
              <w:keepNext w:val="0"/>
              <w:keepLines w:val="0"/>
              <w:suppressLineNumbers w:val="0"/>
              <w:spacing w:before="0" w:beforeAutospacing="0" w:afterAutospacing="0"/>
              <w:rPr>
                <w:rFonts w:hint="eastAsia" w:ascii="宋体" w:hAnsi="宋体" w:eastAsia="宋体" w:cs="宋体"/>
                <w:color w:val="auto"/>
                <w:sz w:val="24"/>
              </w:rPr>
            </w:pPr>
          </w:p>
          <w:p>
            <w:pPr>
              <w:pStyle w:val="2"/>
              <w:keepNext w:val="0"/>
              <w:keepLines w:val="0"/>
              <w:suppressLineNumbers w:val="0"/>
              <w:spacing w:before="0" w:beforeAutospacing="0" w:afterAutospacing="0"/>
              <w:rPr>
                <w:rFonts w:hint="eastAsia" w:ascii="宋体" w:hAnsi="宋体" w:eastAsia="宋体" w:cs="宋体"/>
                <w:color w:val="auto"/>
                <w:sz w:val="24"/>
              </w:rPr>
            </w:pPr>
          </w:p>
          <w:p>
            <w:pPr>
              <w:pStyle w:val="2"/>
              <w:keepNext w:val="0"/>
              <w:keepLines w:val="0"/>
              <w:suppressLineNumbers w:val="0"/>
              <w:spacing w:before="0" w:beforeAutospacing="0" w:afterAutospacing="0"/>
              <w:rPr>
                <w:rFonts w:hint="eastAsia" w:ascii="宋体" w:hAnsi="宋体" w:eastAsia="宋体" w:cs="宋体"/>
                <w:color w:val="auto"/>
                <w:sz w:val="24"/>
              </w:rPr>
            </w:pP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583" w:type="dxa"/>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运营</w:t>
            </w:r>
          </w:p>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期环</w:t>
            </w:r>
          </w:p>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境影</w:t>
            </w:r>
          </w:p>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响和</w:t>
            </w:r>
          </w:p>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保护</w:t>
            </w:r>
          </w:p>
          <w:p>
            <w:pPr>
              <w:keepNext w:val="0"/>
              <w:keepLines w:val="0"/>
              <w:suppressLineNumbers w:val="0"/>
              <w:adjustRightInd w:val="0"/>
              <w:snapToGrid w:val="0"/>
              <w:spacing w:before="0" w:beforeAutospacing="0" w:after="0" w:afterAutospacing="0"/>
              <w:ind w:left="0" w:right="0"/>
              <w:jc w:val="center"/>
              <w:rPr>
                <w:rFonts w:ascii="宋体" w:hAnsi="宋体" w:cs="宋体"/>
                <w:bCs/>
                <w:szCs w:val="21"/>
              </w:rPr>
            </w:pPr>
            <w:r>
              <w:rPr>
                <w:rFonts w:hint="eastAsia" w:ascii="宋体" w:hAnsi="宋体" w:cs="宋体"/>
                <w:bCs/>
                <w:szCs w:val="21"/>
              </w:rPr>
              <w:t>措施</w:t>
            </w:r>
          </w:p>
        </w:tc>
        <w:tc>
          <w:tcPr>
            <w:tcW w:w="8398" w:type="dxa"/>
            <w:vAlign w:val="center"/>
          </w:tcPr>
          <w:p>
            <w:pPr>
              <w:keepNext w:val="0"/>
              <w:keepLines w:val="0"/>
              <w:suppressLineNumbers w:val="0"/>
              <w:adjustRightInd w:val="0"/>
              <w:snapToGrid w:val="0"/>
              <w:spacing w:before="0" w:beforeAutospacing="0" w:after="0" w:afterAutospacing="0" w:line="360" w:lineRule="auto"/>
              <w:ind w:left="0" w:right="0"/>
              <w:rPr>
                <w:rFonts w:ascii="宋体"/>
                <w:b/>
                <w:bCs/>
                <w:sz w:val="24"/>
              </w:rPr>
            </w:pPr>
            <w:r>
              <w:rPr>
                <w:rFonts w:hint="eastAsia" w:ascii="宋体"/>
                <w:b/>
                <w:bCs/>
                <w:sz w:val="24"/>
              </w:rPr>
              <w:t>1、废气</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b/>
                <w:bCs/>
                <w:sz w:val="24"/>
              </w:rPr>
              <w:t>（1）产污情况分析</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1）有组织废气</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sz w:val="24"/>
              </w:rPr>
            </w:pPr>
            <w:r>
              <w:rPr>
                <w:rFonts w:hint="eastAsia"/>
                <w:b/>
                <w:sz w:val="24"/>
              </w:rPr>
              <w:t>涂敷废气：</w:t>
            </w:r>
            <w:r>
              <w:rPr>
                <w:rFonts w:hint="eastAsia"/>
                <w:sz w:val="24"/>
              </w:rPr>
              <w:t>本项目涂敷过程在涂敷机中静电粉末涂敷室（四周设有挡板，</w:t>
            </w:r>
            <w:r>
              <w:rPr>
                <w:rFonts w:hint="eastAsia"/>
                <w:sz w:val="24"/>
                <w:lang w:eastAsia="zh-CN"/>
              </w:rPr>
              <w:t>相对密闭，仅保留工件进出口</w:t>
            </w:r>
            <w:r>
              <w:rPr>
                <w:rFonts w:hint="eastAsia"/>
                <w:sz w:val="24"/>
              </w:rPr>
              <w:t>，负压收集）内进行，主要污染因子为涂敷过程产生的粉尘。</w:t>
            </w:r>
            <w:r>
              <w:rPr>
                <w:sz w:val="24"/>
              </w:rPr>
              <w:t>根据《</w:t>
            </w:r>
            <w:r>
              <w:rPr>
                <w:rFonts w:hint="eastAsia"/>
                <w:sz w:val="24"/>
              </w:rPr>
              <w:t>喷塑</w:t>
            </w:r>
            <w:r>
              <w:rPr>
                <w:sz w:val="24"/>
              </w:rPr>
              <w:t>行业污染物源强估算及治理方法探讨》（中国环境管理干部学院学报第26卷第6期）中</w:t>
            </w:r>
            <w:r>
              <w:rPr>
                <w:rFonts w:hint="eastAsia"/>
                <w:sz w:val="24"/>
                <w:lang w:eastAsia="zh-CN"/>
              </w:rPr>
              <w:t>“</w:t>
            </w:r>
            <w:r>
              <w:rPr>
                <w:sz w:val="24"/>
              </w:rPr>
              <w:t xml:space="preserve">1.1.2 </w:t>
            </w:r>
            <w:r>
              <w:rPr>
                <w:rFonts w:hint="eastAsia"/>
                <w:sz w:val="24"/>
              </w:rPr>
              <w:t>喷塑</w:t>
            </w:r>
            <w:r>
              <w:rPr>
                <w:sz w:val="24"/>
              </w:rPr>
              <w:t>粉尘</w:t>
            </w:r>
            <w:r>
              <w:rPr>
                <w:rFonts w:hint="eastAsia"/>
                <w:sz w:val="24"/>
                <w:lang w:eastAsia="zh-CN"/>
              </w:rPr>
              <w:t>”</w:t>
            </w:r>
            <w:r>
              <w:rPr>
                <w:sz w:val="24"/>
              </w:rPr>
              <w:t>中</w:t>
            </w:r>
            <w:r>
              <w:rPr>
                <w:rFonts w:hint="eastAsia"/>
                <w:sz w:val="24"/>
                <w:lang w:eastAsia="zh-CN"/>
              </w:rPr>
              <w:t>“</w:t>
            </w:r>
            <w:r>
              <w:rPr>
                <w:sz w:val="24"/>
              </w:rPr>
              <w:t>塑粉平均附着率为80%-90%</w:t>
            </w:r>
            <w:r>
              <w:rPr>
                <w:rFonts w:hint="eastAsia"/>
                <w:sz w:val="24"/>
                <w:lang w:eastAsia="zh-CN"/>
              </w:rPr>
              <w:t>”</w:t>
            </w:r>
            <w:r>
              <w:rPr>
                <w:sz w:val="24"/>
              </w:rPr>
              <w:t>，本</w:t>
            </w:r>
            <w:r>
              <w:rPr>
                <w:rFonts w:hint="eastAsia"/>
                <w:sz w:val="24"/>
              </w:rPr>
              <w:t>项目采用静电喷涂的方式</w:t>
            </w:r>
            <w:r>
              <w:rPr>
                <w:rFonts w:hint="eastAsia"/>
                <w:sz w:val="24"/>
                <w:lang w:eastAsia="zh-CN"/>
              </w:rPr>
              <w:t>，</w:t>
            </w:r>
            <w:r>
              <w:rPr>
                <w:rFonts w:hint="eastAsia"/>
                <w:sz w:val="24"/>
              </w:rPr>
              <w:t>附着率</w:t>
            </w:r>
            <w:r>
              <w:rPr>
                <w:sz w:val="24"/>
              </w:rPr>
              <w:t>取90%，</w:t>
            </w:r>
            <w:r>
              <w:rPr>
                <w:rFonts w:hint="eastAsia"/>
                <w:sz w:val="24"/>
              </w:rPr>
              <w:t>涂敷过程中未附着的粉料中50%在涂敷室内自然沉降，剩余50%向外逸散形成涂敷粉尘</w:t>
            </w:r>
            <w:r>
              <w:rPr>
                <w:sz w:val="24"/>
              </w:rPr>
              <w:t>。</w:t>
            </w:r>
            <w:r>
              <w:rPr>
                <w:rFonts w:hint="eastAsia"/>
                <w:sz w:val="24"/>
              </w:rPr>
              <w:t>本项目环氧树脂粉使用量为100t/a，则粉尘产生量为5t/a。</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sz w:val="24"/>
              </w:rPr>
              <w:t>本项目涂敷工段产生的粉尘由静电粉末涂敷室内集气罩收集后经设备自带的旋风分离塔+二级滤芯除尘器处理后通过1根15米高排气筒（FQ-1）排放；涂敷全程自动运行，且涂敷室四周设有挡板，相对密闭，仅保留工件进出口，涂敷粉尘捕集率以98%计，旋风分离塔+二级滤芯除尘器的处理效率为98%（旋风分离塔处理效率取50%，单级滤芯除尘器处理效率取80%），涂敷工段粉尘有组织排放量为0.098t/a。</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sz w:val="24"/>
              </w:rPr>
            </w:pPr>
            <w:r>
              <w:rPr>
                <w:rFonts w:hint="eastAsia"/>
                <w:b/>
                <w:sz w:val="24"/>
              </w:rPr>
              <w:t>固化废气：</w:t>
            </w:r>
            <w:r>
              <w:rPr>
                <w:rFonts w:hint="eastAsia"/>
                <w:sz w:val="24"/>
              </w:rPr>
              <w:t>本项目使用环氧树脂粉作为涂料，资料显示环氧树脂的热分解温度在300℃以上。本项目固化温度为180-220℃，则固化过程将有少量有机废气</w:t>
            </w:r>
            <w:r>
              <w:rPr>
                <w:rFonts w:hint="eastAsia"/>
                <w:sz w:val="24"/>
                <w:lang w:eastAsia="zh-CN"/>
              </w:rPr>
              <w:t>产生</w:t>
            </w:r>
            <w:r>
              <w:rPr>
                <w:rFonts w:hint="eastAsia"/>
                <w:sz w:val="24"/>
              </w:rPr>
              <w:t>，</w:t>
            </w:r>
            <w:r>
              <w:rPr>
                <w:sz w:val="24"/>
              </w:rPr>
              <w:t>根据《</w:t>
            </w:r>
            <w:r>
              <w:rPr>
                <w:rFonts w:hint="eastAsia"/>
                <w:sz w:val="24"/>
              </w:rPr>
              <w:t>喷塑</w:t>
            </w:r>
            <w:r>
              <w:rPr>
                <w:sz w:val="24"/>
              </w:rPr>
              <w:t>行业污染物源强估算及治理方法探究》（中国环境管理干部学院学报第26卷第6期）中</w:t>
            </w:r>
            <w:r>
              <w:rPr>
                <w:rFonts w:hint="eastAsia"/>
                <w:sz w:val="24"/>
                <w:lang w:eastAsia="zh-CN"/>
              </w:rPr>
              <w:t>“</w:t>
            </w:r>
            <w:r>
              <w:rPr>
                <w:sz w:val="24"/>
              </w:rPr>
              <w:t>1.1.3固化废气</w:t>
            </w:r>
            <w:r>
              <w:rPr>
                <w:rFonts w:hint="eastAsia"/>
                <w:sz w:val="24"/>
                <w:lang w:eastAsia="zh-CN"/>
              </w:rPr>
              <w:t>”</w:t>
            </w:r>
            <w:r>
              <w:rPr>
                <w:sz w:val="24"/>
              </w:rPr>
              <w:t>中</w:t>
            </w:r>
            <w:r>
              <w:rPr>
                <w:rFonts w:hint="eastAsia"/>
                <w:sz w:val="24"/>
                <w:lang w:eastAsia="zh-CN"/>
              </w:rPr>
              <w:t>“</w:t>
            </w:r>
            <w:r>
              <w:rPr>
                <w:sz w:val="24"/>
              </w:rPr>
              <w:t>固化工序产生的VOC约占塑粉量的0.3%-0.6%</w:t>
            </w:r>
            <w:r>
              <w:rPr>
                <w:rFonts w:hint="eastAsia"/>
                <w:sz w:val="24"/>
                <w:lang w:eastAsia="zh-CN"/>
              </w:rPr>
              <w:t>”</w:t>
            </w:r>
            <w:r>
              <w:rPr>
                <w:rFonts w:hint="eastAsia"/>
                <w:sz w:val="24"/>
              </w:rPr>
              <w:t>，本项目取</w:t>
            </w:r>
            <w:r>
              <w:rPr>
                <w:rFonts w:hint="eastAsia"/>
                <w:sz w:val="24"/>
                <w:lang w:eastAsia="zh-CN"/>
              </w:rPr>
              <w:t>最大值</w:t>
            </w:r>
            <w:r>
              <w:rPr>
                <w:rFonts w:hint="eastAsia"/>
                <w:sz w:val="24"/>
                <w:lang w:val="en-US" w:eastAsia="zh-CN"/>
              </w:rPr>
              <w:t>0.6</w:t>
            </w:r>
            <w:r>
              <w:rPr>
                <w:rFonts w:hint="eastAsia"/>
                <w:sz w:val="24"/>
              </w:rPr>
              <w:t>%。项目附着在转子铁芯表面的环氧树脂粉量为9</w:t>
            </w:r>
            <w:r>
              <w:rPr>
                <w:rFonts w:hint="eastAsia"/>
                <w:sz w:val="24"/>
                <w:lang w:val="en-US" w:eastAsia="zh-CN"/>
              </w:rPr>
              <w:t>9.802</w:t>
            </w:r>
            <w:r>
              <w:rPr>
                <w:rFonts w:hint="eastAsia"/>
                <w:sz w:val="24"/>
              </w:rPr>
              <w:t>t/a</w:t>
            </w:r>
            <w:r>
              <w:rPr>
                <w:rFonts w:hint="eastAsia"/>
                <w:sz w:val="24"/>
                <w:lang w:eastAsia="zh-CN"/>
              </w:rPr>
              <w:t>（含收集粉尘（涂敷）回用量</w:t>
            </w:r>
            <w:r>
              <w:rPr>
                <w:rFonts w:hint="eastAsia"/>
                <w:sz w:val="24"/>
                <w:lang w:val="en-US" w:eastAsia="zh-CN"/>
              </w:rPr>
              <w:t>9.802t/a</w:t>
            </w:r>
            <w:r>
              <w:rPr>
                <w:rFonts w:hint="eastAsia"/>
                <w:sz w:val="24"/>
                <w:lang w:eastAsia="zh-CN"/>
              </w:rPr>
              <w:t>）</w:t>
            </w:r>
            <w:r>
              <w:rPr>
                <w:rFonts w:hint="eastAsia"/>
                <w:sz w:val="24"/>
                <w:lang w:val="en-US" w:eastAsia="zh-CN"/>
              </w:rPr>
              <w:t>。</w:t>
            </w:r>
            <w:r>
              <w:rPr>
                <w:rFonts w:hint="eastAsia"/>
                <w:sz w:val="24"/>
              </w:rPr>
              <w:t>因此固化过程中非甲烷总烃的产生量</w:t>
            </w:r>
            <w:r>
              <w:rPr>
                <w:rFonts w:hint="eastAsia"/>
                <w:sz w:val="24"/>
                <w:lang w:eastAsia="zh-CN"/>
              </w:rPr>
              <w:t>约</w:t>
            </w:r>
            <w:r>
              <w:rPr>
                <w:rFonts w:hint="eastAsia"/>
                <w:sz w:val="24"/>
              </w:rPr>
              <w:t>为0.</w:t>
            </w:r>
            <w:r>
              <w:rPr>
                <w:rFonts w:hint="eastAsia"/>
                <w:sz w:val="24"/>
                <w:lang w:val="en-US" w:eastAsia="zh-CN"/>
              </w:rPr>
              <w:t>6</w:t>
            </w:r>
            <w:r>
              <w:rPr>
                <w:rFonts w:hint="eastAsia"/>
                <w:sz w:val="24"/>
              </w:rPr>
              <w:t>t/a。</w:t>
            </w:r>
          </w:p>
          <w:p>
            <w:pPr>
              <w:keepNext w:val="0"/>
              <w:keepLines w:val="0"/>
              <w:suppressLineNumbers w:val="0"/>
              <w:adjustRightInd w:val="0"/>
              <w:snapToGrid w:val="0"/>
              <w:spacing w:before="0" w:beforeAutospacing="0" w:after="0" w:afterAutospacing="0" w:line="360" w:lineRule="auto"/>
              <w:ind w:left="0" w:right="0" w:firstLine="482" w:firstLineChars="200"/>
              <w:rPr>
                <w:sz w:val="24"/>
              </w:rPr>
            </w:pPr>
            <w:r>
              <w:rPr>
                <w:rFonts w:hint="eastAsia"/>
                <w:b/>
                <w:sz w:val="24"/>
              </w:rPr>
              <w:t>注塑成型废气</w:t>
            </w:r>
            <w:r>
              <w:rPr>
                <w:b/>
                <w:sz w:val="24"/>
              </w:rPr>
              <w:t>：</w:t>
            </w:r>
            <w:r>
              <w:rPr>
                <w:rFonts w:hint="eastAsia"/>
                <w:sz w:val="24"/>
              </w:rPr>
              <w:t>本项目聚丙烯在注塑机中进行加工处理，工作温度约为160℃~180℃，该过程会产生有机废气，以非甲烷总烃表示。</w:t>
            </w:r>
            <w:r>
              <w:rPr>
                <w:rFonts w:hint="eastAsia"/>
                <w:sz w:val="24"/>
                <w:lang w:eastAsia="zh-CN"/>
              </w:rPr>
              <w:t>参考</w:t>
            </w:r>
            <w:r>
              <w:rPr>
                <w:rFonts w:hint="eastAsia"/>
                <w:sz w:val="24"/>
              </w:rPr>
              <w:t>《空气污染物排放和控制手册 工业污染源调查与研究 第二辑》（美国环境保护局编），塑料</w:t>
            </w:r>
            <w:r>
              <w:rPr>
                <w:rFonts w:hint="eastAsia"/>
                <w:sz w:val="24"/>
                <w:lang w:eastAsia="zh-CN"/>
              </w:rPr>
              <w:t>注塑</w:t>
            </w:r>
            <w:r>
              <w:rPr>
                <w:rFonts w:hint="eastAsia"/>
                <w:sz w:val="24"/>
              </w:rPr>
              <w:t>过程中非甲烷总烃排放系数为0.35kg/t原料，根据企业提供的资料，聚丙烯使用量为50t/a，则非甲烷总烃的产生量为0.0</w:t>
            </w:r>
            <w:r>
              <w:rPr>
                <w:rFonts w:hint="eastAsia"/>
                <w:sz w:val="24"/>
                <w:lang w:val="en-US" w:eastAsia="zh-CN"/>
              </w:rPr>
              <w:t>18</w:t>
            </w:r>
            <w:r>
              <w:rPr>
                <w:rFonts w:hint="eastAsia"/>
                <w:sz w:val="24"/>
              </w:rPr>
              <w:t>t/a。</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sz w:val="24"/>
              </w:rPr>
              <w:t>本项目固化、注塑成型工段产生的非甲烷总烃由集气罩收集后经“二级活性炭”处理后和涂敷废气一并通过1根15米高排气筒（FQ-1）排放；固化废气及注塑成型废气捕集率以90%计，二级活性炭的处理效率为80%，固化工段非甲烷总烃有组织排放量为0.</w:t>
            </w:r>
            <w:r>
              <w:rPr>
                <w:rFonts w:hint="eastAsia"/>
                <w:sz w:val="24"/>
                <w:lang w:val="en-US" w:eastAsia="zh-CN"/>
              </w:rPr>
              <w:t>108</w:t>
            </w:r>
            <w:r>
              <w:rPr>
                <w:rFonts w:hint="eastAsia"/>
                <w:sz w:val="24"/>
              </w:rPr>
              <w:t>t/a，注塑成型工段非甲烷总烃有组织排放量为0.00</w:t>
            </w:r>
            <w:r>
              <w:rPr>
                <w:rFonts w:hint="eastAsia"/>
                <w:sz w:val="24"/>
                <w:lang w:val="en-US" w:eastAsia="zh-CN"/>
              </w:rPr>
              <w:t>3</w:t>
            </w:r>
            <w:r>
              <w:rPr>
                <w:rFonts w:hint="eastAsia"/>
                <w:sz w:val="24"/>
              </w:rPr>
              <w:t>t/a。</w:t>
            </w:r>
          </w:p>
          <w:p>
            <w:pPr>
              <w:keepNext w:val="0"/>
              <w:keepLines w:val="0"/>
              <w:widowControl/>
              <w:suppressLineNumbers w:val="0"/>
              <w:spacing w:before="0" w:beforeAutospacing="0" w:after="0" w:afterAutospacing="0" w:line="360" w:lineRule="auto"/>
              <w:ind w:left="0" w:right="0" w:firstLine="482" w:firstLineChars="200"/>
              <w:rPr>
                <w:sz w:val="24"/>
              </w:rPr>
            </w:pPr>
            <w:r>
              <w:rPr>
                <w:rFonts w:hAnsi="宋体"/>
                <w:b/>
                <w:sz w:val="24"/>
              </w:rPr>
              <w:t>食堂油烟：</w:t>
            </w:r>
            <w:r>
              <w:rPr>
                <w:rFonts w:hAnsi="宋体"/>
                <w:sz w:val="24"/>
              </w:rPr>
              <w:t>本项目厂区设有食堂，采用天然气作为燃料，天然气属于清洁能源，年使用量约为</w:t>
            </w:r>
            <w:r>
              <w:rPr>
                <w:sz w:val="24"/>
              </w:rPr>
              <w:t>3000m</w:t>
            </w:r>
            <w:r>
              <w:rPr>
                <w:sz w:val="24"/>
                <w:vertAlign w:val="superscript"/>
              </w:rPr>
              <w:t>3</w:t>
            </w:r>
            <w:r>
              <w:rPr>
                <w:rFonts w:hAnsi="宋体"/>
                <w:sz w:val="24"/>
              </w:rPr>
              <w:t>，过程中产生的污染物很少，对外环境影响较小，忽略不计。</w:t>
            </w:r>
          </w:p>
          <w:p>
            <w:pPr>
              <w:keepNext w:val="0"/>
              <w:keepLines w:val="0"/>
              <w:suppressLineNumbers w:val="0"/>
              <w:adjustRightInd w:val="0"/>
              <w:snapToGrid w:val="0"/>
              <w:spacing w:before="0" w:beforeAutospacing="0" w:after="0" w:afterAutospacing="0" w:line="360" w:lineRule="auto"/>
              <w:ind w:left="0" w:right="0" w:firstLine="480" w:firstLineChars="200"/>
              <w:rPr>
                <w:b/>
                <w:sz w:val="24"/>
              </w:rPr>
            </w:pPr>
            <w:r>
              <w:rPr>
                <w:rFonts w:hAnsi="宋体"/>
                <w:sz w:val="24"/>
              </w:rPr>
              <w:t>食物在烹饪、加工过程中将挥发出油脂、有机质及热分解或裂解产物，从而产生油烟废气。食堂每日</w:t>
            </w:r>
            <w:r>
              <w:rPr>
                <w:rFonts w:hint="eastAsia" w:hAnsi="宋体"/>
                <w:sz w:val="24"/>
                <w:lang w:eastAsia="zh-CN"/>
              </w:rPr>
              <w:t>共</w:t>
            </w:r>
            <w:r>
              <w:rPr>
                <w:rFonts w:hint="eastAsia"/>
                <w:sz w:val="24"/>
                <w:lang w:val="en-US" w:eastAsia="zh-CN"/>
              </w:rPr>
              <w:t>24</w:t>
            </w:r>
            <w:r>
              <w:rPr>
                <w:sz w:val="24"/>
              </w:rPr>
              <w:t>0</w:t>
            </w:r>
            <w:r>
              <w:rPr>
                <w:rFonts w:hAnsi="宋体"/>
                <w:sz w:val="24"/>
              </w:rPr>
              <w:t>人次就餐。根据类比调查，人均食用油消耗量以</w:t>
            </w:r>
            <w:r>
              <w:rPr>
                <w:kern w:val="0"/>
                <w:sz w:val="24"/>
              </w:rPr>
              <w:t>15g/</w:t>
            </w:r>
            <w:r>
              <w:rPr>
                <w:rFonts w:hAnsi="宋体"/>
                <w:kern w:val="0"/>
                <w:sz w:val="24"/>
              </w:rPr>
              <w:t>人</w:t>
            </w:r>
            <w:r>
              <w:rPr>
                <w:kern w:val="0"/>
                <w:sz w:val="24"/>
              </w:rPr>
              <w:t>·d</w:t>
            </w:r>
            <w:r>
              <w:rPr>
                <w:rFonts w:hAnsi="宋体"/>
                <w:sz w:val="24"/>
              </w:rPr>
              <w:t>计，则本项目厨房食堂食用油消耗量为</w:t>
            </w:r>
            <w:r>
              <w:rPr>
                <w:rFonts w:hint="eastAsia"/>
                <w:sz w:val="24"/>
                <w:lang w:val="en-US" w:eastAsia="zh-CN"/>
              </w:rPr>
              <w:t>1.08</w:t>
            </w:r>
            <w:r>
              <w:rPr>
                <w:sz w:val="24"/>
              </w:rPr>
              <w:t>t/a</w:t>
            </w:r>
            <w:r>
              <w:rPr>
                <w:rFonts w:hAnsi="宋体"/>
                <w:sz w:val="24"/>
              </w:rPr>
              <w:t>。一般油烟挥发量占总耗油量的</w:t>
            </w:r>
            <w:r>
              <w:rPr>
                <w:sz w:val="24"/>
              </w:rPr>
              <w:t>2~4%</w:t>
            </w:r>
            <w:r>
              <w:rPr>
                <w:rFonts w:hAnsi="宋体"/>
                <w:sz w:val="24"/>
              </w:rPr>
              <w:t>，平均取</w:t>
            </w:r>
            <w:r>
              <w:rPr>
                <w:sz w:val="24"/>
              </w:rPr>
              <w:t>3%</w:t>
            </w:r>
            <w:r>
              <w:rPr>
                <w:rFonts w:hAnsi="宋体"/>
                <w:sz w:val="24"/>
              </w:rPr>
              <w:t>，则本项目油烟产生量约为</w:t>
            </w:r>
            <w:r>
              <w:rPr>
                <w:sz w:val="24"/>
              </w:rPr>
              <w:t>0.0</w:t>
            </w:r>
            <w:r>
              <w:rPr>
                <w:rFonts w:hint="eastAsia"/>
                <w:sz w:val="24"/>
                <w:lang w:val="en-US" w:eastAsia="zh-CN"/>
              </w:rPr>
              <w:t>324</w:t>
            </w:r>
            <w:r>
              <w:rPr>
                <w:sz w:val="24"/>
              </w:rPr>
              <w:t>t/a</w:t>
            </w:r>
            <w:r>
              <w:rPr>
                <w:rFonts w:hAnsi="宋体"/>
                <w:sz w:val="24"/>
              </w:rPr>
              <w:t>。</w:t>
            </w:r>
            <w:r>
              <w:rPr>
                <w:rFonts w:hAnsi="宋体"/>
                <w:kern w:val="0"/>
                <w:sz w:val="24"/>
              </w:rPr>
              <w:t>油烟废气经油烟净化器脱油烟处理</w:t>
            </w:r>
            <w:r>
              <w:rPr>
                <w:rFonts w:hAnsi="宋体"/>
                <w:sz w:val="24"/>
              </w:rPr>
              <w:t>，油烟</w:t>
            </w:r>
            <w:r>
              <w:rPr>
                <w:rFonts w:hAnsi="宋体"/>
                <w:kern w:val="0"/>
                <w:sz w:val="24"/>
              </w:rPr>
              <w:t>净化器</w:t>
            </w:r>
            <w:r>
              <w:rPr>
                <w:rFonts w:hAnsi="宋体"/>
                <w:sz w:val="24"/>
              </w:rPr>
              <w:t>处理效率为</w:t>
            </w:r>
            <w:r>
              <w:rPr>
                <w:sz w:val="24"/>
              </w:rPr>
              <w:t>60%</w:t>
            </w:r>
            <w:r>
              <w:rPr>
                <w:rFonts w:hAnsi="宋体"/>
                <w:sz w:val="24"/>
              </w:rPr>
              <w:t>，</w:t>
            </w:r>
            <w:r>
              <w:rPr>
                <w:rFonts w:hAnsi="宋体"/>
                <w:kern w:val="0"/>
                <w:sz w:val="24"/>
              </w:rPr>
              <w:t>油烟净化器</w:t>
            </w:r>
            <w:r>
              <w:rPr>
                <w:rFonts w:hAnsi="宋体"/>
                <w:sz w:val="24"/>
              </w:rPr>
              <w:t>风量按</w:t>
            </w:r>
            <w:r>
              <w:rPr>
                <w:sz w:val="24"/>
              </w:rPr>
              <w:t>10000m</w:t>
            </w:r>
            <w:r>
              <w:rPr>
                <w:sz w:val="24"/>
                <w:vertAlign w:val="superscript"/>
              </w:rPr>
              <w:t>3</w:t>
            </w:r>
            <w:r>
              <w:rPr>
                <w:sz w:val="24"/>
              </w:rPr>
              <w:t>/</w:t>
            </w:r>
            <w:r>
              <w:rPr>
                <w:rFonts w:hAnsi="宋体"/>
                <w:sz w:val="24"/>
              </w:rPr>
              <w:t>台</w:t>
            </w:r>
            <w:r>
              <w:rPr>
                <w:sz w:val="24"/>
              </w:rPr>
              <w:t>·h</w:t>
            </w:r>
            <w:r>
              <w:rPr>
                <w:rFonts w:hAnsi="宋体"/>
                <w:sz w:val="24"/>
              </w:rPr>
              <w:t>计（共一台），以每天平均烹调作业</w:t>
            </w:r>
            <w:r>
              <w:rPr>
                <w:rFonts w:hint="eastAsia"/>
                <w:sz w:val="24"/>
                <w:lang w:val="en-US" w:eastAsia="zh-CN"/>
              </w:rPr>
              <w:t>6</w:t>
            </w:r>
            <w:r>
              <w:rPr>
                <w:rFonts w:hAnsi="宋体"/>
                <w:sz w:val="24"/>
              </w:rPr>
              <w:t>小时计，则年产生油烟废气为</w:t>
            </w:r>
            <w:r>
              <w:rPr>
                <w:sz w:val="24"/>
              </w:rPr>
              <w:t>1</w:t>
            </w:r>
            <w:r>
              <w:rPr>
                <w:rFonts w:hint="eastAsia"/>
                <w:sz w:val="24"/>
                <w:lang w:val="en-US" w:eastAsia="zh-CN"/>
              </w:rPr>
              <w:t>8</w:t>
            </w:r>
            <w:r>
              <w:rPr>
                <w:sz w:val="24"/>
              </w:rPr>
              <w:t>00</w:t>
            </w:r>
            <w:r>
              <w:rPr>
                <w:rFonts w:hAnsi="宋体"/>
                <w:sz w:val="24"/>
              </w:rPr>
              <w:t>万</w:t>
            </w:r>
            <w:r>
              <w:rPr>
                <w:sz w:val="24"/>
              </w:rPr>
              <w:t>m</w:t>
            </w:r>
            <w:r>
              <w:rPr>
                <w:sz w:val="24"/>
                <w:vertAlign w:val="superscript"/>
              </w:rPr>
              <w:t>3</w:t>
            </w:r>
            <w:r>
              <w:rPr>
                <w:rFonts w:hAnsi="宋体"/>
                <w:sz w:val="24"/>
              </w:rPr>
              <w:t>，油烟浓度为</w:t>
            </w:r>
            <w:r>
              <w:rPr>
                <w:sz w:val="24"/>
              </w:rPr>
              <w:t>1.</w:t>
            </w:r>
            <w:r>
              <w:rPr>
                <w:rFonts w:hint="eastAsia"/>
                <w:sz w:val="24"/>
                <w:lang w:val="en-US" w:eastAsia="zh-CN"/>
              </w:rPr>
              <w:t>8</w:t>
            </w:r>
            <w:r>
              <w:rPr>
                <w:sz w:val="24"/>
              </w:rPr>
              <w:t>mg/m</w:t>
            </w:r>
            <w:r>
              <w:rPr>
                <w:sz w:val="24"/>
                <w:vertAlign w:val="superscript"/>
              </w:rPr>
              <w:t>3</w:t>
            </w:r>
            <w:r>
              <w:rPr>
                <w:rFonts w:hAnsi="宋体"/>
                <w:sz w:val="24"/>
              </w:rPr>
              <w:t>。油烟废气经油烟净化器处理后（处理效率</w:t>
            </w:r>
            <w:r>
              <w:rPr>
                <w:sz w:val="24"/>
              </w:rPr>
              <w:t>≥60%</w:t>
            </w:r>
            <w:r>
              <w:rPr>
                <w:rFonts w:hAnsi="宋体"/>
                <w:sz w:val="24"/>
              </w:rPr>
              <w:t>），油烟浓度为</w:t>
            </w:r>
            <w:r>
              <w:rPr>
                <w:sz w:val="24"/>
              </w:rPr>
              <w:t>0.</w:t>
            </w:r>
            <w:r>
              <w:rPr>
                <w:rFonts w:hint="eastAsia"/>
                <w:sz w:val="24"/>
                <w:lang w:val="en-US" w:eastAsia="zh-CN"/>
              </w:rPr>
              <w:t>72</w:t>
            </w:r>
            <w:r>
              <w:rPr>
                <w:sz w:val="24"/>
              </w:rPr>
              <w:t>mg/m</w:t>
            </w:r>
            <w:r>
              <w:rPr>
                <w:sz w:val="24"/>
                <w:vertAlign w:val="superscript"/>
              </w:rPr>
              <w:t>3</w:t>
            </w:r>
            <w:r>
              <w:rPr>
                <w:rFonts w:hAnsi="宋体"/>
                <w:sz w:val="24"/>
              </w:rPr>
              <w:t>，油烟排放量约</w:t>
            </w:r>
            <w:r>
              <w:rPr>
                <w:sz w:val="24"/>
              </w:rPr>
              <w:t>0.0</w:t>
            </w:r>
            <w:r>
              <w:rPr>
                <w:rFonts w:hint="eastAsia"/>
                <w:sz w:val="24"/>
                <w:lang w:val="en-US" w:eastAsia="zh-CN"/>
              </w:rPr>
              <w:t>13</w:t>
            </w:r>
            <w:r>
              <w:rPr>
                <w:sz w:val="24"/>
              </w:rPr>
              <w:t>t/a</w:t>
            </w:r>
            <w:r>
              <w:rPr>
                <w:rFonts w:hAnsi="宋体"/>
                <w:sz w:val="24"/>
              </w:rPr>
              <w:t>，排气筒高度约为</w:t>
            </w:r>
            <w:r>
              <w:rPr>
                <w:sz w:val="24"/>
              </w:rPr>
              <w:t>8m</w:t>
            </w:r>
            <w:r>
              <w:rPr>
                <w:rFonts w:hAnsi="宋体"/>
                <w:sz w:val="24"/>
              </w:rPr>
              <w:t>。</w:t>
            </w:r>
          </w:p>
          <w:p>
            <w:pPr>
              <w:keepNext w:val="0"/>
              <w:keepLines w:val="0"/>
              <w:suppressLineNumbers w:val="0"/>
              <w:adjustRightInd w:val="0"/>
              <w:snapToGrid w:val="0"/>
              <w:spacing w:before="0" w:beforeAutospacing="0" w:after="0" w:afterAutospacing="0" w:line="360" w:lineRule="auto"/>
              <w:ind w:left="0" w:right="0" w:firstLine="482" w:firstLineChars="200"/>
              <w:rPr>
                <w:rFonts w:ascii="宋体" w:hAnsi="宋体"/>
                <w:b/>
                <w:sz w:val="24"/>
              </w:rPr>
            </w:pPr>
            <w:r>
              <w:rPr>
                <w:rFonts w:hint="eastAsia" w:ascii="宋体" w:hAnsi="宋体"/>
                <w:b/>
                <w:sz w:val="24"/>
              </w:rPr>
              <w:t>2）无组织废气</w:t>
            </w:r>
          </w:p>
          <w:p>
            <w:pPr>
              <w:keepNext w:val="0"/>
              <w:keepLines w:val="0"/>
              <w:suppressLineNumbers w:val="0"/>
              <w:adjustRightInd w:val="0"/>
              <w:snapToGrid w:val="0"/>
              <w:spacing w:before="0" w:beforeAutospacing="0" w:after="0" w:afterAutospacing="0" w:line="360" w:lineRule="auto"/>
              <w:ind w:left="0" w:right="0" w:firstLine="482" w:firstLineChars="200"/>
              <w:rPr>
                <w:sz w:val="24"/>
              </w:rPr>
            </w:pPr>
            <w:r>
              <w:rPr>
                <w:rFonts w:hint="eastAsia" w:ascii="宋体" w:hAnsi="宋体"/>
                <w:b/>
                <w:sz w:val="24"/>
              </w:rPr>
              <w:t>焊接烟尘：</w:t>
            </w:r>
            <w:r>
              <w:rPr>
                <w:sz w:val="24"/>
              </w:rPr>
              <w:t>本项目焊接工段不使用焊条、焊丝，平均焊接面积约60mm</w:t>
            </w:r>
            <w:r>
              <w:rPr>
                <w:sz w:val="24"/>
                <w:vertAlign w:val="superscript"/>
              </w:rPr>
              <w:t>2</w:t>
            </w:r>
            <w:r>
              <w:rPr>
                <w:sz w:val="24"/>
              </w:rPr>
              <w:t>，平均单个定子/转子焊接两面，熔接厚度约0.5mm</w:t>
            </w:r>
            <w:r>
              <w:rPr>
                <w:rFonts w:hint="eastAsia"/>
                <w:sz w:val="24"/>
                <w:lang w:eastAsia="zh-CN"/>
              </w:rPr>
              <w:t>；根据企业提供资料，</w:t>
            </w:r>
            <w:r>
              <w:rPr>
                <w:rFonts w:hint="eastAsia"/>
                <w:sz w:val="24"/>
              </w:rPr>
              <w:t>一年</w:t>
            </w:r>
            <w:r>
              <w:rPr>
                <w:sz w:val="24"/>
              </w:rPr>
              <w:t>焊接数量约</w:t>
            </w:r>
            <w:r>
              <w:rPr>
                <w:rFonts w:hint="eastAsia"/>
                <w:sz w:val="24"/>
              </w:rPr>
              <w:t>60000</w:t>
            </w:r>
            <w:r>
              <w:rPr>
                <w:sz w:val="24"/>
              </w:rPr>
              <w:t>只</w:t>
            </w:r>
            <w:r>
              <w:rPr>
                <w:rFonts w:hint="eastAsia"/>
                <w:sz w:val="24"/>
                <w:lang w:eastAsia="zh-CN"/>
              </w:rPr>
              <w:t>；</w:t>
            </w:r>
            <w:r>
              <w:rPr>
                <w:sz w:val="24"/>
              </w:rPr>
              <w:t>根据国家环保总局《大气污染物排放达标技术指南》，焊接烟尘浓度在0.4-3.2mg/m</w:t>
            </w:r>
            <w:r>
              <w:rPr>
                <w:sz w:val="24"/>
                <w:vertAlign w:val="superscript"/>
              </w:rPr>
              <w:t>3</w:t>
            </w:r>
            <w:r>
              <w:rPr>
                <w:sz w:val="24"/>
              </w:rPr>
              <w:t>，</w:t>
            </w:r>
            <w:r>
              <w:rPr>
                <w:rFonts w:hint="eastAsia"/>
                <w:sz w:val="24"/>
              </w:rPr>
              <w:t>本次环评取3.2mg/m</w:t>
            </w:r>
            <w:r>
              <w:rPr>
                <w:rFonts w:hint="eastAsia"/>
                <w:sz w:val="24"/>
                <w:vertAlign w:val="superscript"/>
              </w:rPr>
              <w:t>3</w:t>
            </w:r>
            <w:r>
              <w:rPr>
                <w:rFonts w:hint="eastAsia"/>
                <w:sz w:val="24"/>
              </w:rPr>
              <w:t>，</w:t>
            </w:r>
            <w:r>
              <w:rPr>
                <w:sz w:val="24"/>
              </w:rPr>
              <w:t>本项目焊接区周围体积约5m</w:t>
            </w:r>
            <w:r>
              <w:rPr>
                <w:sz w:val="24"/>
                <w:vertAlign w:val="superscript"/>
              </w:rPr>
              <w:t>3</w:t>
            </w:r>
            <w:r>
              <w:rPr>
                <w:sz w:val="24"/>
              </w:rPr>
              <w:t>×3=15m</w:t>
            </w:r>
            <w:r>
              <w:rPr>
                <w:sz w:val="24"/>
                <w:vertAlign w:val="superscript"/>
              </w:rPr>
              <w:t>3</w:t>
            </w:r>
            <w:r>
              <w:rPr>
                <w:rFonts w:hAnsi="宋体"/>
                <w:sz w:val="24"/>
              </w:rPr>
              <w:t>，</w:t>
            </w:r>
            <w:r>
              <w:rPr>
                <w:rFonts w:hint="eastAsia" w:hAnsi="宋体"/>
                <w:sz w:val="24"/>
              </w:rPr>
              <w:t>则焊接烟尘产生量</w:t>
            </w:r>
            <w:r>
              <w:rPr>
                <w:rFonts w:hAnsi="宋体"/>
                <w:sz w:val="24"/>
              </w:rPr>
              <w:t>约</w:t>
            </w:r>
            <w:r>
              <w:rPr>
                <w:rFonts w:hint="eastAsia"/>
                <w:sz w:val="24"/>
              </w:rPr>
              <w:t>60000</w:t>
            </w:r>
            <w:r>
              <w:rPr>
                <w:sz w:val="24"/>
              </w:rPr>
              <w:t>×</w:t>
            </w:r>
            <w:r>
              <w:rPr>
                <w:rFonts w:hint="eastAsia"/>
                <w:sz w:val="24"/>
              </w:rPr>
              <w:t>3.2</w:t>
            </w:r>
            <w:r>
              <w:rPr>
                <w:sz w:val="24"/>
              </w:rPr>
              <w:t>×15</w:t>
            </w:r>
            <w:r>
              <w:rPr>
                <w:rFonts w:hint="eastAsia"/>
                <w:sz w:val="24"/>
              </w:rPr>
              <w:t>=0.003</w:t>
            </w:r>
            <w:r>
              <w:rPr>
                <w:sz w:val="24"/>
              </w:rPr>
              <w:t>t/a</w:t>
            </w:r>
            <w:r>
              <w:rPr>
                <w:rFonts w:hint="eastAsia"/>
                <w:sz w:val="24"/>
              </w:rPr>
              <w:t>，经移动式滤芯除尘器处理后在车间内无组织排放</w:t>
            </w:r>
            <w:r>
              <w:rPr>
                <w:rFonts w:hAnsi="宋体"/>
                <w:sz w:val="24"/>
              </w:rPr>
              <w:t>。</w:t>
            </w:r>
            <w:r>
              <w:rPr>
                <w:rFonts w:hint="eastAsia" w:hAnsi="宋体"/>
                <w:sz w:val="24"/>
              </w:rPr>
              <w:t>移动式滤芯除尘器捕集率为80%，处理效率为60%，则捕集的焊接烟尘量为0.00144t/a，未捕集和未处理的焊接烟尘量为0.00156t/a。</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涂敷过程在废气收集过程中有</w:t>
            </w:r>
            <w:r>
              <w:rPr>
                <w:rFonts w:hint="eastAsia"/>
                <w:sz w:val="24"/>
              </w:rPr>
              <w:t>2</w:t>
            </w:r>
            <w:r>
              <w:rPr>
                <w:sz w:val="24"/>
              </w:rPr>
              <w:t>%</w:t>
            </w:r>
            <w:r>
              <w:rPr>
                <w:rFonts w:hAnsi="宋体"/>
                <w:sz w:val="24"/>
              </w:rPr>
              <w:t>未</w:t>
            </w:r>
            <w:r>
              <w:rPr>
                <w:rFonts w:hint="eastAsia" w:ascii="宋体" w:hAnsi="宋体"/>
                <w:sz w:val="24"/>
              </w:rPr>
              <w:t>捕集的颗粒物无组织排放；固化和注塑成型过程在废气收集过程中有</w:t>
            </w:r>
            <w:r>
              <w:rPr>
                <w:sz w:val="24"/>
              </w:rPr>
              <w:t>10%</w:t>
            </w:r>
            <w:r>
              <w:rPr>
                <w:rFonts w:hAnsi="宋体"/>
                <w:sz w:val="24"/>
              </w:rPr>
              <w:t>未</w:t>
            </w:r>
            <w:r>
              <w:rPr>
                <w:rFonts w:hint="eastAsia" w:ascii="宋体" w:hAnsi="宋体"/>
                <w:sz w:val="24"/>
              </w:rPr>
              <w:t>捕集的非甲烷总烃无组织排放。</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本项目有组织废气产生情况见下表：</w:t>
            </w:r>
          </w:p>
          <w:p>
            <w:pPr>
              <w:keepNext w:val="0"/>
              <w:keepLines w:val="0"/>
              <w:suppressLineNumbers w:val="0"/>
              <w:adjustRightInd w:val="0"/>
              <w:snapToGrid w:val="0"/>
              <w:spacing w:before="0" w:beforeAutospacing="0" w:after="0" w:afterAutospacing="0"/>
              <w:ind w:left="0" w:right="0"/>
              <w:jc w:val="center"/>
              <w:rPr>
                <w:b/>
                <w:sz w:val="24"/>
              </w:rPr>
            </w:pPr>
            <w:r>
              <w:rPr>
                <w:b/>
                <w:sz w:val="24"/>
              </w:rPr>
              <w:t>表</w:t>
            </w:r>
            <w:r>
              <w:rPr>
                <w:rFonts w:hint="eastAsia"/>
                <w:b/>
                <w:sz w:val="24"/>
              </w:rPr>
              <w:t>4-1</w:t>
            </w:r>
            <w:r>
              <w:rPr>
                <w:b/>
                <w:sz w:val="24"/>
              </w:rPr>
              <w:t xml:space="preserve"> 本项目有组织废气</w:t>
            </w:r>
            <w:r>
              <w:rPr>
                <w:rFonts w:hint="eastAsia"/>
                <w:b/>
                <w:sz w:val="24"/>
              </w:rPr>
              <w:t>产生情况表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28"/>
              <w:gridCol w:w="686"/>
              <w:gridCol w:w="1275"/>
              <w:gridCol w:w="1049"/>
              <w:gridCol w:w="1060"/>
              <w:gridCol w:w="1062"/>
              <w:gridCol w:w="1060"/>
              <w:gridCol w:w="10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7" w:type="pct"/>
                  <w:vMerge w:val="restart"/>
                  <w:tcBorders>
                    <w:top w:val="single" w:color="auto" w:sz="12" w:space="0"/>
                    <w:left w:val="nil"/>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所在车间</w:t>
                  </w:r>
                </w:p>
              </w:tc>
              <w:tc>
                <w:tcPr>
                  <w:tcW w:w="419"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排气筒编号</w:t>
                  </w:r>
                </w:p>
              </w:tc>
              <w:tc>
                <w:tcPr>
                  <w:tcW w:w="779"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污染源名称</w:t>
                  </w:r>
                </w:p>
              </w:tc>
              <w:tc>
                <w:tcPr>
                  <w:tcW w:w="641"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排气量</w:t>
                  </w:r>
                </w:p>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m</w:t>
                  </w:r>
                  <w:r>
                    <w:rPr>
                      <w:rFonts w:ascii="Times New Roman" w:hAnsi="Times New Roman" w:eastAsia="宋体"/>
                      <w:b/>
                      <w:sz w:val="21"/>
                      <w:szCs w:val="21"/>
                      <w:vertAlign w:val="superscript"/>
                    </w:rPr>
                    <w:t>3</w:t>
                  </w:r>
                  <w:r>
                    <w:rPr>
                      <w:rFonts w:ascii="Times New Roman" w:hAnsi="Times New Roman" w:eastAsia="宋体"/>
                      <w:b/>
                      <w:sz w:val="21"/>
                      <w:szCs w:val="21"/>
                    </w:rPr>
                    <w:t>/h</w:t>
                  </w:r>
                </w:p>
              </w:tc>
              <w:tc>
                <w:tcPr>
                  <w:tcW w:w="2594" w:type="pct"/>
                  <w:gridSpan w:val="4"/>
                  <w:tcBorders>
                    <w:top w:val="single" w:color="auto" w:sz="12" w:space="0"/>
                    <w:left w:val="single" w:color="auto" w:sz="4" w:space="0"/>
                    <w:bottom w:val="single" w:color="auto" w:sz="4" w:space="0"/>
                    <w:right w:val="nil"/>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污染物产生情况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7" w:type="pct"/>
                  <w:vMerge w:val="continue"/>
                  <w:tcBorders>
                    <w:top w:val="single" w:color="auto" w:sz="12"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419"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779"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641"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名称</w:t>
                  </w:r>
                </w:p>
              </w:tc>
              <w:tc>
                <w:tcPr>
                  <w:tcW w:w="649"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浓度mg/m</w:t>
                  </w:r>
                  <w:r>
                    <w:rPr>
                      <w:rFonts w:ascii="Times New Roman" w:hAnsi="Times New Roman" w:eastAsia="宋体"/>
                      <w:b/>
                      <w:sz w:val="21"/>
                      <w:szCs w:val="21"/>
                      <w:vertAlign w:val="superscript"/>
                    </w:rPr>
                    <w:t>3</w:t>
                  </w:r>
                </w:p>
              </w:tc>
              <w:tc>
                <w:tcPr>
                  <w:tcW w:w="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szCs w:val="21"/>
                    </w:rPr>
                  </w:pPr>
                  <w:r>
                    <w:rPr>
                      <w:b/>
                      <w:szCs w:val="21"/>
                    </w:rPr>
                    <w:t>速率kg/h</w:t>
                  </w:r>
                </w:p>
              </w:tc>
              <w:tc>
                <w:tcPr>
                  <w:tcW w:w="649" w:type="pct"/>
                  <w:tcBorders>
                    <w:top w:val="single" w:color="auto" w:sz="4" w:space="0"/>
                    <w:left w:val="single" w:color="auto" w:sz="4" w:space="0"/>
                    <w:bottom w:val="single" w:color="auto" w:sz="4" w:space="0"/>
                    <w:right w:val="nil"/>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7" w:type="pct"/>
                  <w:vMerge w:val="restart"/>
                  <w:tcBorders>
                    <w:top w:val="single" w:color="auto" w:sz="4" w:space="0"/>
                    <w:left w:val="nil"/>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涂</w:t>
                  </w:r>
                  <w:r>
                    <w:rPr>
                      <w:rFonts w:hint="eastAsia" w:ascii="Times New Roman" w:hAnsi="Times New Roman" w:eastAsia="宋体"/>
                      <w:sz w:val="21"/>
                      <w:szCs w:val="21"/>
                      <w:lang w:eastAsia="zh-CN"/>
                    </w:rPr>
                    <w:t>敷</w:t>
                  </w:r>
                  <w:r>
                    <w:rPr>
                      <w:rFonts w:hint="eastAsia" w:ascii="Times New Roman" w:hAnsi="Times New Roman" w:eastAsia="宋体"/>
                      <w:sz w:val="21"/>
                      <w:szCs w:val="21"/>
                    </w:rPr>
                    <w:t>注塑车间</w:t>
                  </w:r>
                </w:p>
              </w:tc>
              <w:tc>
                <w:tcPr>
                  <w:tcW w:w="419" w:type="pct"/>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szCs w:val="21"/>
                    </w:rPr>
                    <w:t>FQ-</w:t>
                  </w:r>
                  <w:r>
                    <w:rPr>
                      <w:rFonts w:hint="eastAsia"/>
                      <w:szCs w:val="21"/>
                    </w:rPr>
                    <w:t>1</w:t>
                  </w:r>
                </w:p>
              </w:tc>
              <w:tc>
                <w:tcPr>
                  <w:tcW w:w="779"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涂敷废气</w:t>
                  </w:r>
                </w:p>
              </w:tc>
              <w:tc>
                <w:tcPr>
                  <w:tcW w:w="641" w:type="pct"/>
                  <w:vMerge w:val="restar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lang w:val="en-US" w:eastAsia="zh-CN"/>
                    </w:rPr>
                    <w:t>35</w:t>
                  </w:r>
                  <w:r>
                    <w:rPr>
                      <w:rFonts w:hint="eastAsia" w:ascii="Times New Roman" w:hAnsi="Times New Roman" w:eastAsia="宋体"/>
                      <w:sz w:val="21"/>
                      <w:szCs w:val="21"/>
                    </w:rPr>
                    <w:t>000</w:t>
                  </w:r>
                </w:p>
              </w:tc>
              <w:tc>
                <w:tcPr>
                  <w:tcW w:w="648"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粉尘</w:t>
                  </w:r>
                </w:p>
              </w:tc>
              <w:tc>
                <w:tcPr>
                  <w:tcW w:w="649"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46.57</w:t>
                  </w:r>
                </w:p>
              </w:tc>
              <w:tc>
                <w:tcPr>
                  <w:tcW w:w="648"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1.</w:t>
                  </w:r>
                  <w:r>
                    <w:rPr>
                      <w:rFonts w:hint="eastAsia" w:ascii="Times New Roman" w:hAnsi="Times New Roman"/>
                      <w:lang w:val="en-US" w:eastAsia="zh-CN"/>
                    </w:rPr>
                    <w:t>63</w:t>
                  </w:r>
                </w:p>
              </w:tc>
              <w:tc>
                <w:tcPr>
                  <w:tcW w:w="649" w:type="pct"/>
                  <w:tcBorders>
                    <w:top w:val="single" w:color="auto" w:sz="4" w:space="0"/>
                    <w:left w:val="single" w:color="auto" w:sz="4" w:space="0"/>
                    <w:bottom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7" w:type="pct"/>
                  <w:vMerge w:val="continue"/>
                  <w:tcBorders>
                    <w:left w:val="nil"/>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419" w:type="pct"/>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p>
              </w:tc>
              <w:tc>
                <w:tcPr>
                  <w:tcW w:w="779"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固化废气</w:t>
                  </w:r>
                </w:p>
              </w:tc>
              <w:tc>
                <w:tcPr>
                  <w:tcW w:w="641"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非甲烷总烃</w:t>
                  </w:r>
                </w:p>
              </w:tc>
              <w:tc>
                <w:tcPr>
                  <w:tcW w:w="649"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5.14</w:t>
                  </w:r>
                </w:p>
              </w:tc>
              <w:tc>
                <w:tcPr>
                  <w:tcW w:w="648"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w:t>
                  </w:r>
                  <w:r>
                    <w:rPr>
                      <w:rFonts w:hint="eastAsia" w:ascii="Times New Roman" w:hAnsi="Times New Roman"/>
                      <w:lang w:val="en-US" w:eastAsia="zh-CN"/>
                    </w:rPr>
                    <w:t>18</w:t>
                  </w:r>
                </w:p>
              </w:tc>
              <w:tc>
                <w:tcPr>
                  <w:tcW w:w="649" w:type="pct"/>
                  <w:tcBorders>
                    <w:top w:val="single" w:color="auto" w:sz="4" w:space="0"/>
                    <w:left w:val="single" w:color="auto" w:sz="4" w:space="0"/>
                    <w:bottom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w:t>
                  </w:r>
                  <w:r>
                    <w:rPr>
                      <w:rFonts w:hint="eastAsia" w:ascii="Times New Roman" w:hAnsi="Times New Roman"/>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567" w:type="pct"/>
                  <w:vMerge w:val="continue"/>
                  <w:tcBorders>
                    <w:left w:val="nil"/>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419" w:type="pct"/>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p>
              </w:tc>
              <w:tc>
                <w:tcPr>
                  <w:tcW w:w="779"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注塑成型废气</w:t>
                  </w:r>
                </w:p>
              </w:tc>
              <w:tc>
                <w:tcPr>
                  <w:tcW w:w="641"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ascii="Times New Roman" w:hAnsi="Times New Roman" w:eastAsia="宋体"/>
                      <w:sz w:val="21"/>
                      <w:szCs w:val="21"/>
                    </w:rPr>
                    <w:t>非甲烷总烃</w:t>
                  </w:r>
                </w:p>
              </w:tc>
              <w:tc>
                <w:tcPr>
                  <w:tcW w:w="649"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w:t>
                  </w:r>
                  <w:r>
                    <w:rPr>
                      <w:rFonts w:hint="eastAsia" w:ascii="Times New Roman" w:hAnsi="Times New Roman"/>
                      <w:lang w:val="en-US" w:eastAsia="zh-CN"/>
                    </w:rPr>
                    <w:t>15</w:t>
                  </w:r>
                </w:p>
              </w:tc>
              <w:tc>
                <w:tcPr>
                  <w:tcW w:w="648"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0.00</w:t>
                  </w:r>
                  <w:r>
                    <w:rPr>
                      <w:rFonts w:hint="eastAsia" w:ascii="Times New Roman" w:hAnsi="Times New Roman"/>
                      <w:lang w:val="en-US" w:eastAsia="zh-CN"/>
                    </w:rPr>
                    <w:t>54</w:t>
                  </w:r>
                </w:p>
              </w:tc>
              <w:tc>
                <w:tcPr>
                  <w:tcW w:w="649" w:type="pct"/>
                  <w:tcBorders>
                    <w:top w:val="single" w:color="auto" w:sz="4" w:space="0"/>
                    <w:left w:val="single" w:color="auto" w:sz="4" w:space="0"/>
                    <w:bottom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w:t>
                  </w:r>
                  <w:r>
                    <w:rPr>
                      <w:rFonts w:hint="eastAsia" w:ascii="Times New Roman" w:hAnsi="Times New Roman"/>
                      <w:lang w:val="en-US" w:eastAsia="zh-CN"/>
                    </w:rPr>
                    <w:t>0162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7" w:type="pct"/>
                  <w:tcBorders>
                    <w:top w:val="single" w:color="auto" w:sz="4" w:space="0"/>
                    <w:left w:val="nil"/>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食堂</w:t>
                  </w:r>
                </w:p>
              </w:tc>
              <w:tc>
                <w:tcPr>
                  <w:tcW w:w="419" w:type="pct"/>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FQ-2</w:t>
                  </w:r>
                </w:p>
              </w:tc>
              <w:tc>
                <w:tcPr>
                  <w:tcW w:w="779" w:type="pc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食堂油烟</w:t>
                  </w:r>
                </w:p>
              </w:tc>
              <w:tc>
                <w:tcPr>
                  <w:tcW w:w="641" w:type="pct"/>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10000</w:t>
                  </w:r>
                </w:p>
              </w:tc>
              <w:tc>
                <w:tcPr>
                  <w:tcW w:w="648" w:type="pct"/>
                  <w:tcBorders>
                    <w:top w:val="single" w:color="auto" w:sz="4" w:space="0"/>
                    <w:left w:val="single" w:color="auto" w:sz="4" w:space="0"/>
                    <w:bottom w:val="single" w:color="auto" w:sz="12"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食堂油烟</w:t>
                  </w:r>
                </w:p>
              </w:tc>
              <w:tc>
                <w:tcPr>
                  <w:tcW w:w="649"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rPr>
                    <w:t>1.</w:t>
                  </w:r>
                  <w:r>
                    <w:rPr>
                      <w:rFonts w:hint="eastAsia" w:ascii="Times New Roman" w:hAnsi="Times New Roman"/>
                      <w:lang w:val="en-US" w:eastAsia="zh-CN"/>
                    </w:rPr>
                    <w:t>8</w:t>
                  </w:r>
                </w:p>
              </w:tc>
              <w:tc>
                <w:tcPr>
                  <w:tcW w:w="648"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rPr>
                    <w:t>0.01</w:t>
                  </w:r>
                  <w:r>
                    <w:rPr>
                      <w:rFonts w:hint="eastAsia" w:ascii="Times New Roman" w:hAnsi="Times New Roman"/>
                      <w:lang w:val="en-US" w:eastAsia="zh-CN"/>
                    </w:rPr>
                    <w:t>8</w:t>
                  </w:r>
                </w:p>
              </w:tc>
              <w:tc>
                <w:tcPr>
                  <w:tcW w:w="649" w:type="pct"/>
                  <w:tcBorders>
                    <w:top w:val="single" w:color="auto" w:sz="4" w:space="0"/>
                    <w:left w:val="single" w:color="auto" w:sz="4" w:space="0"/>
                    <w:bottom w:val="single" w:color="auto" w:sz="12"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rPr>
                    <w:t>0.0</w:t>
                  </w:r>
                  <w:r>
                    <w:rPr>
                      <w:rFonts w:hint="eastAsia" w:ascii="Times New Roman" w:hAnsi="Times New Roman"/>
                      <w:lang w:val="en-US" w:eastAsia="zh-CN"/>
                    </w:rPr>
                    <w:t>324</w:t>
                  </w:r>
                </w:p>
              </w:tc>
            </w:tr>
          </w:tbl>
          <w:p>
            <w:pPr>
              <w:keepNext w:val="0"/>
              <w:keepLines w:val="0"/>
              <w:suppressLineNumbers w:val="0"/>
              <w:snapToGrid w:val="0"/>
              <w:spacing w:before="0" w:beforeAutospacing="0" w:after="0" w:afterAutospacing="0" w:line="360" w:lineRule="auto"/>
              <w:ind w:left="0" w:right="0"/>
              <w:rPr>
                <w:b/>
                <w:szCs w:val="21"/>
              </w:rPr>
            </w:pPr>
            <w:r>
              <w:rPr>
                <w:rFonts w:hAnsi="宋体"/>
                <w:b/>
                <w:szCs w:val="21"/>
              </w:rPr>
              <w:t>注：涂</w:t>
            </w:r>
            <w:r>
              <w:rPr>
                <w:rFonts w:hint="eastAsia" w:hAnsi="宋体"/>
                <w:b/>
                <w:szCs w:val="21"/>
                <w:lang w:eastAsia="zh-CN"/>
              </w:rPr>
              <w:t>敷</w:t>
            </w:r>
            <w:r>
              <w:rPr>
                <w:rFonts w:hAnsi="宋体"/>
                <w:b/>
                <w:szCs w:val="21"/>
              </w:rPr>
              <w:t>、固化和注塑成型运行时间</w:t>
            </w:r>
            <w:r>
              <w:rPr>
                <w:rFonts w:hint="eastAsia" w:hAnsi="宋体"/>
                <w:b/>
                <w:szCs w:val="21"/>
              </w:rPr>
              <w:t>约</w:t>
            </w:r>
            <w:r>
              <w:rPr>
                <w:rFonts w:hAnsi="宋体"/>
                <w:b/>
                <w:szCs w:val="21"/>
              </w:rPr>
              <w:t>为</w:t>
            </w:r>
            <w:r>
              <w:rPr>
                <w:rFonts w:hint="eastAsia"/>
                <w:b/>
                <w:szCs w:val="21"/>
              </w:rPr>
              <w:t>3</w:t>
            </w:r>
            <w:r>
              <w:rPr>
                <w:rFonts w:hint="eastAsia"/>
                <w:b/>
                <w:szCs w:val="21"/>
                <w:lang w:val="en-US" w:eastAsia="zh-CN"/>
              </w:rPr>
              <w:t>0</w:t>
            </w:r>
            <w:r>
              <w:rPr>
                <w:b/>
                <w:szCs w:val="21"/>
              </w:rPr>
              <w:t>00h/a</w:t>
            </w:r>
            <w:r>
              <w:rPr>
                <w:rFonts w:hint="eastAsia"/>
                <w:b/>
                <w:szCs w:val="21"/>
              </w:rPr>
              <w:t>，食堂运行时间约为1</w:t>
            </w:r>
            <w:r>
              <w:rPr>
                <w:rFonts w:hint="eastAsia"/>
                <w:b/>
                <w:szCs w:val="21"/>
                <w:lang w:val="en-US" w:eastAsia="zh-CN"/>
              </w:rPr>
              <w:t>8</w:t>
            </w:r>
            <w:r>
              <w:rPr>
                <w:rFonts w:hint="eastAsia"/>
                <w:b/>
                <w:szCs w:val="21"/>
              </w:rPr>
              <w:t>00h/a</w:t>
            </w:r>
            <w:r>
              <w:rPr>
                <w:rFonts w:hAnsi="宋体"/>
                <w:b/>
                <w:szCs w:val="21"/>
              </w:rPr>
              <w:t>。</w:t>
            </w:r>
          </w:p>
          <w:p>
            <w:pPr>
              <w:keepNext w:val="0"/>
              <w:keepLines w:val="0"/>
              <w:suppressLineNumbers w:val="0"/>
              <w:snapToGrid w:val="0"/>
              <w:spacing w:before="0" w:beforeAutospacing="0" w:after="0" w:afterAutospacing="0" w:line="360" w:lineRule="auto"/>
              <w:ind w:left="0" w:right="0" w:firstLine="480" w:firstLineChars="200"/>
              <w:rPr>
                <w:sz w:val="24"/>
              </w:rPr>
            </w:pPr>
            <w:r>
              <w:rPr>
                <w:rFonts w:hint="eastAsia" w:ascii="宋体" w:hAnsi="宋体"/>
                <w:sz w:val="24"/>
              </w:rPr>
              <w:t>本项目无</w:t>
            </w:r>
            <w:r>
              <w:rPr>
                <w:sz w:val="24"/>
              </w:rPr>
              <w:t>组织废气产生情况见下表：</w:t>
            </w:r>
          </w:p>
          <w:p>
            <w:pPr>
              <w:keepNext w:val="0"/>
              <w:keepLines w:val="0"/>
              <w:suppressLineNumbers w:val="0"/>
              <w:spacing w:before="0" w:beforeAutospacing="0" w:after="0" w:afterAutospacing="0"/>
              <w:ind w:left="0" w:right="0"/>
              <w:jc w:val="center"/>
              <w:rPr>
                <w:rFonts w:ascii="宋体" w:hAnsi="宋体"/>
                <w:b/>
                <w:bCs/>
                <w:sz w:val="24"/>
              </w:rPr>
            </w:pPr>
            <w:r>
              <w:rPr>
                <w:b/>
                <w:bCs/>
                <w:sz w:val="24"/>
              </w:rPr>
              <w:t>表4-</w:t>
            </w:r>
            <w:r>
              <w:rPr>
                <w:rFonts w:hint="eastAsia"/>
                <w:b/>
                <w:bCs/>
                <w:sz w:val="24"/>
              </w:rPr>
              <w:t>2</w:t>
            </w:r>
            <w:r>
              <w:rPr>
                <w:b/>
                <w:bCs/>
                <w:sz w:val="24"/>
              </w:rPr>
              <w:t xml:space="preserve"> 本项目无组织</w:t>
            </w:r>
            <w:r>
              <w:rPr>
                <w:rFonts w:hint="eastAsia" w:ascii="宋体" w:hAnsi="宋体"/>
                <w:b/>
                <w:bCs/>
                <w:sz w:val="24"/>
              </w:rPr>
              <w:t>废气污染物产生情况</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8"/>
              <w:gridCol w:w="948"/>
              <w:gridCol w:w="829"/>
              <w:gridCol w:w="1276"/>
              <w:gridCol w:w="1104"/>
              <w:gridCol w:w="1056"/>
              <w:gridCol w:w="1153"/>
              <w:gridCol w:w="9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38" w:type="dxa"/>
                  <w:tcBorders>
                    <w:bottom w:val="single" w:color="auto" w:sz="4" w:space="0"/>
                  </w:tcBorders>
                  <w:vAlign w:val="center"/>
                </w:tcPr>
                <w:p>
                  <w:pPr>
                    <w:keepNext w:val="0"/>
                    <w:keepLines w:val="0"/>
                    <w:suppressLineNumbers w:val="0"/>
                    <w:spacing w:before="0" w:beforeAutospacing="0" w:after="0" w:afterAutospacing="0"/>
                    <w:ind w:left="0" w:right="0"/>
                    <w:jc w:val="center"/>
                    <w:rPr>
                      <w:b/>
                      <w:bCs/>
                    </w:rPr>
                  </w:pPr>
                  <w:r>
                    <w:rPr>
                      <w:rFonts w:hint="eastAsia"/>
                      <w:b/>
                    </w:rPr>
                    <w:t>所在车间</w:t>
                  </w:r>
                </w:p>
              </w:tc>
              <w:tc>
                <w:tcPr>
                  <w:tcW w:w="948" w:type="dxa"/>
                  <w:vAlign w:val="center"/>
                </w:tcPr>
                <w:p>
                  <w:pPr>
                    <w:keepNext w:val="0"/>
                    <w:keepLines w:val="0"/>
                    <w:suppressLineNumbers w:val="0"/>
                    <w:spacing w:before="0" w:beforeAutospacing="0" w:after="0" w:afterAutospacing="0"/>
                    <w:ind w:left="0" w:right="0"/>
                    <w:jc w:val="center"/>
                    <w:rPr>
                      <w:b/>
                      <w:bCs/>
                    </w:rPr>
                  </w:pPr>
                  <w:r>
                    <w:rPr>
                      <w:rFonts w:hint="eastAsia"/>
                      <w:b/>
                      <w:bCs/>
                    </w:rPr>
                    <w:t>工段</w:t>
                  </w:r>
                </w:p>
              </w:tc>
              <w:tc>
                <w:tcPr>
                  <w:tcW w:w="829" w:type="dxa"/>
                  <w:vAlign w:val="center"/>
                </w:tcPr>
                <w:p>
                  <w:pPr>
                    <w:keepNext w:val="0"/>
                    <w:keepLines w:val="0"/>
                    <w:suppressLineNumbers w:val="0"/>
                    <w:spacing w:before="0" w:beforeAutospacing="0" w:after="0" w:afterAutospacing="0"/>
                    <w:ind w:left="0" w:right="0"/>
                    <w:jc w:val="center"/>
                    <w:rPr>
                      <w:b/>
                      <w:bCs/>
                    </w:rPr>
                  </w:pPr>
                  <w:r>
                    <w:rPr>
                      <w:rFonts w:hint="eastAsia"/>
                      <w:b/>
                      <w:bCs/>
                    </w:rPr>
                    <w:t>年运行时间/h</w:t>
                  </w:r>
                </w:p>
              </w:tc>
              <w:tc>
                <w:tcPr>
                  <w:tcW w:w="1276" w:type="dxa"/>
                  <w:vAlign w:val="center"/>
                </w:tcPr>
                <w:p>
                  <w:pPr>
                    <w:keepNext w:val="0"/>
                    <w:keepLines w:val="0"/>
                    <w:suppressLineNumbers w:val="0"/>
                    <w:spacing w:before="0" w:beforeAutospacing="0" w:after="0" w:afterAutospacing="0"/>
                    <w:ind w:left="0" w:right="0"/>
                    <w:jc w:val="center"/>
                    <w:rPr>
                      <w:b/>
                      <w:bCs/>
                    </w:rPr>
                  </w:pPr>
                  <w:r>
                    <w:rPr>
                      <w:rFonts w:hint="eastAsia"/>
                      <w:b/>
                      <w:bCs/>
                    </w:rPr>
                    <w:t>污染物名称</w:t>
                  </w:r>
                </w:p>
              </w:tc>
              <w:tc>
                <w:tcPr>
                  <w:tcW w:w="1104" w:type="dxa"/>
                  <w:vAlign w:val="center"/>
                </w:tcPr>
                <w:p>
                  <w:pPr>
                    <w:keepNext w:val="0"/>
                    <w:keepLines w:val="0"/>
                    <w:suppressLineNumbers w:val="0"/>
                    <w:spacing w:before="0" w:beforeAutospacing="0" w:after="0" w:afterAutospacing="0"/>
                    <w:ind w:left="0" w:right="0"/>
                    <w:jc w:val="center"/>
                    <w:rPr>
                      <w:b/>
                      <w:bCs/>
                    </w:rPr>
                  </w:pPr>
                  <w:r>
                    <w:rPr>
                      <w:rFonts w:hint="eastAsia"/>
                      <w:b/>
                      <w:bCs/>
                    </w:rPr>
                    <w:t>污染物产生量（t/a）</w:t>
                  </w:r>
                </w:p>
              </w:tc>
              <w:tc>
                <w:tcPr>
                  <w:tcW w:w="1056" w:type="dxa"/>
                  <w:vAlign w:val="center"/>
                </w:tcPr>
                <w:p>
                  <w:pPr>
                    <w:keepNext w:val="0"/>
                    <w:keepLines w:val="0"/>
                    <w:suppressLineNumbers w:val="0"/>
                    <w:spacing w:before="0" w:beforeAutospacing="0" w:after="0" w:afterAutospacing="0"/>
                    <w:ind w:left="0" w:right="0"/>
                    <w:jc w:val="center"/>
                    <w:rPr>
                      <w:rFonts w:hint="eastAsia" w:eastAsia="宋体"/>
                      <w:b/>
                      <w:bCs/>
                      <w:lang w:eastAsia="zh-CN"/>
                    </w:rPr>
                  </w:pPr>
                  <w:r>
                    <w:rPr>
                      <w:rFonts w:hint="eastAsia"/>
                      <w:b/>
                      <w:bCs/>
                    </w:rPr>
                    <w:t>产生速率</w:t>
                  </w:r>
                  <w:r>
                    <w:rPr>
                      <w:rFonts w:hint="eastAsia"/>
                      <w:b/>
                      <w:bCs/>
                      <w:lang w:eastAsia="zh-CN"/>
                    </w:rPr>
                    <w:t>（</w:t>
                  </w:r>
                  <w:r>
                    <w:rPr>
                      <w:rFonts w:hint="eastAsia"/>
                      <w:b/>
                      <w:bCs/>
                    </w:rPr>
                    <w:t>kg/h</w:t>
                  </w:r>
                  <w:r>
                    <w:rPr>
                      <w:rFonts w:hint="eastAsia"/>
                      <w:b/>
                      <w:bCs/>
                      <w:lang w:eastAsia="zh-CN"/>
                    </w:rPr>
                    <w:t>）</w:t>
                  </w:r>
                </w:p>
              </w:tc>
              <w:tc>
                <w:tcPr>
                  <w:tcW w:w="1153" w:type="dxa"/>
                  <w:vAlign w:val="center"/>
                </w:tcPr>
                <w:p>
                  <w:pPr>
                    <w:keepNext w:val="0"/>
                    <w:keepLines w:val="0"/>
                    <w:suppressLineNumbers w:val="0"/>
                    <w:spacing w:before="0" w:beforeAutospacing="0" w:after="0" w:afterAutospacing="0"/>
                    <w:ind w:left="0" w:right="0"/>
                    <w:jc w:val="center"/>
                    <w:rPr>
                      <w:b/>
                      <w:bCs/>
                    </w:rPr>
                  </w:pPr>
                  <w:r>
                    <w:rPr>
                      <w:rFonts w:hint="eastAsia"/>
                      <w:b/>
                      <w:bCs/>
                    </w:rPr>
                    <w:t>面源面积（m</w:t>
                  </w:r>
                  <w:r>
                    <w:rPr>
                      <w:rFonts w:hint="eastAsia"/>
                      <w:b/>
                      <w:bCs/>
                      <w:vertAlign w:val="superscript"/>
                    </w:rPr>
                    <w:t>2</w:t>
                  </w:r>
                  <w:r>
                    <w:rPr>
                      <w:rFonts w:hint="eastAsia"/>
                      <w:b/>
                      <w:bCs/>
                    </w:rPr>
                    <w:t>）</w:t>
                  </w:r>
                </w:p>
              </w:tc>
              <w:tc>
                <w:tcPr>
                  <w:tcW w:w="973" w:type="dxa"/>
                  <w:vAlign w:val="center"/>
                </w:tcPr>
                <w:p>
                  <w:pPr>
                    <w:keepNext w:val="0"/>
                    <w:keepLines w:val="0"/>
                    <w:suppressLineNumbers w:val="0"/>
                    <w:spacing w:before="0" w:beforeAutospacing="0" w:after="0" w:afterAutospacing="0"/>
                    <w:ind w:left="0" w:right="0"/>
                    <w:jc w:val="center"/>
                    <w:rPr>
                      <w:rFonts w:hint="eastAsia" w:eastAsia="宋体"/>
                      <w:b/>
                      <w:bCs/>
                      <w:lang w:eastAsia="zh-CN"/>
                    </w:rPr>
                  </w:pPr>
                  <w:r>
                    <w:rPr>
                      <w:rFonts w:hint="eastAsia"/>
                      <w:b/>
                      <w:bCs/>
                    </w:rPr>
                    <w:t>面源高度</w:t>
                  </w:r>
                  <w:r>
                    <w:rPr>
                      <w:rFonts w:hint="eastAsia"/>
                      <w:b/>
                      <w:bCs/>
                      <w:lang w:eastAsia="zh-CN"/>
                    </w:rPr>
                    <w:t>（</w:t>
                  </w:r>
                  <w:r>
                    <w:rPr>
                      <w:rFonts w:hint="eastAsia"/>
                      <w:b/>
                      <w:bCs/>
                    </w:rPr>
                    <w:t>m</w:t>
                  </w:r>
                  <w:r>
                    <w:rPr>
                      <w:rFonts w:hint="eastAsia"/>
                      <w:b/>
                      <w:bCs/>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38"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涂</w:t>
                  </w:r>
                  <w:r>
                    <w:rPr>
                      <w:rFonts w:hint="eastAsia"/>
                      <w:szCs w:val="21"/>
                      <w:lang w:eastAsia="zh-CN"/>
                    </w:rPr>
                    <w:t>敷</w:t>
                  </w:r>
                  <w:r>
                    <w:rPr>
                      <w:rFonts w:hint="eastAsia"/>
                      <w:szCs w:val="21"/>
                    </w:rPr>
                    <w:t>注塑车间</w:t>
                  </w:r>
                </w:p>
              </w:tc>
              <w:tc>
                <w:tcPr>
                  <w:tcW w:w="948" w:type="dxa"/>
                  <w:vAlign w:val="center"/>
                </w:tcPr>
                <w:p>
                  <w:pPr>
                    <w:keepNext w:val="0"/>
                    <w:keepLines w:val="0"/>
                    <w:suppressLineNumbers w:val="0"/>
                    <w:spacing w:before="0" w:beforeAutospacing="0" w:after="0" w:afterAutospacing="0"/>
                    <w:ind w:left="0" w:right="0"/>
                    <w:jc w:val="center"/>
                  </w:pPr>
                  <w:r>
                    <w:rPr>
                      <w:rFonts w:hint="eastAsia"/>
                      <w:szCs w:val="21"/>
                    </w:rPr>
                    <w:t>涂敷</w:t>
                  </w:r>
                </w:p>
              </w:tc>
              <w:tc>
                <w:tcPr>
                  <w:tcW w:w="829" w:type="dxa"/>
                  <w:vMerge w:val="restart"/>
                  <w:vAlign w:val="center"/>
                </w:tcPr>
                <w:p>
                  <w:pPr>
                    <w:keepNext w:val="0"/>
                    <w:keepLines w:val="0"/>
                    <w:suppressLineNumbers w:val="0"/>
                    <w:spacing w:before="0" w:beforeAutospacing="0" w:after="0" w:afterAutospacing="0"/>
                    <w:ind w:left="0" w:right="0"/>
                    <w:jc w:val="center"/>
                    <w:rPr>
                      <w:rFonts w:hint="default" w:eastAsia="宋体"/>
                      <w:lang w:val="en-US" w:eastAsia="zh-CN"/>
                    </w:rPr>
                  </w:pPr>
                  <w:r>
                    <w:rPr>
                      <w:rFonts w:hint="eastAsia"/>
                    </w:rPr>
                    <w:t>3</w:t>
                  </w:r>
                  <w:r>
                    <w:rPr>
                      <w:rFonts w:hint="eastAsia"/>
                      <w:lang w:val="en-US" w:eastAsia="zh-CN"/>
                    </w:rPr>
                    <w:t>000</w:t>
                  </w:r>
                </w:p>
              </w:tc>
              <w:tc>
                <w:tcPr>
                  <w:tcW w:w="1276" w:type="dxa"/>
                  <w:vAlign w:val="center"/>
                </w:tcPr>
                <w:p>
                  <w:pPr>
                    <w:keepNext w:val="0"/>
                    <w:keepLines w:val="0"/>
                    <w:suppressLineNumbers w:val="0"/>
                    <w:spacing w:before="0" w:beforeAutospacing="0" w:after="0" w:afterAutospacing="0"/>
                    <w:ind w:left="0" w:right="0"/>
                    <w:jc w:val="center"/>
                  </w:pPr>
                  <w:r>
                    <w:rPr>
                      <w:rFonts w:hint="eastAsia"/>
                    </w:rPr>
                    <w:t>颗粒物</w:t>
                  </w:r>
                </w:p>
              </w:tc>
              <w:tc>
                <w:tcPr>
                  <w:tcW w:w="110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w:t>
                  </w:r>
                </w:p>
              </w:tc>
              <w:tc>
                <w:tcPr>
                  <w:tcW w:w="1056" w:type="dxa"/>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0.0</w:t>
                  </w:r>
                  <w:r>
                    <w:rPr>
                      <w:rFonts w:hint="eastAsia"/>
                      <w:szCs w:val="21"/>
                      <w:lang w:val="en-US" w:eastAsia="zh-CN"/>
                    </w:rPr>
                    <w:t>33</w:t>
                  </w:r>
                </w:p>
              </w:tc>
              <w:tc>
                <w:tcPr>
                  <w:tcW w:w="1153" w:type="dxa"/>
                  <w:vMerge w:val="restart"/>
                  <w:vAlign w:val="center"/>
                </w:tcPr>
                <w:p>
                  <w:pPr>
                    <w:keepNext w:val="0"/>
                    <w:keepLines w:val="0"/>
                    <w:suppressLineNumbers w:val="0"/>
                    <w:spacing w:before="0" w:beforeAutospacing="0" w:after="0" w:afterAutospacing="0"/>
                    <w:ind w:left="0" w:right="0"/>
                    <w:jc w:val="center"/>
                  </w:pPr>
                  <w:r>
                    <w:rPr>
                      <w:rFonts w:hint="eastAsia"/>
                      <w:lang w:val="en-US" w:eastAsia="zh-CN"/>
                    </w:rPr>
                    <w:t>9</w:t>
                  </w:r>
                  <w:r>
                    <w:rPr>
                      <w:rFonts w:hint="eastAsia"/>
                    </w:rPr>
                    <w:t>00</w:t>
                  </w:r>
                </w:p>
              </w:tc>
              <w:tc>
                <w:tcPr>
                  <w:tcW w:w="973" w:type="dxa"/>
                  <w:vMerge w:val="restart"/>
                  <w:vAlign w:val="center"/>
                </w:tcPr>
                <w:p>
                  <w:pPr>
                    <w:keepNext w:val="0"/>
                    <w:keepLines w:val="0"/>
                    <w:suppressLineNumbers w:val="0"/>
                    <w:spacing w:before="0" w:beforeAutospacing="0" w:after="0" w:afterAutospacing="0"/>
                    <w:ind w:left="0" w:right="0"/>
                    <w:jc w:val="center"/>
                  </w:pPr>
                  <w:r>
                    <w:rPr>
                      <w:rFonts w:hint="eastAsi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38" w:type="dxa"/>
                  <w:vMerge w:val="continue"/>
                  <w:vAlign w:val="center"/>
                </w:tcPr>
                <w:p>
                  <w:pPr>
                    <w:keepNext w:val="0"/>
                    <w:keepLines w:val="0"/>
                    <w:suppressLineNumbers w:val="0"/>
                    <w:spacing w:before="0" w:beforeAutospacing="0" w:after="0" w:afterAutospacing="0"/>
                    <w:ind w:left="0" w:right="0"/>
                    <w:jc w:val="center"/>
                  </w:pPr>
                </w:p>
              </w:tc>
              <w:tc>
                <w:tcPr>
                  <w:tcW w:w="948" w:type="dxa"/>
                  <w:vAlign w:val="center"/>
                </w:tcPr>
                <w:p>
                  <w:pPr>
                    <w:keepNext w:val="0"/>
                    <w:keepLines w:val="0"/>
                    <w:suppressLineNumbers w:val="0"/>
                    <w:spacing w:before="0" w:beforeAutospacing="0" w:after="0" w:afterAutospacing="0"/>
                    <w:ind w:left="0" w:right="0"/>
                    <w:jc w:val="center"/>
                  </w:pPr>
                  <w:r>
                    <w:rPr>
                      <w:rFonts w:hint="eastAsia"/>
                      <w:szCs w:val="21"/>
                    </w:rPr>
                    <w:t>固化</w:t>
                  </w:r>
                </w:p>
              </w:tc>
              <w:tc>
                <w:tcPr>
                  <w:tcW w:w="829" w:type="dxa"/>
                  <w:vMerge w:val="continue"/>
                  <w:vAlign w:val="center"/>
                </w:tcPr>
                <w:p>
                  <w:pPr>
                    <w:keepNext w:val="0"/>
                    <w:keepLines w:val="0"/>
                    <w:suppressLineNumbers w:val="0"/>
                    <w:spacing w:before="0" w:beforeAutospacing="0" w:after="0" w:afterAutospacing="0"/>
                    <w:ind w:left="0" w:right="0"/>
                    <w:jc w:val="center"/>
                  </w:pPr>
                </w:p>
              </w:tc>
              <w:tc>
                <w:tcPr>
                  <w:tcW w:w="1276" w:type="dxa"/>
                  <w:vAlign w:val="center"/>
                </w:tcPr>
                <w:p>
                  <w:pPr>
                    <w:keepNext w:val="0"/>
                    <w:keepLines w:val="0"/>
                    <w:suppressLineNumbers w:val="0"/>
                    <w:spacing w:before="0" w:beforeAutospacing="0" w:after="0" w:afterAutospacing="0"/>
                    <w:ind w:left="0" w:right="0"/>
                    <w:jc w:val="center"/>
                  </w:pPr>
                  <w:r>
                    <w:rPr>
                      <w:rFonts w:hint="eastAsia"/>
                    </w:rPr>
                    <w:t>非甲烷总烃</w:t>
                  </w:r>
                </w:p>
              </w:tc>
              <w:tc>
                <w:tcPr>
                  <w:tcW w:w="1104"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0.0</w:t>
                  </w:r>
                  <w:r>
                    <w:rPr>
                      <w:rFonts w:hint="eastAsia"/>
                      <w:szCs w:val="21"/>
                      <w:lang w:val="en-US" w:eastAsia="zh-CN"/>
                    </w:rPr>
                    <w:t>6</w:t>
                  </w:r>
                </w:p>
              </w:tc>
              <w:tc>
                <w:tcPr>
                  <w:tcW w:w="1056" w:type="dxa"/>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rPr>
                    <w:t>0.0</w:t>
                  </w:r>
                  <w:r>
                    <w:rPr>
                      <w:rFonts w:hint="eastAsia"/>
                      <w:szCs w:val="21"/>
                      <w:lang w:val="en-US" w:eastAsia="zh-CN"/>
                    </w:rPr>
                    <w:t>2</w:t>
                  </w:r>
                </w:p>
              </w:tc>
              <w:tc>
                <w:tcPr>
                  <w:tcW w:w="1153" w:type="dxa"/>
                  <w:vMerge w:val="continue"/>
                  <w:vAlign w:val="center"/>
                </w:tcPr>
                <w:p>
                  <w:pPr>
                    <w:keepNext w:val="0"/>
                    <w:keepLines w:val="0"/>
                    <w:suppressLineNumbers w:val="0"/>
                    <w:spacing w:before="0" w:beforeAutospacing="0" w:after="0" w:afterAutospacing="0"/>
                    <w:ind w:left="0" w:right="0"/>
                    <w:jc w:val="center"/>
                  </w:pPr>
                </w:p>
              </w:tc>
              <w:tc>
                <w:tcPr>
                  <w:tcW w:w="973" w:type="dxa"/>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38" w:type="dxa"/>
                  <w:vMerge w:val="continue"/>
                  <w:vAlign w:val="center"/>
                </w:tcPr>
                <w:p>
                  <w:pPr>
                    <w:keepNext w:val="0"/>
                    <w:keepLines w:val="0"/>
                    <w:suppressLineNumbers w:val="0"/>
                    <w:spacing w:before="0" w:beforeAutospacing="0" w:after="0" w:afterAutospacing="0"/>
                    <w:ind w:left="0" w:right="0"/>
                    <w:jc w:val="center"/>
                    <w:rPr>
                      <w:szCs w:val="21"/>
                    </w:rPr>
                  </w:pPr>
                </w:p>
              </w:tc>
              <w:tc>
                <w:tcPr>
                  <w:tcW w:w="948" w:type="dxa"/>
                  <w:vAlign w:val="center"/>
                </w:tcPr>
                <w:p>
                  <w:pPr>
                    <w:keepNext w:val="0"/>
                    <w:keepLines w:val="0"/>
                    <w:suppressLineNumbers w:val="0"/>
                    <w:spacing w:before="0" w:beforeAutospacing="0" w:after="0" w:afterAutospacing="0"/>
                    <w:ind w:left="0" w:right="0"/>
                    <w:jc w:val="center"/>
                  </w:pPr>
                  <w:r>
                    <w:rPr>
                      <w:rFonts w:hint="eastAsia"/>
                      <w:szCs w:val="21"/>
                    </w:rPr>
                    <w:t>注塑成型</w:t>
                  </w:r>
                </w:p>
              </w:tc>
              <w:tc>
                <w:tcPr>
                  <w:tcW w:w="829" w:type="dxa"/>
                  <w:vMerge w:val="continue"/>
                  <w:vAlign w:val="center"/>
                </w:tcPr>
                <w:p>
                  <w:pPr>
                    <w:keepNext w:val="0"/>
                    <w:keepLines w:val="0"/>
                    <w:suppressLineNumbers w:val="0"/>
                    <w:spacing w:before="0" w:beforeAutospacing="0" w:after="0" w:afterAutospacing="0"/>
                    <w:ind w:left="0" w:right="0"/>
                    <w:jc w:val="center"/>
                  </w:pPr>
                </w:p>
              </w:tc>
              <w:tc>
                <w:tcPr>
                  <w:tcW w:w="1276" w:type="dxa"/>
                  <w:vAlign w:val="center"/>
                </w:tcPr>
                <w:p>
                  <w:pPr>
                    <w:keepNext w:val="0"/>
                    <w:keepLines w:val="0"/>
                    <w:suppressLineNumbers w:val="0"/>
                    <w:spacing w:before="0" w:beforeAutospacing="0" w:after="0" w:afterAutospacing="0"/>
                    <w:ind w:left="0" w:right="0"/>
                    <w:jc w:val="center"/>
                  </w:pPr>
                  <w:r>
                    <w:rPr>
                      <w:rFonts w:hint="eastAsia"/>
                    </w:rPr>
                    <w:t>非甲烷总烃</w:t>
                  </w:r>
                </w:p>
              </w:tc>
              <w:tc>
                <w:tcPr>
                  <w:tcW w:w="1104"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0.00</w:t>
                  </w:r>
                  <w:r>
                    <w:rPr>
                      <w:rFonts w:hint="eastAsia"/>
                      <w:szCs w:val="21"/>
                      <w:lang w:val="en-US" w:eastAsia="zh-CN"/>
                    </w:rPr>
                    <w:t>18</w:t>
                  </w:r>
                </w:p>
              </w:tc>
              <w:tc>
                <w:tcPr>
                  <w:tcW w:w="1056" w:type="dxa"/>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rPr>
                    <w:t>0.000</w:t>
                  </w:r>
                  <w:r>
                    <w:rPr>
                      <w:rFonts w:hint="eastAsia"/>
                      <w:szCs w:val="21"/>
                      <w:lang w:val="en-US" w:eastAsia="zh-CN"/>
                    </w:rPr>
                    <w:t>6</w:t>
                  </w:r>
                </w:p>
              </w:tc>
              <w:tc>
                <w:tcPr>
                  <w:tcW w:w="1153" w:type="dxa"/>
                  <w:vMerge w:val="continue"/>
                  <w:vAlign w:val="center"/>
                </w:tcPr>
                <w:p>
                  <w:pPr>
                    <w:keepNext w:val="0"/>
                    <w:keepLines w:val="0"/>
                    <w:suppressLineNumbers w:val="0"/>
                    <w:spacing w:before="0" w:beforeAutospacing="0" w:after="0" w:afterAutospacing="0"/>
                    <w:ind w:left="0" w:right="0"/>
                    <w:jc w:val="center"/>
                  </w:pPr>
                </w:p>
              </w:tc>
              <w:tc>
                <w:tcPr>
                  <w:tcW w:w="973" w:type="dxa"/>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01" w:hRule="atLeast"/>
                <w:jc w:val="center"/>
              </w:trPr>
              <w:tc>
                <w:tcPr>
                  <w:tcW w:w="938" w:type="dxa"/>
                  <w:vMerge w:val="continue"/>
                  <w:tcBorders>
                    <w:bottom w:val="single" w:color="auto" w:sz="12" w:space="0"/>
                  </w:tcBorders>
                  <w:vAlign w:val="center"/>
                </w:tcPr>
                <w:p>
                  <w:pPr>
                    <w:keepNext w:val="0"/>
                    <w:keepLines w:val="0"/>
                    <w:suppressLineNumbers w:val="0"/>
                    <w:spacing w:before="0" w:beforeAutospacing="0" w:after="0" w:afterAutospacing="0"/>
                    <w:ind w:left="0" w:right="0"/>
                    <w:jc w:val="center"/>
                  </w:pPr>
                </w:p>
              </w:tc>
              <w:tc>
                <w:tcPr>
                  <w:tcW w:w="948" w:type="dxa"/>
                  <w:vAlign w:val="center"/>
                </w:tcPr>
                <w:p>
                  <w:pPr>
                    <w:keepNext w:val="0"/>
                    <w:keepLines w:val="0"/>
                    <w:suppressLineNumbers w:val="0"/>
                    <w:spacing w:before="0" w:beforeAutospacing="0" w:after="0" w:afterAutospacing="0"/>
                    <w:ind w:left="0" w:right="0"/>
                    <w:jc w:val="center"/>
                    <w:rPr>
                      <w:szCs w:val="21"/>
                    </w:rPr>
                  </w:pPr>
                  <w:r>
                    <w:rPr>
                      <w:rFonts w:hint="eastAsia"/>
                      <w:szCs w:val="21"/>
                    </w:rPr>
                    <w:t>焊接</w:t>
                  </w:r>
                </w:p>
              </w:tc>
              <w:tc>
                <w:tcPr>
                  <w:tcW w:w="829" w:type="dxa"/>
                  <w:vMerge w:val="continue"/>
                  <w:vAlign w:val="center"/>
                </w:tcPr>
                <w:p>
                  <w:pPr>
                    <w:keepNext w:val="0"/>
                    <w:keepLines w:val="0"/>
                    <w:suppressLineNumbers w:val="0"/>
                    <w:spacing w:before="0" w:beforeAutospacing="0" w:after="0" w:afterAutospacing="0"/>
                    <w:ind w:left="0" w:right="0"/>
                    <w:jc w:val="center"/>
                  </w:pPr>
                </w:p>
              </w:tc>
              <w:tc>
                <w:tcPr>
                  <w:tcW w:w="1276" w:type="dxa"/>
                  <w:vAlign w:val="center"/>
                </w:tcPr>
                <w:p>
                  <w:pPr>
                    <w:keepNext w:val="0"/>
                    <w:keepLines w:val="0"/>
                    <w:suppressLineNumbers w:val="0"/>
                    <w:spacing w:before="0" w:beforeAutospacing="0" w:after="0" w:afterAutospacing="0"/>
                    <w:ind w:left="0" w:right="0"/>
                    <w:jc w:val="center"/>
                  </w:pPr>
                  <w:r>
                    <w:rPr>
                      <w:rFonts w:hint="eastAsia"/>
                    </w:rPr>
                    <w:t>颗粒物</w:t>
                  </w:r>
                </w:p>
              </w:tc>
              <w:tc>
                <w:tcPr>
                  <w:tcW w:w="110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0.00156</w:t>
                  </w:r>
                </w:p>
              </w:tc>
              <w:tc>
                <w:tcPr>
                  <w:tcW w:w="1056" w:type="dxa"/>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rPr>
                    <w:t>0.000</w:t>
                  </w:r>
                  <w:r>
                    <w:rPr>
                      <w:rFonts w:hint="eastAsia"/>
                      <w:szCs w:val="21"/>
                      <w:lang w:val="en-US" w:eastAsia="zh-CN"/>
                    </w:rPr>
                    <w:t>52</w:t>
                  </w:r>
                </w:p>
              </w:tc>
              <w:tc>
                <w:tcPr>
                  <w:tcW w:w="1153" w:type="dxa"/>
                  <w:vMerge w:val="continue"/>
                  <w:vAlign w:val="center"/>
                </w:tcPr>
                <w:p>
                  <w:pPr>
                    <w:keepNext w:val="0"/>
                    <w:keepLines w:val="0"/>
                    <w:suppressLineNumbers w:val="0"/>
                    <w:spacing w:before="0" w:beforeAutospacing="0" w:after="0" w:afterAutospacing="0"/>
                    <w:ind w:left="0" w:right="0"/>
                    <w:jc w:val="center"/>
                  </w:pPr>
                </w:p>
              </w:tc>
              <w:tc>
                <w:tcPr>
                  <w:tcW w:w="973" w:type="dxa"/>
                  <w:vMerge w:val="continue"/>
                  <w:vAlign w:val="center"/>
                </w:tcPr>
                <w:p>
                  <w:pPr>
                    <w:keepNext w:val="0"/>
                    <w:keepLines w:val="0"/>
                    <w:suppressLineNumbers w:val="0"/>
                    <w:spacing w:before="0" w:beforeAutospacing="0" w:after="0" w:afterAutospacing="0"/>
                    <w:ind w:left="0" w:right="0"/>
                    <w:jc w:val="center"/>
                  </w:pPr>
                </w:p>
              </w:tc>
            </w:tr>
          </w:tbl>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int="eastAsia"/>
                <w:b/>
                <w:bCs/>
                <w:sz w:val="24"/>
              </w:rPr>
              <w:t>（2）</w:t>
            </w:r>
            <w:r>
              <w:rPr>
                <w:b/>
                <w:bCs/>
                <w:sz w:val="24"/>
              </w:rPr>
              <w:t>防治措施</w:t>
            </w:r>
            <w:r>
              <w:rPr>
                <w:rFonts w:hint="eastAsia"/>
                <w:b/>
                <w:bCs/>
                <w:sz w:val="24"/>
              </w:rPr>
              <w:t>及污染物排放分析</w:t>
            </w:r>
          </w:p>
          <w:p>
            <w:pPr>
              <w:keepNext w:val="0"/>
              <w:keepLines w:val="0"/>
              <w:suppressLineNumbers w:val="0"/>
              <w:adjustRightInd w:val="0"/>
              <w:snapToGrid w:val="0"/>
              <w:spacing w:before="0" w:beforeAutospacing="0" w:after="0" w:afterAutospacing="0" w:line="360" w:lineRule="auto"/>
              <w:ind w:left="0" w:right="0" w:firstLine="482" w:firstLineChars="200"/>
              <w:jc w:val="left"/>
              <w:rPr>
                <w:b/>
                <w:bCs/>
                <w:sz w:val="24"/>
              </w:rPr>
            </w:pPr>
            <w:r>
              <w:rPr>
                <w:rFonts w:hint="eastAsia"/>
                <w:b/>
                <w:bCs/>
                <w:sz w:val="24"/>
              </w:rPr>
              <w:t>1）</w:t>
            </w:r>
            <w:r>
              <w:rPr>
                <w:b/>
                <w:bCs/>
                <w:sz w:val="24"/>
              </w:rPr>
              <w:t>有组织废气</w:t>
            </w:r>
            <w:r>
              <w:rPr>
                <w:rFonts w:hint="eastAsia"/>
                <w:b/>
                <w:bCs/>
                <w:sz w:val="24"/>
              </w:rPr>
              <w:t>：</w:t>
            </w: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pStyle w:val="27"/>
              <w:keepNext w:val="0"/>
              <w:keepLines w:val="0"/>
              <w:suppressLineNumbers w:val="0"/>
              <w:ind w:left="-84" w:firstLine="560"/>
              <w:rPr>
                <w:rFonts w:eastAsiaTheme="minorEastAsia"/>
              </w:rPr>
            </w:pPr>
          </w:p>
          <w:p>
            <w:pPr>
              <w:keepNext w:val="0"/>
              <w:keepLines w:val="0"/>
              <w:suppressLineNumbers w:val="0"/>
              <w:adjustRightInd w:val="0"/>
              <w:snapToGrid w:val="0"/>
              <w:spacing w:before="0" w:beforeAutospacing="0" w:after="0" w:afterAutospacing="0" w:line="360" w:lineRule="auto"/>
              <w:ind w:left="0" w:right="0"/>
              <w:jc w:val="center"/>
              <w:rPr>
                <w:b/>
                <w:bCs/>
                <w:sz w:val="24"/>
                <w:szCs w:val="22"/>
              </w:rPr>
            </w:pPr>
          </w:p>
          <w:p>
            <w:pPr>
              <w:keepNext w:val="0"/>
              <w:keepLines w:val="0"/>
              <w:suppressLineNumbers w:val="0"/>
              <w:adjustRightInd w:val="0"/>
              <w:snapToGrid w:val="0"/>
              <w:spacing w:before="0" w:beforeAutospacing="0" w:after="0" w:afterAutospacing="0" w:line="360" w:lineRule="auto"/>
              <w:ind w:left="0" w:right="0"/>
              <w:jc w:val="center"/>
              <w:rPr>
                <w:b/>
                <w:bCs/>
                <w:sz w:val="24"/>
                <w:szCs w:val="22"/>
              </w:rPr>
            </w:pPr>
            <w:r>
              <w:rPr>
                <w:rFonts w:eastAsiaTheme="minorEastAsia"/>
              </w:rPr>
              <w:pict>
                <v:group id="_x0000_s2117" o:spid="_x0000_s2117" o:spt="203" style="height:108.2pt;width:409.8pt;" coordorigin="1925,7912" coordsize="8195,2164" editas="canvas">
                  <o:lock v:ext="edit"/>
                  <v:shape id="_x0000_s2118" o:spid="_x0000_s2118" o:spt="75" type="#_x0000_t75" style="position:absolute;left:1925;top:7912;height:2164;width:8195;" filled="f" stroked="f" coordsize="21600,21600">
                    <v:path/>
                    <v:fill on="f" focussize="0,0"/>
                    <v:stroke on="f"/>
                    <v:imagedata o:title=""/>
                    <o:lock v:ext="edit" text="t" aspectratio="t"/>
                  </v:shape>
                  <v:rect id="矩形 14368" o:spid="_x0000_s2119" o:spt="1" style="position:absolute;left:2825;top:8192;height:381;width:997;" filled="f" stroked="f" coordsize="21600,21600">
                    <v:path/>
                    <v:fill on="f" focussize="0,0"/>
                    <v:stroke on="f"/>
                    <v:imagedata o:title=""/>
                    <o:lock v:ext="edit" aspectratio="f"/>
                    <v:textbox>
                      <w:txbxContent>
                        <w:p>
                          <w:pPr>
                            <w:jc w:val="center"/>
                            <w:rPr>
                              <w:rFonts w:ascii="宋体" w:hAnsi="宋体"/>
                            </w:rPr>
                          </w:pPr>
                          <w:r>
                            <w:rPr>
                              <w:rFonts w:hint="eastAsia" w:ascii="宋体" w:hAnsi="宋体"/>
                            </w:rPr>
                            <w:t>颗粒物</w:t>
                          </w:r>
                        </w:p>
                      </w:txbxContent>
                    </v:textbox>
                  </v:rect>
                  <v:rect id="矩形 14361" o:spid="_x0000_s2120" o:spt="1" style="position:absolute;left:2119;top:8325;height:420;width:967;" filled="f" stroked="f" coordsize="21600,21600">
                    <v:path/>
                    <v:fill on="f" focussize="0,0"/>
                    <v:stroke on="f"/>
                    <v:imagedata o:title=""/>
                    <o:lock v:ext="edit" aspectratio="f"/>
                    <v:textbox>
                      <w:txbxContent>
                        <w:p>
                          <w:pPr>
                            <w:jc w:val="center"/>
                            <w:rPr>
                              <w:rFonts w:ascii="宋体" w:hAnsi="宋体"/>
                            </w:rPr>
                          </w:pPr>
                          <w:r>
                            <w:rPr>
                              <w:rFonts w:hint="eastAsia" w:ascii="宋体" w:hAnsi="宋体"/>
                            </w:rPr>
                            <w:t>涂敷</w:t>
                          </w:r>
                        </w:p>
                      </w:txbxContent>
                    </v:textbox>
                  </v:rect>
                  <v:rect id="矩形 14364" o:spid="_x0000_s2121" o:spt="1" style="position:absolute;left:3826;top:8305;height:520;width:2945;" filled="f" stroked="t" coordsize="21600,21600">
                    <v:path/>
                    <v:fill on="f" focussize="0,0"/>
                    <v:stroke color="#000000" joinstyle="miter"/>
                    <v:imagedata o:title=""/>
                    <o:lock v:ext="edit" aspectratio="f"/>
                    <v:textbox>
                      <w:txbxContent>
                        <w:p>
                          <w:pPr>
                            <w:adjustRightInd w:val="0"/>
                            <w:snapToGrid w:val="0"/>
                            <w:rPr>
                              <w:szCs w:val="21"/>
                            </w:rPr>
                          </w:pPr>
                          <w:r>
                            <w:rPr>
                              <w:rFonts w:hint="eastAsia"/>
                              <w:szCs w:val="21"/>
                            </w:rPr>
                            <w:t>旋风分离塔+二级滤芯除尘器</w:t>
                          </w:r>
                        </w:p>
                      </w:txbxContent>
                    </v:textbox>
                  </v:rect>
                  <v:line id="直线 14367" o:spid="_x0000_s2122" o:spt="20" style="position:absolute;left:2958;top:8541;flip:y;height:1;width:864;" filled="f" stroked="t" coordsize="21600,21600">
                    <v:path arrowok="t"/>
                    <v:fill on="f" focussize="0,0"/>
                    <v:stroke color="#000000" endarrow="block"/>
                    <v:imagedata o:title=""/>
                    <o:lock v:ext="edit" aspectratio="f"/>
                  </v:line>
                  <v:rect id="矩形 14489" o:spid="_x0000_s2123" o:spt="1" style="position:absolute;left:8455;top:8729;height:698;width:1684;" filled="f" stroked="f" coordsize="21600,21600">
                    <v:path/>
                    <v:fill on="f" focussize="0,0"/>
                    <v:stroke on="f"/>
                    <v:imagedata o:title=""/>
                    <o:lock v:ext="edit" aspectratio="f"/>
                    <v:textbox>
                      <w:txbxContent>
                        <w:p>
                          <w:pPr>
                            <w:jc w:val="center"/>
                          </w:pPr>
                          <w:r>
                            <w:t>1</w:t>
                          </w:r>
                          <w:r>
                            <w:rPr>
                              <w:rFonts w:hAnsi="宋体"/>
                            </w:rPr>
                            <w:t>根</w:t>
                          </w:r>
                          <w:r>
                            <w:t>15</w:t>
                          </w:r>
                          <w:r>
                            <w:rPr>
                              <w:rFonts w:hAnsi="宋体"/>
                            </w:rPr>
                            <w:t>米高排气筒（</w:t>
                          </w:r>
                          <w:r>
                            <w:rPr>
                              <w:b/>
                            </w:rPr>
                            <w:t>FQ-1</w:t>
                          </w:r>
                          <w:r>
                            <w:rPr>
                              <w:rFonts w:hAnsi="宋体"/>
                            </w:rPr>
                            <w:t>）</w:t>
                          </w:r>
                        </w:p>
                      </w:txbxContent>
                    </v:textbox>
                  </v:rect>
                  <v:rect id="矩形 14368" o:spid="_x0000_s2124" o:spt="1" style="position:absolute;left:3636;top:9193;height:381;width:1403;" filled="f" stroked="f" coordsize="21600,21600">
                    <v:path/>
                    <v:fill on="f" focussize="0,0"/>
                    <v:stroke on="f"/>
                    <v:imagedata o:title=""/>
                    <o:lock v:ext="edit" aspectratio="f"/>
                    <v:textbox>
                      <w:txbxContent>
                        <w:p>
                          <w:pPr>
                            <w:jc w:val="center"/>
                            <w:rPr>
                              <w:rFonts w:ascii="宋体" w:hAnsi="宋体"/>
                            </w:rPr>
                          </w:pPr>
                          <w:r>
                            <w:rPr>
                              <w:rFonts w:hint="eastAsia" w:ascii="宋体" w:hAnsi="宋体"/>
                            </w:rPr>
                            <w:t>非甲烷总烃</w:t>
                          </w:r>
                        </w:p>
                      </w:txbxContent>
                    </v:textbox>
                  </v:rect>
                  <v:rect id="矩形 14364" o:spid="_x0000_s2125" o:spt="1" style="position:absolute;left:4879;top:9312;height:520;width:1375;" filled="f" stroked="t" coordsize="21600,21600">
                    <v:path/>
                    <v:fill on="f" focussize="0,0"/>
                    <v:stroke color="#000000" joinstyle="miter"/>
                    <v:imagedata o:title=""/>
                    <o:lock v:ext="edit" aspectratio="f"/>
                    <v:textbox>
                      <w:txbxContent>
                        <w:p>
                          <w:pPr>
                            <w:adjustRightInd w:val="0"/>
                            <w:snapToGrid w:val="0"/>
                            <w:rPr>
                              <w:szCs w:val="21"/>
                            </w:rPr>
                          </w:pPr>
                          <w:r>
                            <w:rPr>
                              <w:rFonts w:hint="eastAsia"/>
                              <w:szCs w:val="21"/>
                            </w:rPr>
                            <w:t>二级活性炭</w:t>
                          </w:r>
                        </w:p>
                      </w:txbxContent>
                    </v:textbox>
                  </v:rect>
                  <v:line id="直线 14367" o:spid="_x0000_s2126" o:spt="20" style="position:absolute;left:3858;top:9549;flip:y;height:1;width:1017;" filled="f" stroked="t" coordsize="21600,21600">
                    <v:path arrowok="t"/>
                    <v:fill on="f" focussize="0,0"/>
                    <v:stroke color="#000000" endarrow="block"/>
                    <v:imagedata o:title=""/>
                    <o:lock v:ext="edit" aspectratio="f"/>
                  </v:line>
                  <v:line id="直线 14367" o:spid="_x0000_s2127" o:spt="20" style="position:absolute;left:7303;top:9063;height:1;width:1152;" filled="f" stroked="t" coordsize="21600,21600">
                    <v:path arrowok="t"/>
                    <v:fill on="f" focussize="0,0"/>
                    <v:stroke color="#000000" endarrow="block"/>
                    <v:imagedata o:title=""/>
                    <o:lock v:ext="edit" aspectratio="f"/>
                  </v:line>
                  <v:rect id="矩形 14361" o:spid="_x0000_s2128" o:spt="1" style="position:absolute;left:2035;top:9336;height:420;width:1946;" filled="f" stroked="f" coordsize="21600,21600">
                    <v:path/>
                    <v:fill on="f" focussize="0,0"/>
                    <v:stroke on="f"/>
                    <v:imagedata o:title=""/>
                    <o:lock v:ext="edit" aspectratio="f"/>
                    <v:textbox>
                      <w:txbxContent>
                        <w:p>
                          <w:pPr>
                            <w:jc w:val="center"/>
                            <w:rPr>
                              <w:rFonts w:ascii="宋体" w:hAnsi="宋体"/>
                            </w:rPr>
                          </w:pPr>
                          <w:r>
                            <w:rPr>
                              <w:rFonts w:hint="eastAsia" w:ascii="宋体" w:hAnsi="宋体"/>
                            </w:rPr>
                            <w:t>固化、注塑成型</w:t>
                          </w:r>
                        </w:p>
                      </w:txbxContent>
                    </v:textbox>
                  </v:rect>
                  <v:shape id="_x0000_s2129" o:spid="_x0000_s2129" o:spt="32" type="#_x0000_t32" style="position:absolute;left:6771;top:8565;height:1;width:532;" filled="f" stroked="t" coordsize="21600,21600">
                    <v:path arrowok="t"/>
                    <v:fill on="f" focussize="0,0"/>
                    <v:stroke color="#000000"/>
                    <v:imagedata o:title=""/>
                    <o:lock v:ext="edit" aspectratio="f"/>
                  </v:shape>
                  <v:shape id="_x0000_s2130" o:spid="_x0000_s2130" o:spt="32" type="#_x0000_t32" style="position:absolute;left:6255;top:9574;height:2;width:1049;" filled="f" stroked="t" coordsize="21600,21600">
                    <v:path arrowok="t"/>
                    <v:fill on="f" focussize="0,0"/>
                    <v:stroke color="#000000"/>
                    <v:imagedata o:title=""/>
                    <o:lock v:ext="edit" aspectratio="f"/>
                  </v:shape>
                  <v:shape id="_x0000_s2131" o:spid="_x0000_s2131" o:spt="32" type="#_x0000_t32" style="position:absolute;left:7303;top:8566;height:1008;width:1;" filled="f" stroked="t" coordsize="21600,21600">
                    <v:path arrowok="t"/>
                    <v:fill on="f" focussize="0,0"/>
                    <v:stroke color="#000000"/>
                    <v:imagedata o:title=""/>
                    <o:lock v:ext="edit" aspectratio="f"/>
                  </v:shape>
                  <v:rect id="矩形 14368" o:spid="_x0000_s2132" o:spt="1" style="position:absolute;left:7039;top:8729;height:830;width:1561;" filled="f" stroked="f" coordsize="21600,21600">
                    <v:path/>
                    <v:fill on="f" focussize="0,0"/>
                    <v:stroke on="f"/>
                    <v:imagedata o:title=""/>
                    <o:lock v:ext="edit" aspectratio="f"/>
                    <v:textbox>
                      <w:txbxContent>
                        <w:p>
                          <w:pPr>
                            <w:jc w:val="center"/>
                            <w:rPr>
                              <w:szCs w:val="21"/>
                            </w:rPr>
                          </w:pPr>
                          <w:r>
                            <w:rPr>
                              <w:rFonts w:hAnsi="宋体"/>
                              <w:szCs w:val="21"/>
                            </w:rPr>
                            <w:t>风机风量</w:t>
                          </w:r>
                        </w:p>
                        <w:p>
                          <w:pPr>
                            <w:pStyle w:val="27"/>
                            <w:spacing w:before="0" w:beforeAutospacing="0" w:after="0" w:afterAutospacing="0" w:line="240" w:lineRule="auto"/>
                            <w:ind w:left="0" w:leftChars="0" w:right="0" w:firstLine="0" w:firstLineChars="0"/>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35</w:t>
                          </w:r>
                          <w:r>
                            <w:rPr>
                              <w:rFonts w:ascii="Times New Roman" w:hAnsi="Times New Roman" w:cs="Times New Roman" w:eastAsiaTheme="minorEastAsia"/>
                              <w:sz w:val="21"/>
                              <w:szCs w:val="21"/>
                            </w:rPr>
                            <w:t>000m</w:t>
                          </w:r>
                          <w:r>
                            <w:rPr>
                              <w:rFonts w:ascii="Times New Roman" w:hAnsi="Times New Roman" w:cs="Times New Roman" w:eastAsiaTheme="minorEastAsia"/>
                              <w:sz w:val="21"/>
                              <w:szCs w:val="21"/>
                              <w:vertAlign w:val="superscript"/>
                            </w:rPr>
                            <w:t>3</w:t>
                          </w:r>
                          <w:r>
                            <w:rPr>
                              <w:rFonts w:ascii="Times New Roman" w:hAnsi="Times New Roman" w:cs="Times New Roman" w:eastAsiaTheme="minorEastAsia"/>
                              <w:sz w:val="21"/>
                              <w:szCs w:val="21"/>
                            </w:rPr>
                            <w:t>/h</w:t>
                          </w:r>
                        </w:p>
                      </w:txbxContent>
                    </v:textbox>
                  </v:rect>
                  <w10:wrap type="none"/>
                  <w10:anchorlock/>
                </v:group>
              </w:pict>
            </w:r>
          </w:p>
          <w:p>
            <w:pPr>
              <w:keepNext w:val="0"/>
              <w:keepLines w:val="0"/>
              <w:suppressLineNumbers w:val="0"/>
              <w:adjustRightInd w:val="0"/>
              <w:snapToGrid w:val="0"/>
              <w:spacing w:before="0" w:beforeAutospacing="0" w:after="0" w:afterAutospacing="0"/>
              <w:ind w:left="0" w:right="0"/>
              <w:jc w:val="center"/>
              <w:rPr>
                <w:b/>
                <w:bCs/>
                <w:sz w:val="24"/>
                <w:szCs w:val="22"/>
              </w:rPr>
            </w:pPr>
            <w:r>
              <w:rPr>
                <w:rFonts w:hint="eastAsia"/>
                <w:b/>
                <w:bCs/>
                <w:sz w:val="24"/>
                <w:szCs w:val="22"/>
              </w:rPr>
              <w:t>图4-1</w:t>
            </w:r>
            <w:r>
              <w:rPr>
                <w:b/>
                <w:bCs/>
                <w:sz w:val="24"/>
                <w:szCs w:val="22"/>
              </w:rPr>
              <w:t>项目废气治</w:t>
            </w:r>
            <w:r>
              <w:rPr>
                <w:rFonts w:hint="eastAsia"/>
                <w:b/>
                <w:bCs/>
                <w:sz w:val="24"/>
                <w:szCs w:val="22"/>
              </w:rPr>
              <w:t>理措施示意图</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int="eastAsia"/>
                <w:sz w:val="24"/>
              </w:rPr>
              <w:t>本项目涂敷过程中产生的粉尘经集气罩（共设30个，位于涂敷机密闭空间内）收集后进入旋风分离塔+二级滤芯除尘器处理后通过一根15米高排气筒（FQ-1）排放，废气处理装置对废气的捕集效率为98%，处理效率为98%；固化工段产生的非甲烷总烃由集气罩（共设15个，位于烘箱上方）收集后经二级活性炭处理后和涂敷废气一并通过1根15米高排气筒（FQ-1）排放，废气处理装置对废气的捕集效率为90%，处理效率为80%；注塑成型过程中产生的非甲烷总烃经集气罩（共设5个，位于注塑机上方）收集后进入二级活性炭吸附装置处理，最后通过一根15米高排气筒（FQ-1）排放</w:t>
            </w:r>
            <w:r>
              <w:rPr>
                <w:sz w:val="24"/>
              </w:rPr>
              <w:t>，</w:t>
            </w:r>
            <w:r>
              <w:rPr>
                <w:rFonts w:hint="eastAsia"/>
                <w:sz w:val="24"/>
              </w:rPr>
              <w:t>废气处理装置对废气的捕集效率为90%，处理效率为80%</w:t>
            </w:r>
            <w:r>
              <w:rPr>
                <w:rFonts w:hint="eastAsia"/>
                <w:sz w:val="24"/>
                <w:lang w:eastAsia="zh-CN"/>
              </w:rPr>
              <w:t>；</w:t>
            </w:r>
            <w:r>
              <w:rPr>
                <w:rFonts w:hint="eastAsia"/>
                <w:sz w:val="24"/>
              </w:rPr>
              <w:t>食堂油烟经油烟净化处理装置处理后通过一根8米高排气筒（FQ-2）排放</w:t>
            </w:r>
            <w:r>
              <w:rPr>
                <w:rFonts w:hint="eastAsia"/>
                <w:sz w:val="24"/>
                <w:lang w:eastAsia="zh-CN"/>
              </w:rPr>
              <w:t>；焊接烟尘经移动式滤芯除尘器处理后无组织排放</w:t>
            </w:r>
            <w:r>
              <w:rPr>
                <w:rFonts w:hint="eastAsia"/>
                <w:sz w:val="24"/>
              </w:rPr>
              <w:t>。</w:t>
            </w:r>
          </w:p>
          <w:p>
            <w:pPr>
              <w:keepNext w:val="0"/>
              <w:keepLines w:val="0"/>
              <w:suppressLineNumbers w:val="0"/>
              <w:adjustRightInd w:val="0"/>
              <w:snapToGrid w:val="0"/>
              <w:spacing w:before="0" w:beforeAutospacing="0" w:after="0" w:afterAutospacing="0"/>
              <w:ind w:left="0" w:right="0" w:firstLine="482" w:firstLineChars="200"/>
              <w:jc w:val="center"/>
              <w:rPr>
                <w:bCs/>
                <w:sz w:val="24"/>
              </w:rPr>
            </w:pPr>
            <w:r>
              <w:rPr>
                <w:b/>
                <w:color w:val="000000"/>
                <w:sz w:val="24"/>
              </w:rPr>
              <w:t>表</w:t>
            </w:r>
            <w:r>
              <w:rPr>
                <w:rFonts w:hint="eastAsia"/>
                <w:b/>
                <w:color w:val="000000"/>
                <w:sz w:val="24"/>
              </w:rPr>
              <w:t xml:space="preserve">4-3 </w:t>
            </w:r>
            <w:r>
              <w:rPr>
                <w:b/>
                <w:color w:val="000000"/>
                <w:sz w:val="24"/>
              </w:rPr>
              <w:t>废气处理效果</w:t>
            </w:r>
            <w:r>
              <w:rPr>
                <w:rFonts w:hint="eastAsia"/>
                <w:b/>
                <w:color w:val="000000"/>
                <w:sz w:val="24"/>
              </w:rPr>
              <w:t>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10"/>
              <w:gridCol w:w="2182"/>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66" w:type="pct"/>
                  <w:gridSpan w:val="3"/>
                  <w:tcBorders>
                    <w:top w:val="single" w:color="auto"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szCs w:val="21"/>
                    </w:rPr>
                    <w:t>处理方式</w:t>
                  </w:r>
                </w:p>
              </w:tc>
              <w:tc>
                <w:tcPr>
                  <w:tcW w:w="2334" w:type="pct"/>
                  <w:tcBorders>
                    <w:top w:val="single" w:color="auto" w:sz="12" w:space="0"/>
                    <w:left w:val="nil"/>
                    <w:bottom w:val="single" w:color="auto" w:sz="4" w:space="0"/>
                    <w:right w:val="nil"/>
                  </w:tcBorders>
                </w:tcPr>
                <w:p>
                  <w:pPr>
                    <w:keepNext w:val="0"/>
                    <w:keepLines w:val="0"/>
                    <w:suppressLineNumbers w:val="0"/>
                    <w:spacing w:before="0" w:beforeAutospacing="0" w:after="0" w:afterAutospacing="0"/>
                    <w:ind w:left="0" w:right="0"/>
                    <w:jc w:val="center"/>
                    <w:rPr>
                      <w:b/>
                      <w:szCs w:val="21"/>
                    </w:rPr>
                  </w:pPr>
                  <w:r>
                    <w:rPr>
                      <w:rFonts w:hint="eastAsia"/>
                      <w:b/>
                      <w:szCs w:val="21"/>
                    </w:rPr>
                    <w:t>颗粒物</w:t>
                  </w:r>
                  <w:r>
                    <w:rPr>
                      <w:b/>
                      <w:szCs w:val="21"/>
                    </w:rPr>
                    <w:t>（FQ-1</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旋风分离塔</w:t>
                  </w: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23.285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szCs w:val="21"/>
                    </w:rPr>
                    <w:t>去除率</w:t>
                  </w:r>
                  <w:r>
                    <w:rPr>
                      <w:rFonts w:hint="eastAsia"/>
                      <w:szCs w:val="21"/>
                      <w:lang w:eastAsia="zh-CN"/>
                    </w:rPr>
                    <w:t>（</w:t>
                  </w:r>
                  <w:r>
                    <w:rPr>
                      <w:szCs w:val="21"/>
                    </w:rPr>
                    <w:t>%</w:t>
                  </w:r>
                  <w:r>
                    <w:rPr>
                      <w:rFonts w:hint="eastAsia"/>
                      <w:szCs w:val="21"/>
                      <w:lang w:eastAsia="zh-CN"/>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restart"/>
                  <w:tcBorders>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滤芯除尘器</w:t>
                  </w: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23.285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szCs w:val="21"/>
                    </w:rPr>
                    <w:t>去除率</w:t>
                  </w:r>
                  <w:r>
                    <w:rPr>
                      <w:rFonts w:hint="eastAsia"/>
                      <w:szCs w:val="21"/>
                      <w:lang w:eastAsia="zh-CN"/>
                    </w:rPr>
                    <w:t>（</w:t>
                  </w:r>
                  <w:r>
                    <w:rPr>
                      <w:szCs w:val="21"/>
                    </w:rPr>
                    <w:t>%</w:t>
                  </w:r>
                  <w:r>
                    <w:rPr>
                      <w:rFonts w:hint="eastAsia"/>
                      <w:szCs w:val="21"/>
                      <w:lang w:eastAsia="zh-CN"/>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restart"/>
                  <w:tcBorders>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滤芯除尘器</w:t>
                  </w: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5" w:type="pct"/>
                  <w:vMerge w:val="continue"/>
                  <w:tcBorders>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p>
              </w:tc>
              <w:tc>
                <w:tcPr>
                  <w:tcW w:w="1341" w:type="pct"/>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szCs w:val="21"/>
                    </w:rPr>
                    <w:t>去除率</w:t>
                  </w:r>
                  <w:r>
                    <w:rPr>
                      <w:rFonts w:hint="eastAsia"/>
                      <w:szCs w:val="21"/>
                      <w:lang w:eastAsia="zh-CN"/>
                    </w:rPr>
                    <w:t>（</w:t>
                  </w:r>
                  <w:r>
                    <w:rPr>
                      <w:szCs w:val="21"/>
                    </w:rPr>
                    <w:t>%</w:t>
                  </w:r>
                  <w:r>
                    <w:rPr>
                      <w:rFonts w:hint="eastAsia"/>
                      <w:szCs w:val="21"/>
                      <w:lang w:eastAsia="zh-CN"/>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szCs w:val="21"/>
                    </w:rPr>
                  </w:pPr>
                  <w:r>
                    <w:rPr>
                      <w:rFonts w:hint="eastAsia"/>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66" w:type="pct"/>
                  <w:gridSpan w:val="3"/>
                  <w:tcBorders>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rPr>
                    <w:t>总去除率</w:t>
                  </w:r>
                  <w:r>
                    <w:rPr>
                      <w:rFonts w:hint="eastAsia"/>
                      <w:szCs w:val="21"/>
                      <w:lang w:eastAsia="zh-CN"/>
                    </w:rPr>
                    <w:t>（</w:t>
                  </w:r>
                  <w:r>
                    <w:rPr>
                      <w:szCs w:val="21"/>
                    </w:rPr>
                    <w:t>%</w:t>
                  </w:r>
                  <w:r>
                    <w:rPr>
                      <w:rFonts w:hint="eastAsia"/>
                      <w:szCs w:val="21"/>
                      <w:lang w:eastAsia="zh-CN"/>
                    </w:rPr>
                    <w:t>）</w:t>
                  </w:r>
                </w:p>
              </w:tc>
              <w:tc>
                <w:tcPr>
                  <w:tcW w:w="2334" w:type="pct"/>
                  <w:tcBorders>
                    <w:top w:val="single" w:color="auto" w:sz="4" w:space="0"/>
                    <w:left w:val="nil"/>
                    <w:bottom w:val="single" w:color="auto" w:sz="4" w:space="0"/>
                    <w:right w:val="nil"/>
                  </w:tcBorders>
                </w:tcPr>
                <w:p>
                  <w:pPr>
                    <w:keepNext w:val="0"/>
                    <w:keepLines w:val="0"/>
                    <w:suppressLineNumbers w:val="0"/>
                    <w:spacing w:before="0" w:beforeAutospacing="0" w:after="0" w:afterAutospacing="0"/>
                    <w:ind w:left="0" w:right="0"/>
                    <w:jc w:val="center"/>
                    <w:rPr>
                      <w:szCs w:val="21"/>
                    </w:rPr>
                  </w:pPr>
                  <w:r>
                    <w:rPr>
                      <w:rFonts w:hint="eastAsia"/>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666" w:type="pct"/>
                  <w:gridSpan w:val="3"/>
                  <w:tcBorders>
                    <w:top w:val="single" w:color="auto"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szCs w:val="21"/>
                    </w:rPr>
                    <w:t>处理方式</w:t>
                  </w:r>
                </w:p>
              </w:tc>
              <w:tc>
                <w:tcPr>
                  <w:tcW w:w="2334" w:type="pct"/>
                  <w:tcBorders>
                    <w:top w:val="single" w:color="auto" w:sz="12" w:space="0"/>
                    <w:left w:val="nil"/>
                    <w:bottom w:val="single" w:color="auto" w:sz="4" w:space="0"/>
                    <w:right w:val="nil"/>
                  </w:tcBorders>
                </w:tcPr>
                <w:p>
                  <w:pPr>
                    <w:keepNext w:val="0"/>
                    <w:keepLines w:val="0"/>
                    <w:suppressLineNumbers w:val="0"/>
                    <w:spacing w:before="0" w:beforeAutospacing="0" w:after="0" w:afterAutospacing="0"/>
                    <w:ind w:left="0" w:right="0"/>
                    <w:jc w:val="center"/>
                    <w:rPr>
                      <w:b/>
                      <w:szCs w:val="21"/>
                    </w:rPr>
                  </w:pPr>
                  <w:r>
                    <w:rPr>
                      <w:b/>
                      <w:szCs w:val="21"/>
                    </w:rPr>
                    <w:t>非甲烷总烃（FQ-1</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31" w:type="pct"/>
                  <w:gridSpan w:val="2"/>
                  <w:vMerge w:val="restart"/>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二级</w:t>
                  </w:r>
                  <w:r>
                    <w:rPr>
                      <w:szCs w:val="21"/>
                    </w:rPr>
                    <w:t>活性炭</w:t>
                  </w:r>
                </w:p>
              </w:tc>
              <w:tc>
                <w:tcPr>
                  <w:tcW w:w="1335"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31" w:type="pct"/>
                  <w:gridSpan w:val="2"/>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szCs w:val="21"/>
                    </w:rPr>
                  </w:pPr>
                </w:p>
              </w:tc>
              <w:tc>
                <w:tcPr>
                  <w:tcW w:w="1335" w:type="pct"/>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4" w:type="pct"/>
                  <w:tcBorders>
                    <w:top w:val="single" w:color="auto" w:sz="4" w:space="0"/>
                    <w:left w:val="nil"/>
                    <w:bottom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31" w:type="pct"/>
                  <w:gridSpan w:val="2"/>
                  <w:vMerge w:val="continue"/>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left"/>
                    <w:rPr>
                      <w:szCs w:val="21"/>
                    </w:rPr>
                  </w:pPr>
                </w:p>
              </w:tc>
              <w:tc>
                <w:tcPr>
                  <w:tcW w:w="1335" w:type="pct"/>
                  <w:tcBorders>
                    <w:top w:val="single" w:color="auto" w:sz="4" w:space="0"/>
                    <w:left w:val="nil"/>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szCs w:val="21"/>
                    </w:rPr>
                    <w:t>去除率</w:t>
                  </w:r>
                  <w:r>
                    <w:rPr>
                      <w:rFonts w:hint="eastAsia"/>
                      <w:szCs w:val="21"/>
                      <w:lang w:eastAsia="zh-CN"/>
                    </w:rPr>
                    <w:t>（</w:t>
                  </w:r>
                  <w:r>
                    <w:rPr>
                      <w:szCs w:val="21"/>
                    </w:rPr>
                    <w:t>%</w:t>
                  </w:r>
                  <w:r>
                    <w:rPr>
                      <w:rFonts w:hint="eastAsia"/>
                      <w:szCs w:val="21"/>
                      <w:lang w:eastAsia="zh-CN"/>
                    </w:rPr>
                    <w:t>）</w:t>
                  </w:r>
                </w:p>
              </w:tc>
              <w:tc>
                <w:tcPr>
                  <w:tcW w:w="2334" w:type="pct"/>
                  <w:tcBorders>
                    <w:top w:val="single" w:color="auto" w:sz="4" w:space="0"/>
                    <w:left w:val="nil"/>
                    <w:bottom w:val="single" w:color="auto" w:sz="12" w:space="0"/>
                    <w:right w:val="nil"/>
                  </w:tcBorders>
                </w:tcPr>
                <w:p>
                  <w:pPr>
                    <w:keepNext w:val="0"/>
                    <w:keepLines w:val="0"/>
                    <w:suppressLineNumbers w:val="0"/>
                    <w:spacing w:before="0" w:beforeAutospacing="0" w:after="0" w:afterAutospacing="0"/>
                    <w:ind w:left="0" w:right="0"/>
                    <w:jc w:val="center"/>
                    <w:rPr>
                      <w:szCs w:val="21"/>
                    </w:rPr>
                  </w:pPr>
                  <w:r>
                    <w:rPr>
                      <w:rFonts w:hint="eastAsia"/>
                      <w:szCs w:val="21"/>
                    </w:rPr>
                    <w:t>80%</w:t>
                  </w:r>
                </w:p>
              </w:tc>
            </w:tr>
          </w:tbl>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rFonts w:hint="eastAsia"/>
                <w:bCs/>
                <w:sz w:val="24"/>
              </w:rPr>
              <w:t>风机风量可行性分析：本项目采用集气罩为伞形集气吸尘罩，位于涂敷机</w:t>
            </w:r>
            <w:r>
              <w:rPr>
                <w:rFonts w:hint="eastAsia"/>
                <w:sz w:val="24"/>
              </w:rPr>
              <w:t>密闭空间内上方</w:t>
            </w:r>
            <w:r>
              <w:rPr>
                <w:rFonts w:hint="eastAsia"/>
                <w:bCs/>
                <w:sz w:val="24"/>
              </w:rPr>
              <w:t>、烘箱和注塑机出口上方。</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rFonts w:hint="eastAsia"/>
                <w:bCs/>
                <w:sz w:val="24"/>
              </w:rPr>
              <w:t>涂敷机</w:t>
            </w:r>
            <w:r>
              <w:rPr>
                <w:bCs/>
                <w:sz w:val="24"/>
              </w:rPr>
              <w:t>（共</w:t>
            </w:r>
            <w:r>
              <w:rPr>
                <w:rFonts w:hint="eastAsia"/>
                <w:bCs/>
                <w:sz w:val="24"/>
              </w:rPr>
              <w:t>30台</w:t>
            </w:r>
            <w:r>
              <w:rPr>
                <w:bCs/>
                <w:sz w:val="24"/>
              </w:rPr>
              <w:t>）</w:t>
            </w:r>
            <w:r>
              <w:rPr>
                <w:rFonts w:hint="eastAsia"/>
                <w:bCs/>
                <w:sz w:val="24"/>
              </w:rPr>
              <w:t>：</w:t>
            </w:r>
            <w:r>
              <w:rPr>
                <w:bCs/>
                <w:sz w:val="24"/>
              </w:rPr>
              <w:t>参考《除尘技术手册》（张殿印、张学义编著）中关于常温设备伞形集气吸尘罩的风量计算。</w:t>
            </w:r>
          </w:p>
          <w:p>
            <w:pPr>
              <w:keepNext w:val="0"/>
              <w:keepLines w:val="0"/>
              <w:suppressLineNumbers w:val="0"/>
              <w:adjustRightInd w:val="0"/>
              <w:snapToGrid w:val="0"/>
              <w:spacing w:before="0" w:beforeAutospacing="0" w:after="0" w:afterAutospacing="0" w:line="360" w:lineRule="auto"/>
              <w:ind w:left="0" w:right="0"/>
              <w:jc w:val="center"/>
              <w:rPr>
                <w:bCs/>
                <w:sz w:val="24"/>
                <w:vertAlign w:val="subscript"/>
              </w:rPr>
            </w:pPr>
            <w:r>
              <w:rPr>
                <w:bCs/>
                <w:sz w:val="24"/>
              </w:rPr>
              <w:t>Q=3600Lhv</w:t>
            </w:r>
            <w:r>
              <w:rPr>
                <w:bCs/>
                <w:sz w:val="24"/>
                <w:vertAlign w:val="subscript"/>
              </w:rPr>
              <w:t>p</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bCs/>
                <w:sz w:val="24"/>
              </w:rPr>
              <w:t>式中：Q</w:t>
            </w:r>
            <w:r>
              <w:rPr>
                <w:bCs/>
                <w:sz w:val="24"/>
              </w:rPr>
              <w:softHyphen/>
            </w:r>
            <w:r>
              <w:rPr>
                <w:bCs/>
                <w:sz w:val="24"/>
              </w:rPr>
              <w:t>——集气罩排风量，m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L——罩口周边长，m；本项目约为</w:t>
            </w:r>
            <w:r>
              <w:rPr>
                <w:rFonts w:hint="eastAsia"/>
                <w:bCs/>
                <w:sz w:val="24"/>
                <w:lang w:val="en-US" w:eastAsia="zh-CN"/>
              </w:rPr>
              <w:t>1.2</w:t>
            </w:r>
            <w:r>
              <w:rPr>
                <w:bCs/>
                <w:sz w:val="24"/>
              </w:rPr>
              <w:t>m。</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h——罩口离设备或尘源平面的距离，m；本项目约0.</w:t>
            </w:r>
            <w:r>
              <w:rPr>
                <w:rFonts w:hint="eastAsia"/>
                <w:bCs/>
                <w:sz w:val="24"/>
              </w:rPr>
              <w:t>3</w:t>
            </w:r>
            <w:r>
              <w:rPr>
                <w:bCs/>
                <w:sz w:val="24"/>
              </w:rPr>
              <w:t>m。</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v</w:t>
            </w:r>
            <w:r>
              <w:rPr>
                <w:bCs/>
                <w:sz w:val="24"/>
                <w:vertAlign w:val="subscript"/>
              </w:rPr>
              <w:t>p</w:t>
            </w:r>
            <w:r>
              <w:rPr>
                <w:bCs/>
                <w:sz w:val="24"/>
              </w:rPr>
              <w:t>——罩口周边截面积上的平均风速，m/s；本项目取0.</w:t>
            </w:r>
            <w:r>
              <w:rPr>
                <w:rFonts w:hint="eastAsia"/>
                <w:bCs/>
                <w:sz w:val="24"/>
                <w:lang w:val="en-US" w:eastAsia="zh-CN"/>
              </w:rPr>
              <w:t>4</w:t>
            </w:r>
            <w:r>
              <w:rPr>
                <w:bCs/>
                <w:sz w:val="24"/>
              </w:rPr>
              <w:t>m/s。</w:t>
            </w:r>
          </w:p>
          <w:p>
            <w:pPr>
              <w:keepNext w:val="0"/>
              <w:keepLines w:val="0"/>
              <w:suppressLineNumbers w:val="0"/>
              <w:adjustRightInd w:val="0"/>
              <w:snapToGrid w:val="0"/>
              <w:spacing w:before="0" w:beforeAutospacing="0" w:after="0" w:afterAutospacing="0" w:line="360" w:lineRule="auto"/>
              <w:ind w:left="0" w:right="0"/>
              <w:jc w:val="center"/>
              <w:rPr>
                <w:bCs/>
                <w:sz w:val="24"/>
              </w:rPr>
            </w:pPr>
            <w:r>
              <w:rPr>
                <w:bCs/>
                <w:sz w:val="24"/>
              </w:rPr>
              <w:t>Q=3600*</w:t>
            </w:r>
            <w:r>
              <w:rPr>
                <w:rFonts w:hint="eastAsia"/>
                <w:bCs/>
                <w:sz w:val="24"/>
                <w:lang w:val="en-US" w:eastAsia="zh-CN"/>
              </w:rPr>
              <w:t>1.2</w:t>
            </w:r>
            <w:r>
              <w:rPr>
                <w:bCs/>
                <w:sz w:val="24"/>
              </w:rPr>
              <w:t>*0.</w:t>
            </w:r>
            <w:r>
              <w:rPr>
                <w:rFonts w:hint="eastAsia"/>
                <w:bCs/>
                <w:sz w:val="24"/>
              </w:rPr>
              <w:t>3</w:t>
            </w:r>
            <w:r>
              <w:rPr>
                <w:bCs/>
                <w:sz w:val="24"/>
              </w:rPr>
              <w:t>*0.</w:t>
            </w:r>
            <w:r>
              <w:rPr>
                <w:rFonts w:hint="eastAsia"/>
                <w:bCs/>
                <w:sz w:val="24"/>
                <w:lang w:val="en-US" w:eastAsia="zh-CN"/>
              </w:rPr>
              <w:t>4</w:t>
            </w:r>
            <w:r>
              <w:rPr>
                <w:bCs/>
                <w:sz w:val="24"/>
              </w:rPr>
              <w:t>=</w:t>
            </w:r>
            <w:r>
              <w:rPr>
                <w:rFonts w:hint="eastAsia"/>
                <w:bCs/>
                <w:sz w:val="24"/>
                <w:lang w:val="en-US" w:eastAsia="zh-CN"/>
              </w:rPr>
              <w:t>518.4</w:t>
            </w:r>
            <w:r>
              <w:rPr>
                <w:bCs/>
                <w:sz w:val="24"/>
              </w:rPr>
              <w:t>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sz w:val="24"/>
              </w:rPr>
              <w:t>单个集气罩在充分考虑风损及捕集效率的情况下，风量按照</w:t>
            </w:r>
            <w:r>
              <w:rPr>
                <w:rFonts w:hint="eastAsia"/>
                <w:sz w:val="24"/>
                <w:lang w:val="en-US" w:eastAsia="zh-CN"/>
              </w:rPr>
              <w:t>55</w:t>
            </w:r>
            <w:r>
              <w:rPr>
                <w:rFonts w:hint="eastAsia"/>
                <w:sz w:val="24"/>
              </w:rPr>
              <w:t>0</w:t>
            </w:r>
            <w:r>
              <w:rPr>
                <w:bCs/>
                <w:sz w:val="24"/>
              </w:rPr>
              <w:t>m</w:t>
            </w:r>
            <w:r>
              <w:rPr>
                <w:bCs/>
                <w:sz w:val="24"/>
                <w:vertAlign w:val="superscript"/>
              </w:rPr>
              <w:t>3</w:t>
            </w:r>
            <w:r>
              <w:rPr>
                <w:bCs/>
                <w:sz w:val="24"/>
              </w:rPr>
              <w:t>/h进行计算，项目共</w:t>
            </w:r>
            <w:r>
              <w:rPr>
                <w:rFonts w:hint="eastAsia"/>
                <w:bCs/>
                <w:sz w:val="24"/>
              </w:rPr>
              <w:t>设30</w:t>
            </w:r>
            <w:r>
              <w:rPr>
                <w:bCs/>
                <w:sz w:val="24"/>
              </w:rPr>
              <w:t>个集气罩，风量为</w:t>
            </w:r>
            <w:r>
              <w:rPr>
                <w:rFonts w:hint="eastAsia"/>
                <w:bCs/>
                <w:sz w:val="24"/>
                <w:lang w:val="en-US" w:eastAsia="zh-CN"/>
              </w:rPr>
              <w:t>165</w:t>
            </w:r>
            <w:r>
              <w:rPr>
                <w:rFonts w:hint="eastAsia"/>
                <w:bCs/>
                <w:sz w:val="24"/>
              </w:rPr>
              <w:t>00</w:t>
            </w:r>
            <w:r>
              <w:rPr>
                <w:bCs/>
                <w:sz w:val="24"/>
              </w:rPr>
              <w:t>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rFonts w:hint="eastAsia"/>
                <w:bCs/>
                <w:sz w:val="24"/>
              </w:rPr>
              <w:t>烘箱（15台）</w:t>
            </w:r>
            <w:r>
              <w:rPr>
                <w:bCs/>
                <w:sz w:val="24"/>
              </w:rPr>
              <w:t>：参考《除尘技术手册》（张殿印、张学义编著）中关于常温设备伞形集气吸尘罩的风量计算。</w:t>
            </w:r>
          </w:p>
          <w:p>
            <w:pPr>
              <w:keepNext w:val="0"/>
              <w:keepLines w:val="0"/>
              <w:suppressLineNumbers w:val="0"/>
              <w:adjustRightInd w:val="0"/>
              <w:snapToGrid w:val="0"/>
              <w:spacing w:before="0" w:beforeAutospacing="0" w:after="0" w:afterAutospacing="0" w:line="360" w:lineRule="auto"/>
              <w:ind w:left="0" w:right="0"/>
              <w:jc w:val="center"/>
              <w:rPr>
                <w:bCs/>
                <w:sz w:val="24"/>
                <w:vertAlign w:val="subscript"/>
              </w:rPr>
            </w:pPr>
            <w:r>
              <w:rPr>
                <w:bCs/>
                <w:sz w:val="24"/>
              </w:rPr>
              <w:t>Q=3600Lhv</w:t>
            </w:r>
            <w:r>
              <w:rPr>
                <w:bCs/>
                <w:sz w:val="24"/>
                <w:vertAlign w:val="subscript"/>
              </w:rPr>
              <w:t>p</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bCs/>
                <w:sz w:val="24"/>
              </w:rPr>
              <w:t>式中：Q</w:t>
            </w:r>
            <w:r>
              <w:rPr>
                <w:bCs/>
                <w:sz w:val="24"/>
              </w:rPr>
              <w:softHyphen/>
            </w:r>
            <w:r>
              <w:rPr>
                <w:bCs/>
                <w:sz w:val="24"/>
              </w:rPr>
              <w:t>——集气罩排风量，m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L——罩口周边长，m；本项目约为</w:t>
            </w:r>
            <w:r>
              <w:rPr>
                <w:rFonts w:hint="eastAsia"/>
                <w:bCs/>
                <w:sz w:val="24"/>
                <w:lang w:val="en-US" w:eastAsia="zh-CN"/>
              </w:rPr>
              <w:t>2</w:t>
            </w:r>
            <w:r>
              <w:rPr>
                <w:bCs/>
                <w:sz w:val="24"/>
              </w:rPr>
              <w:t>m。</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h——罩口离设备或尘源平面的距离，m；本项目约0.</w:t>
            </w:r>
            <w:r>
              <w:rPr>
                <w:rFonts w:hint="eastAsia"/>
                <w:bCs/>
                <w:sz w:val="24"/>
              </w:rPr>
              <w:t>3</w:t>
            </w:r>
            <w:r>
              <w:rPr>
                <w:bCs/>
                <w:sz w:val="24"/>
              </w:rPr>
              <w:t>m。</w:t>
            </w:r>
          </w:p>
          <w:p>
            <w:pPr>
              <w:keepNext w:val="0"/>
              <w:keepLines w:val="0"/>
              <w:suppressLineNumbers w:val="0"/>
              <w:adjustRightInd w:val="0"/>
              <w:snapToGrid w:val="0"/>
              <w:spacing w:before="0" w:beforeAutospacing="0" w:after="0" w:afterAutospacing="0" w:line="360" w:lineRule="auto"/>
              <w:ind w:left="0" w:right="0" w:firstLine="1200" w:firstLineChars="500"/>
              <w:jc w:val="left"/>
              <w:rPr>
                <w:bCs/>
                <w:sz w:val="24"/>
              </w:rPr>
            </w:pPr>
            <w:r>
              <w:rPr>
                <w:bCs/>
                <w:sz w:val="24"/>
              </w:rPr>
              <w:t>v</w:t>
            </w:r>
            <w:r>
              <w:rPr>
                <w:bCs/>
                <w:sz w:val="24"/>
                <w:vertAlign w:val="subscript"/>
              </w:rPr>
              <w:t>p</w:t>
            </w:r>
            <w:r>
              <w:rPr>
                <w:bCs/>
                <w:sz w:val="24"/>
              </w:rPr>
              <w:t>——罩口周边截面积上的平均风速，m/s；本项目取0.</w:t>
            </w:r>
            <w:r>
              <w:rPr>
                <w:rFonts w:hint="eastAsia"/>
                <w:bCs/>
                <w:sz w:val="24"/>
                <w:lang w:val="en-US" w:eastAsia="zh-CN"/>
              </w:rPr>
              <w:t>3</w:t>
            </w:r>
            <w:r>
              <w:rPr>
                <w:bCs/>
                <w:sz w:val="24"/>
              </w:rPr>
              <w:t>m/s。</w:t>
            </w:r>
          </w:p>
          <w:p>
            <w:pPr>
              <w:keepNext w:val="0"/>
              <w:keepLines w:val="0"/>
              <w:suppressLineNumbers w:val="0"/>
              <w:adjustRightInd w:val="0"/>
              <w:snapToGrid w:val="0"/>
              <w:spacing w:before="0" w:beforeAutospacing="0" w:after="0" w:afterAutospacing="0" w:line="360" w:lineRule="auto"/>
              <w:ind w:left="0" w:right="0"/>
              <w:jc w:val="center"/>
              <w:rPr>
                <w:bCs/>
                <w:sz w:val="24"/>
              </w:rPr>
            </w:pPr>
            <w:r>
              <w:rPr>
                <w:bCs/>
                <w:sz w:val="24"/>
              </w:rPr>
              <w:t>Q=3600*</w:t>
            </w:r>
            <w:r>
              <w:rPr>
                <w:rFonts w:hint="eastAsia"/>
                <w:bCs/>
                <w:sz w:val="24"/>
                <w:lang w:val="en-US" w:eastAsia="zh-CN"/>
              </w:rPr>
              <w:t>2</w:t>
            </w:r>
            <w:r>
              <w:rPr>
                <w:bCs/>
                <w:sz w:val="24"/>
              </w:rPr>
              <w:t>*0.</w:t>
            </w:r>
            <w:r>
              <w:rPr>
                <w:rFonts w:hint="eastAsia"/>
                <w:bCs/>
                <w:sz w:val="24"/>
              </w:rPr>
              <w:t>3</w:t>
            </w:r>
            <w:r>
              <w:rPr>
                <w:bCs/>
                <w:sz w:val="24"/>
              </w:rPr>
              <w:t>*0.</w:t>
            </w:r>
            <w:r>
              <w:rPr>
                <w:rFonts w:hint="eastAsia"/>
                <w:bCs/>
                <w:sz w:val="24"/>
                <w:lang w:val="en-US" w:eastAsia="zh-CN"/>
              </w:rPr>
              <w:t>3</w:t>
            </w:r>
            <w:r>
              <w:rPr>
                <w:bCs/>
                <w:sz w:val="24"/>
              </w:rPr>
              <w:t>=</w:t>
            </w:r>
            <w:r>
              <w:rPr>
                <w:rFonts w:hint="eastAsia"/>
                <w:bCs/>
                <w:sz w:val="24"/>
                <w:lang w:val="en-US" w:eastAsia="zh-CN"/>
              </w:rPr>
              <w:t>648</w:t>
            </w:r>
            <w:r>
              <w:rPr>
                <w:bCs/>
                <w:sz w:val="24"/>
              </w:rPr>
              <w:t>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sz w:val="24"/>
              </w:rPr>
              <w:t>单个集气罩在充分考虑风损及捕集效率的情况下，风量按照</w:t>
            </w:r>
            <w:r>
              <w:rPr>
                <w:rFonts w:hint="eastAsia"/>
                <w:sz w:val="24"/>
                <w:lang w:val="en-US" w:eastAsia="zh-CN"/>
              </w:rPr>
              <w:t>700</w:t>
            </w:r>
            <w:r>
              <w:rPr>
                <w:bCs/>
                <w:sz w:val="24"/>
              </w:rPr>
              <w:t>m</w:t>
            </w:r>
            <w:r>
              <w:rPr>
                <w:bCs/>
                <w:sz w:val="24"/>
                <w:vertAlign w:val="superscript"/>
              </w:rPr>
              <w:t>3</w:t>
            </w:r>
            <w:r>
              <w:rPr>
                <w:bCs/>
                <w:sz w:val="24"/>
              </w:rPr>
              <w:t>/h进行计算，项目共有</w:t>
            </w:r>
            <w:r>
              <w:rPr>
                <w:rFonts w:hint="eastAsia"/>
                <w:bCs/>
                <w:sz w:val="24"/>
              </w:rPr>
              <w:t>15</w:t>
            </w:r>
            <w:r>
              <w:rPr>
                <w:bCs/>
                <w:sz w:val="24"/>
              </w:rPr>
              <w:t>个集气罩</w:t>
            </w:r>
            <w:r>
              <w:rPr>
                <w:rFonts w:hint="eastAsia"/>
                <w:bCs/>
                <w:sz w:val="24"/>
              </w:rPr>
              <w:t>（位于烘箱上方，烘箱为开关型）</w:t>
            </w:r>
            <w:r>
              <w:rPr>
                <w:bCs/>
                <w:sz w:val="24"/>
              </w:rPr>
              <w:t>，风量为</w:t>
            </w:r>
            <w:r>
              <w:rPr>
                <w:rFonts w:hint="eastAsia"/>
                <w:bCs/>
                <w:sz w:val="24"/>
                <w:lang w:val="en-US" w:eastAsia="zh-CN"/>
              </w:rPr>
              <w:t>10500</w:t>
            </w:r>
            <w:r>
              <w:rPr>
                <w:bCs/>
                <w:sz w:val="24"/>
              </w:rPr>
              <w:t>m</w:t>
            </w:r>
            <w:r>
              <w:rPr>
                <w:bCs/>
                <w:sz w:val="24"/>
                <w:vertAlign w:val="superscript"/>
              </w:rPr>
              <w:t>3</w:t>
            </w:r>
            <w:r>
              <w:rPr>
                <w:bCs/>
                <w:sz w:val="24"/>
              </w:rPr>
              <w:t>/h。</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ascii="宋体" w:hAnsi="宋体"/>
                <w:sz w:val="24"/>
              </w:rPr>
              <w:t>项目采用集气罩为伞形集气吸尘罩，位于</w:t>
            </w:r>
            <w:r>
              <w:rPr>
                <w:rFonts w:hint="eastAsia" w:ascii="宋体" w:hAnsi="宋体"/>
                <w:sz w:val="24"/>
              </w:rPr>
              <w:t>注塑</w:t>
            </w:r>
            <w:r>
              <w:rPr>
                <w:rFonts w:ascii="宋体" w:hAnsi="宋体"/>
                <w:sz w:val="24"/>
              </w:rPr>
              <w:t>机上方，</w:t>
            </w:r>
            <w:r>
              <w:rPr>
                <w:rFonts w:hint="eastAsia" w:ascii="宋体" w:hAnsi="宋体"/>
                <w:sz w:val="24"/>
              </w:rPr>
              <w:t>注塑</w:t>
            </w:r>
            <w:r>
              <w:rPr>
                <w:rFonts w:ascii="宋体" w:hAnsi="宋体"/>
                <w:sz w:val="24"/>
              </w:rPr>
              <w:t>机工作温度为</w:t>
            </w:r>
            <w:r>
              <w:rPr>
                <w:rFonts w:hint="eastAsia"/>
                <w:bCs/>
                <w:sz w:val="24"/>
              </w:rPr>
              <w:t>160~</w:t>
            </w:r>
            <w:r>
              <w:rPr>
                <w:sz w:val="24"/>
              </w:rPr>
              <w:t>1</w:t>
            </w:r>
            <w:r>
              <w:rPr>
                <w:rFonts w:hint="eastAsia"/>
                <w:sz w:val="24"/>
              </w:rPr>
              <w:t>80</w:t>
            </w:r>
            <w:r>
              <w:rPr>
                <w:rFonts w:hint="eastAsia" w:ascii="宋体" w:hAnsi="宋体" w:cs="宋体"/>
                <w:sz w:val="24"/>
              </w:rPr>
              <w:t>℃</w:t>
            </w:r>
            <w:r>
              <w:rPr>
                <w:rFonts w:ascii="宋体" w:hAnsi="宋体"/>
                <w:sz w:val="24"/>
              </w:rPr>
              <w:t>，参考《除尘技术手册》（张殿印、张学义编著）中关于热设备伞形集气吸尘罩（低悬罩）的风量计算。</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int="eastAsia"/>
                <w:sz w:val="24"/>
              </w:rPr>
              <w:t>注塑机</w:t>
            </w:r>
            <w:r>
              <w:rPr>
                <w:rFonts w:ascii="宋体" w:hAnsi="宋体"/>
                <w:sz w:val="24"/>
              </w:rPr>
              <w:t>（</w:t>
            </w:r>
            <w:r>
              <w:rPr>
                <w:rFonts w:hint="eastAsia"/>
                <w:sz w:val="24"/>
              </w:rPr>
              <w:t>5</w:t>
            </w:r>
            <w:r>
              <w:rPr>
                <w:rFonts w:ascii="宋体" w:hAnsi="宋体"/>
                <w:sz w:val="24"/>
              </w:rPr>
              <w:t>台）</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int="eastAsia" w:ascii="宋体" w:hAnsi="宋体"/>
                <w:sz w:val="24"/>
              </w:rPr>
              <w:t>热设备水平面对流散热量</w:t>
            </w:r>
            <w:r>
              <w:rPr>
                <w:rFonts w:hint="eastAsia"/>
                <w:sz w:val="24"/>
              </w:rPr>
              <w:t>W</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m:oMathPara>
              <m:oMath>
                <m:r>
                  <m:rPr>
                    <m:sty m:val="p"/>
                  </m:rPr>
                  <w:rPr>
                    <w:rFonts w:ascii="Cambria Math"/>
                    <w:sz w:val="24"/>
                  </w:rPr>
                  <m:t>W=</m:t>
                </m:r>
                <m:f>
                  <m:fPr>
                    <m:ctrlPr>
                      <w:rPr>
                        <w:rFonts w:ascii="Cambria Math" w:hAnsi="Cambria Math"/>
                        <w:sz w:val="24"/>
                      </w:rPr>
                    </m:ctrlPr>
                  </m:fPr>
                  <m:num>
                    <m:r>
                      <m:rPr/>
                      <w:rPr>
                        <w:rFonts w:ascii="Cambria Math"/>
                        <w:sz w:val="24"/>
                      </w:rPr>
                      <m:t>9</m:t>
                    </m:r>
                    <m:r>
                      <m:rP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n</m:t>
                                </m:r>
                                <m:ctrlPr>
                                  <w:rPr>
                                    <w:rFonts w:ascii="Cambria Math" w:hAnsi="Cambria Math"/>
                                    <w:i/>
                                    <w:sz w:val="24"/>
                                  </w:rPr>
                                </m:ctrlPr>
                              </m:sub>
                            </m:sSub>
                            <m:r>
                              <m:rPr/>
                              <w:rPr>
                                <w:sz w:val="24"/>
                              </w:rPr>
                              <m:t>−</m:t>
                            </m:r>
                            <m:r>
                              <m:rPr/>
                              <w:rPr>
                                <w:rFonts w:ascii="Cambria Math" w:hAnsi="Cambria Math"/>
                                <w:sz w:val="24"/>
                              </w:rPr>
                              <m:t>t</m:t>
                            </m:r>
                            <m:ctrlPr>
                              <w:rPr>
                                <w:rFonts w:ascii="Cambria Math" w:hAnsi="Cambria Math"/>
                                <w:i/>
                                <w:sz w:val="24"/>
                              </w:rPr>
                            </m:ctrlPr>
                          </m:e>
                        </m:d>
                        <m:ctrlPr>
                          <w:rPr>
                            <w:rFonts w:ascii="Cambria Math" w:hAnsi="Cambria Math"/>
                            <w:i/>
                            <w:sz w:val="24"/>
                          </w:rPr>
                        </m:ctrlPr>
                      </m:e>
                      <m:sup>
                        <m:r>
                          <m:rPr/>
                          <w:rPr>
                            <w:rFonts w:ascii="Cambria Math"/>
                            <w:sz w:val="24"/>
                          </w:rPr>
                          <m:t>1.25</m:t>
                        </m:r>
                        <m:ctrlPr>
                          <w:rPr>
                            <w:rFonts w:ascii="Cambria Math" w:hAnsi="Cambria Math"/>
                            <w:i/>
                            <w:sz w:val="24"/>
                          </w:rPr>
                        </m:ctrlPr>
                      </m:sup>
                    </m:sSup>
                    <m:r>
                      <m:rPr/>
                      <w:rPr>
                        <w:rFonts w:hAnsi="Cambria Math"/>
                        <w:sz w:val="24"/>
                      </w:rPr>
                      <m:t>∗</m:t>
                    </m:r>
                    <m:r>
                      <m:rPr/>
                      <w:rPr>
                        <w:rFonts w:ascii="Cambria Math" w:hAnsi="Cambria Math"/>
                        <w:sz w:val="24"/>
                      </w:rPr>
                      <m:t>S</m:t>
                    </m:r>
                    <m:ctrlPr>
                      <w:rPr>
                        <w:rFonts w:ascii="Cambria Math" w:hAnsi="Cambria Math"/>
                        <w:sz w:val="24"/>
                      </w:rPr>
                    </m:ctrlPr>
                  </m:num>
                  <m:den>
                    <m:r>
                      <m:rPr/>
                      <w:rPr>
                        <w:rFonts w:ascii="Cambria Math"/>
                        <w:sz w:val="24"/>
                      </w:rPr>
                      <m:t>3600</m:t>
                    </m:r>
                    <m:ctrlPr>
                      <w:rPr>
                        <w:rFonts w:ascii="Cambria Math" w:hAnsi="Cambria Math"/>
                        <w:sz w:val="24"/>
                      </w:rPr>
                    </m:ctrlPr>
                  </m:den>
                </m:f>
              </m:oMath>
            </m:oMathPara>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int="eastAsia" w:ascii="宋体" w:hAnsi="宋体"/>
                <w:sz w:val="24"/>
              </w:rPr>
              <w:t>其中：</w:t>
            </w:r>
            <w:r>
              <w:rPr>
                <w:rFonts w:hint="eastAsia"/>
                <w:sz w:val="24"/>
              </w:rPr>
              <w:t>W</w:t>
            </w:r>
            <w:r>
              <w:rPr>
                <w:rFonts w:hint="eastAsia" w:ascii="宋体" w:hAnsi="宋体"/>
                <w:sz w:val="24"/>
              </w:rPr>
              <w:t>——热设备水平面对流散热量，</w:t>
            </w:r>
            <w:r>
              <w:rPr>
                <w:rFonts w:hint="eastAsia"/>
                <w:sz w:val="24"/>
              </w:rPr>
              <w:t>kJ/s</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S</w:t>
            </w:r>
            <w:r>
              <w:rPr>
                <w:rFonts w:hint="eastAsia" w:ascii="宋体" w:hAnsi="宋体"/>
                <w:sz w:val="24"/>
              </w:rPr>
              <w:t>——热设备水平表面积，</w:t>
            </w:r>
            <w:r>
              <w:rPr>
                <w:rFonts w:hint="eastAsia"/>
                <w:sz w:val="24"/>
              </w:rPr>
              <w:t>m</w:t>
            </w:r>
            <w:r>
              <w:rPr>
                <w:rFonts w:hint="eastAsia"/>
                <w:sz w:val="24"/>
                <w:vertAlign w:val="superscript"/>
              </w:rPr>
              <w:t>2</w:t>
            </w:r>
            <w:r>
              <w:rPr>
                <w:rFonts w:hint="eastAsia" w:ascii="宋体" w:hAnsi="宋体"/>
                <w:sz w:val="24"/>
              </w:rPr>
              <w:t>；本项目约为</w:t>
            </w:r>
            <w:r>
              <w:rPr>
                <w:rFonts w:hint="eastAsia"/>
                <w:sz w:val="24"/>
                <w:lang w:val="en-US" w:eastAsia="zh-CN"/>
              </w:rPr>
              <w:t>1</w:t>
            </w:r>
            <w:r>
              <w:rPr>
                <w:rFonts w:hint="eastAsia"/>
                <w:sz w:val="24"/>
              </w:rPr>
              <w:t>m</w:t>
            </w:r>
            <w:r>
              <w:rPr>
                <w:rFonts w:hint="eastAsia"/>
                <w:sz w:val="24"/>
                <w:vertAlign w:val="superscript"/>
              </w:rPr>
              <w:t>2</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t</w:t>
            </w:r>
            <w:r>
              <w:rPr>
                <w:rFonts w:hint="eastAsia"/>
                <w:sz w:val="24"/>
                <w:vertAlign w:val="subscript"/>
              </w:rPr>
              <w:t>n</w:t>
            </w:r>
            <w:r>
              <w:rPr>
                <w:rFonts w:hint="eastAsia"/>
                <w:sz w:val="24"/>
              </w:rPr>
              <w:t>——热设备水平表面温度，℃；本项目约为180</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t</w:t>
            </w:r>
            <w:r>
              <w:rPr>
                <w:rFonts w:hint="eastAsia" w:ascii="宋体" w:hAnsi="宋体"/>
                <w:sz w:val="24"/>
              </w:rPr>
              <w:t>——周围空气温度，℃；本项目约为</w:t>
            </w:r>
            <w:r>
              <w:rPr>
                <w:rFonts w:hint="eastAsia"/>
                <w:sz w:val="24"/>
              </w:rPr>
              <w:t>25</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jc w:val="center"/>
              <w:rPr>
                <w:bCs/>
                <w:sz w:val="24"/>
              </w:rPr>
            </w:pPr>
            <m:oMathPara>
              <m:oMath>
                <m:r>
                  <m:rPr>
                    <m:sty m:val="p"/>
                  </m:rPr>
                  <w:rPr>
                    <w:rFonts w:ascii="Cambria Math" w:hAnsi="Cambria Math"/>
                    <w:sz w:val="24"/>
                  </w:rPr>
                  <m:t>W=</m:t>
                </m:r>
                <m:f>
                  <m:fPr>
                    <m:ctrlPr>
                      <w:rPr>
                        <w:rFonts w:ascii="Cambria Math" w:hAnsi="Cambria Math"/>
                        <w:bCs/>
                        <w:sz w:val="24"/>
                      </w:rPr>
                    </m:ctrlPr>
                  </m:fPr>
                  <m:num>
                    <m:r>
                      <m:rPr/>
                      <w:rPr>
                        <w:rFonts w:ascii="Cambria Math" w:hAnsi="Cambria Math"/>
                        <w:sz w:val="24"/>
                      </w:rPr>
                      <m:t>9∗</m:t>
                    </m:r>
                    <m:sSup>
                      <m:sSupPr>
                        <m:ctrlPr>
                          <w:rPr>
                            <w:rFonts w:ascii="Cambria Math" w:hAnsi="Cambria Math"/>
                            <w:bCs/>
                            <w:i/>
                            <w:sz w:val="24"/>
                          </w:rPr>
                        </m:ctrlPr>
                      </m:sSupPr>
                      <m:e>
                        <m:d>
                          <m:dPr>
                            <m:ctrlPr>
                              <w:rPr>
                                <w:rFonts w:ascii="Cambria Math" w:hAnsi="Cambria Math"/>
                                <w:bCs/>
                                <w:i/>
                                <w:sz w:val="24"/>
                              </w:rPr>
                            </m:ctrlPr>
                          </m:dPr>
                          <m:e>
                            <m:r>
                              <m:rPr/>
                              <w:rPr>
                                <w:rFonts w:ascii="Cambria Math" w:hAnsi="Cambria Math"/>
                                <w:sz w:val="24"/>
                              </w:rPr>
                              <m:t>180−25</m:t>
                            </m:r>
                            <m:ctrlPr>
                              <w:rPr>
                                <w:rFonts w:ascii="Cambria Math" w:hAnsi="Cambria Math"/>
                                <w:bCs/>
                                <w:i/>
                                <w:sz w:val="24"/>
                              </w:rPr>
                            </m:ctrlPr>
                          </m:e>
                        </m:d>
                        <m:ctrlPr>
                          <w:rPr>
                            <w:rFonts w:ascii="Cambria Math" w:hAnsi="Cambria Math"/>
                            <w:bCs/>
                            <w:i/>
                            <w:sz w:val="24"/>
                          </w:rPr>
                        </m:ctrlPr>
                      </m:e>
                      <m:sup>
                        <m:r>
                          <m:rPr/>
                          <w:rPr>
                            <w:rFonts w:ascii="Cambria Math" w:hAnsi="Cambria Math"/>
                            <w:sz w:val="24"/>
                          </w:rPr>
                          <m:t>1.25</m:t>
                        </m:r>
                        <m:ctrlPr>
                          <w:rPr>
                            <w:rFonts w:ascii="Cambria Math" w:hAnsi="Cambria Math"/>
                            <w:bCs/>
                            <w:i/>
                            <w:sz w:val="24"/>
                          </w:rPr>
                        </m:ctrlPr>
                      </m:sup>
                    </m:sSup>
                    <m:r>
                      <m:rPr/>
                      <w:rPr>
                        <w:rFonts w:ascii="Cambria Math" w:hAnsi="Cambria Math"/>
                        <w:sz w:val="24"/>
                      </w:rPr>
                      <m:t>∗</m:t>
                    </m:r>
                    <m:r>
                      <m:rPr/>
                      <w:rPr>
                        <w:rFonts w:hint="default" w:ascii="Cambria Math" w:hAnsi="Cambria Math"/>
                        <w:sz w:val="24"/>
                        <w:lang w:val="en-US" w:eastAsia="zh-CN"/>
                      </w:rPr>
                      <m:t>1</m:t>
                    </m:r>
                    <m:ctrlPr>
                      <w:rPr>
                        <w:rFonts w:ascii="Cambria Math" w:hAnsi="Cambria Math"/>
                        <w:bCs/>
                        <w:sz w:val="24"/>
                      </w:rPr>
                    </m:ctrlPr>
                  </m:num>
                  <m:den>
                    <m:r>
                      <m:rPr/>
                      <w:rPr>
                        <w:rFonts w:ascii="Cambria Math" w:hAnsi="Cambria Math"/>
                        <w:sz w:val="24"/>
                      </w:rPr>
                      <m:t>3600</m:t>
                    </m:r>
                    <m:ctrlPr>
                      <w:rPr>
                        <w:rFonts w:ascii="Cambria Math" w:hAnsi="Cambria Math"/>
                        <w:bCs/>
                        <w:sz w:val="24"/>
                      </w:rPr>
                    </m:ctrlPr>
                  </m:den>
                </m:f>
                <m:r>
                  <m:rPr/>
                  <w:rPr>
                    <w:rFonts w:ascii="Cambria Math" w:hAnsi="Cambria Math"/>
                    <w:sz w:val="24"/>
                  </w:rPr>
                  <m:t>=</m:t>
                </m:r>
                <m:r>
                  <m:rPr/>
                  <w:rPr>
                    <w:rFonts w:hint="default" w:ascii="Cambria Math" w:hAnsi="Cambria Math"/>
                    <w:sz w:val="24"/>
                    <w:lang w:val="en-US" w:eastAsia="zh-CN"/>
                  </w:rPr>
                  <m:t>1.368</m:t>
                </m:r>
                <m:f>
                  <m:fPr>
                    <m:type m:val="lin"/>
                    <m:ctrlPr>
                      <w:rPr>
                        <w:rFonts w:ascii="Cambria Math" w:hAnsi="Cambria Math"/>
                        <w:bCs/>
                        <w:i/>
                        <w:sz w:val="24"/>
                      </w:rPr>
                    </m:ctrlPr>
                  </m:fPr>
                  <m:num>
                    <m:r>
                      <m:rPr>
                        <m:sty m:val="p"/>
                      </m:rPr>
                      <w:rPr>
                        <w:rFonts w:ascii="Cambria Math" w:hAnsi="Cambria Math"/>
                        <w:sz w:val="24"/>
                      </w:rPr>
                      <m:t>kJ</m:t>
                    </m:r>
                    <m:ctrlPr>
                      <w:rPr>
                        <w:rFonts w:ascii="Cambria Math" w:hAnsi="Cambria Math"/>
                        <w:bCs/>
                        <w:i/>
                        <w:sz w:val="24"/>
                      </w:rPr>
                    </m:ctrlPr>
                  </m:num>
                  <m:den>
                    <m:r>
                      <m:rPr/>
                      <w:rPr>
                        <w:rFonts w:ascii="Cambria Math" w:hAnsi="Cambria Math"/>
                        <w:sz w:val="24"/>
                      </w:rPr>
                      <m:t>s</m:t>
                    </m:r>
                    <m:ctrlPr>
                      <w:rPr>
                        <w:rFonts w:ascii="Cambria Math" w:hAnsi="Cambria Math"/>
                        <w:bCs/>
                        <w:i/>
                        <w:sz w:val="24"/>
                      </w:rPr>
                    </m:ctrlPr>
                  </m:den>
                </m:f>
              </m:oMath>
            </m:oMathPara>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ascii="宋体" w:hAnsi="宋体"/>
                <w:sz w:val="24"/>
              </w:rPr>
              <w:t>低悬罩的排烟量</w:t>
            </w:r>
            <w:r>
              <w:rPr>
                <w:rFonts w:hint="eastAsia"/>
                <w:sz w:val="24"/>
              </w:rPr>
              <w:t>Q</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vertAlign w:val="superscript"/>
              </w:rPr>
            </w:pPr>
            <w:r>
              <w:rPr>
                <w:rFonts w:hint="eastAsia"/>
                <w:sz w:val="24"/>
              </w:rPr>
              <w:t>Q=0.4</w:t>
            </w:r>
            <w:r>
              <w:rPr>
                <w:rFonts w:hint="eastAsia" w:ascii="宋体" w:hAnsi="宋体"/>
                <w:sz w:val="24"/>
              </w:rPr>
              <w:t>（</w:t>
            </w:r>
            <w:r>
              <w:rPr>
                <w:rFonts w:hint="eastAsia"/>
                <w:sz w:val="24"/>
              </w:rPr>
              <w:t>W*h*</w:t>
            </w:r>
            <w:r>
              <w:rPr>
                <w:rFonts w:hint="eastAsia"/>
                <w:sz w:val="24"/>
                <w:lang w:eastAsia="zh-CN"/>
              </w:rPr>
              <w:t>S1</w:t>
            </w:r>
            <w:r>
              <w:rPr>
                <w:rFonts w:hint="eastAsia" w:ascii="宋体" w:hAnsi="宋体"/>
                <w:sz w:val="24"/>
              </w:rPr>
              <w:t>）</w:t>
            </w:r>
            <w:r>
              <w:rPr>
                <w:rFonts w:hint="eastAsia"/>
                <w:sz w:val="24"/>
                <w:vertAlign w:val="superscript"/>
              </w:rPr>
              <w:t>1/3</w:t>
            </w:r>
          </w:p>
          <w:p>
            <w:pPr>
              <w:keepNext w:val="0"/>
              <w:keepLines w:val="0"/>
              <w:suppressLineNumbers w:val="0"/>
              <w:adjustRightInd w:val="0"/>
              <w:snapToGrid w:val="0"/>
              <w:spacing w:before="0" w:beforeAutospacing="0" w:after="0" w:afterAutospacing="0" w:line="360" w:lineRule="auto"/>
              <w:ind w:left="0" w:right="0" w:firstLine="480" w:firstLineChars="200"/>
              <w:jc w:val="left"/>
              <w:rPr>
                <w:sz w:val="24"/>
              </w:rPr>
            </w:pPr>
            <w:r>
              <w:rPr>
                <w:rFonts w:hint="eastAsia" w:ascii="宋体" w:hAnsi="宋体"/>
                <w:sz w:val="24"/>
              </w:rPr>
              <w:t>其中：</w:t>
            </w:r>
            <w:r>
              <w:rPr>
                <w:rFonts w:hint="eastAsia"/>
                <w:sz w:val="24"/>
              </w:rPr>
              <w:t>Q</w:t>
            </w:r>
            <w:r>
              <w:rPr>
                <w:rFonts w:hint="eastAsia" w:ascii="宋体" w:hAnsi="宋体"/>
                <w:sz w:val="24"/>
              </w:rPr>
              <w:t>——必须排烟量，</w:t>
            </w:r>
            <w:r>
              <w:rPr>
                <w:rFonts w:hint="eastAsia"/>
                <w:sz w:val="24"/>
              </w:rPr>
              <w:t>m</w:t>
            </w:r>
            <w:r>
              <w:rPr>
                <w:rFonts w:hint="eastAsia"/>
                <w:sz w:val="24"/>
                <w:vertAlign w:val="superscript"/>
              </w:rPr>
              <w:t>3</w:t>
            </w:r>
            <w:r>
              <w:rPr>
                <w:rFonts w:hint="eastAsia"/>
                <w:sz w:val="24"/>
              </w:rPr>
              <w:t>/s</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h</w:t>
            </w:r>
            <w:r>
              <w:rPr>
                <w:rFonts w:hint="eastAsia" w:ascii="宋体" w:hAnsi="宋体"/>
                <w:sz w:val="24"/>
              </w:rPr>
              <w:t>——罩口离热</w:t>
            </w:r>
            <w:r>
              <w:rPr>
                <w:rFonts w:hAnsi="宋体"/>
                <w:sz w:val="24"/>
              </w:rPr>
              <w:t>设备水平面的距离，</w:t>
            </w:r>
            <w:r>
              <w:rPr>
                <w:sz w:val="24"/>
              </w:rPr>
              <w:t>m</w:t>
            </w:r>
            <w:r>
              <w:rPr>
                <w:rFonts w:hAnsi="宋体"/>
                <w:sz w:val="24"/>
              </w:rPr>
              <w:t>；本项目约为</w:t>
            </w:r>
            <w:r>
              <w:rPr>
                <w:sz w:val="24"/>
              </w:rPr>
              <w:t>0.</w:t>
            </w:r>
            <w:r>
              <w:rPr>
                <w:rFonts w:hint="eastAsia"/>
                <w:sz w:val="24"/>
              </w:rPr>
              <w:t>3</w:t>
            </w:r>
            <w:r>
              <w:rPr>
                <w:sz w:val="24"/>
              </w:rPr>
              <w:t>m</w:t>
            </w:r>
            <w:r>
              <w:rPr>
                <w:rFonts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W</w:t>
            </w:r>
            <w:r>
              <w:rPr>
                <w:rFonts w:hint="eastAsia" w:ascii="宋体" w:hAnsi="宋体"/>
                <w:sz w:val="24"/>
              </w:rPr>
              <w:t>——热设备水平面对流散热量，</w:t>
            </w:r>
            <w:r>
              <w:rPr>
                <w:rFonts w:hint="eastAsia"/>
                <w:sz w:val="24"/>
              </w:rPr>
              <w:t>kJ/s</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S</w:t>
            </w:r>
            <w:r>
              <w:rPr>
                <w:rFonts w:hint="eastAsia" w:ascii="宋体" w:hAnsi="宋体"/>
                <w:sz w:val="24"/>
              </w:rPr>
              <w:t>——热设备水平表面积，</w:t>
            </w:r>
            <w:r>
              <w:rPr>
                <w:rFonts w:hint="eastAsia"/>
                <w:sz w:val="24"/>
              </w:rPr>
              <w:t>m</w:t>
            </w:r>
            <w:r>
              <w:rPr>
                <w:rFonts w:hint="eastAsia"/>
                <w:sz w:val="24"/>
                <w:vertAlign w:val="superscript"/>
              </w:rPr>
              <w:t>2</w:t>
            </w:r>
            <w:r>
              <w:rPr>
                <w:rFonts w:hint="eastAsia" w:ascii="宋体" w:hAnsi="宋体"/>
                <w:sz w:val="24"/>
              </w:rPr>
              <w:t>；本项目约为</w:t>
            </w:r>
            <w:r>
              <w:rPr>
                <w:rFonts w:hint="eastAsia"/>
                <w:sz w:val="24"/>
                <w:lang w:val="en-US" w:eastAsia="zh-CN"/>
              </w:rPr>
              <w:t>1</w:t>
            </w:r>
            <w:r>
              <w:rPr>
                <w:rFonts w:hint="eastAsia"/>
                <w:sz w:val="24"/>
              </w:rPr>
              <w:t>m</w:t>
            </w:r>
            <w:r>
              <w:rPr>
                <w:rFonts w:hint="eastAsia"/>
                <w:sz w:val="24"/>
                <w:vertAlign w:val="superscript"/>
              </w:rPr>
              <w:t>2</w:t>
            </w:r>
            <w:r>
              <w:rPr>
                <w:rFonts w:hint="eastAsia"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1200" w:firstLineChars="500"/>
              <w:jc w:val="left"/>
              <w:rPr>
                <w:sz w:val="24"/>
              </w:rPr>
            </w:pPr>
            <w:r>
              <w:rPr>
                <w:rFonts w:hint="eastAsia"/>
                <w:sz w:val="24"/>
              </w:rPr>
              <w:t>Q1=0.4</w:t>
            </w:r>
            <w:r>
              <w:rPr>
                <w:rFonts w:hint="eastAsia" w:ascii="宋体" w:hAnsi="宋体"/>
                <w:sz w:val="24"/>
              </w:rPr>
              <w:t>（</w:t>
            </w:r>
            <w:r>
              <w:rPr>
                <w:rFonts w:hint="eastAsia"/>
                <w:sz w:val="24"/>
                <w:lang w:val="en-US" w:eastAsia="zh-CN"/>
              </w:rPr>
              <w:t>1.368</w:t>
            </w:r>
            <w:r>
              <w:rPr>
                <w:rFonts w:hint="eastAsia"/>
                <w:sz w:val="24"/>
              </w:rPr>
              <w:t>*0.3*</w:t>
            </w:r>
            <w:r>
              <w:rPr>
                <w:rFonts w:hint="eastAsia"/>
                <w:sz w:val="24"/>
                <w:lang w:val="en-US" w:eastAsia="zh-CN"/>
              </w:rPr>
              <w:t>1</w:t>
            </w:r>
            <w:r>
              <w:rPr>
                <w:rFonts w:hint="eastAsia"/>
                <w:sz w:val="24"/>
                <w:vertAlign w:val="superscript"/>
              </w:rPr>
              <w:t>2</w:t>
            </w:r>
            <w:r>
              <w:rPr>
                <w:rFonts w:hint="eastAsia" w:ascii="宋体" w:hAnsi="宋体"/>
                <w:sz w:val="24"/>
              </w:rPr>
              <w:t>）</w:t>
            </w:r>
            <w:r>
              <w:rPr>
                <w:rFonts w:hint="eastAsia"/>
                <w:sz w:val="24"/>
                <w:vertAlign w:val="superscript"/>
              </w:rPr>
              <w:t>1/3</w:t>
            </w:r>
            <w:r>
              <w:rPr>
                <w:rFonts w:hint="eastAsia"/>
                <w:sz w:val="24"/>
              </w:rPr>
              <w:t>=0.</w:t>
            </w:r>
            <w:r>
              <w:rPr>
                <w:rFonts w:hint="eastAsia"/>
                <w:sz w:val="24"/>
                <w:lang w:val="en-US" w:eastAsia="zh-CN"/>
              </w:rPr>
              <w:t>297</w:t>
            </w:r>
            <w:r>
              <w:rPr>
                <w:rFonts w:hint="eastAsia"/>
                <w:sz w:val="24"/>
              </w:rPr>
              <w:t>m</w:t>
            </w:r>
            <w:r>
              <w:rPr>
                <w:rFonts w:hint="eastAsia"/>
                <w:sz w:val="24"/>
                <w:vertAlign w:val="superscript"/>
              </w:rPr>
              <w:t>3</w:t>
            </w:r>
            <w:r>
              <w:rPr>
                <w:rFonts w:hint="eastAsia"/>
                <w:sz w:val="24"/>
              </w:rPr>
              <w:t>/s=</w:t>
            </w:r>
            <w:r>
              <w:rPr>
                <w:rFonts w:hint="eastAsia"/>
                <w:sz w:val="24"/>
                <w:lang w:val="en-US" w:eastAsia="zh-CN"/>
              </w:rPr>
              <w:t>1069.2</w:t>
            </w:r>
            <w:r>
              <w:rPr>
                <w:rFonts w:hint="eastAsia"/>
                <w:sz w:val="24"/>
              </w:rPr>
              <w:t>m</w:t>
            </w:r>
            <w:r>
              <w:rPr>
                <w:rFonts w:hint="eastAsia"/>
                <w:sz w:val="24"/>
                <w:vertAlign w:val="superscript"/>
              </w:rPr>
              <w:t>3</w:t>
            </w:r>
            <w:r>
              <w:rPr>
                <w:rFonts w:hint="eastAsia"/>
                <w:sz w:val="24"/>
              </w:rPr>
              <w:t>/h</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rFonts w:hint="eastAsia"/>
                <w:bCs/>
                <w:sz w:val="24"/>
                <w:szCs w:val="22"/>
              </w:rPr>
              <w:t>本项目共设5个集气罩，设计风量取</w:t>
            </w:r>
            <w:r>
              <w:rPr>
                <w:rFonts w:hint="eastAsia"/>
                <w:bCs/>
                <w:sz w:val="24"/>
                <w:szCs w:val="22"/>
                <w:lang w:val="en-US" w:eastAsia="zh-CN"/>
              </w:rPr>
              <w:t>120</w:t>
            </w:r>
            <w:r>
              <w:rPr>
                <w:rFonts w:hint="eastAsia"/>
                <w:bCs/>
                <w:sz w:val="24"/>
                <w:szCs w:val="22"/>
              </w:rPr>
              <w:t>0</w:t>
            </w:r>
            <w:r>
              <w:rPr>
                <w:bCs/>
                <w:sz w:val="24"/>
              </w:rPr>
              <w:t>m</w:t>
            </w:r>
            <w:r>
              <w:rPr>
                <w:bCs/>
                <w:sz w:val="24"/>
                <w:vertAlign w:val="superscript"/>
              </w:rPr>
              <w:t>3</w:t>
            </w:r>
            <w:r>
              <w:rPr>
                <w:bCs/>
                <w:sz w:val="24"/>
              </w:rPr>
              <w:t>/h，</w:t>
            </w:r>
            <w:r>
              <w:rPr>
                <w:rFonts w:hint="eastAsia"/>
                <w:bCs/>
                <w:sz w:val="24"/>
                <w:szCs w:val="22"/>
              </w:rPr>
              <w:t>总所需风量为</w:t>
            </w:r>
            <w:r>
              <w:rPr>
                <w:rFonts w:hint="eastAsia"/>
                <w:bCs/>
                <w:sz w:val="24"/>
                <w:szCs w:val="22"/>
                <w:lang w:val="en-US" w:eastAsia="zh-CN"/>
              </w:rPr>
              <w:t>12</w:t>
            </w:r>
            <w:r>
              <w:rPr>
                <w:rFonts w:hint="eastAsia"/>
                <w:bCs/>
                <w:sz w:val="24"/>
                <w:szCs w:val="22"/>
              </w:rPr>
              <w:t>00*5=</w:t>
            </w:r>
            <w:r>
              <w:rPr>
                <w:rFonts w:hint="eastAsia"/>
                <w:bCs/>
                <w:sz w:val="24"/>
                <w:szCs w:val="22"/>
                <w:lang w:val="en-US" w:eastAsia="zh-CN"/>
              </w:rPr>
              <w:t>6</w:t>
            </w:r>
            <w:r>
              <w:rPr>
                <w:rFonts w:hint="eastAsia"/>
                <w:bCs/>
                <w:sz w:val="24"/>
                <w:szCs w:val="22"/>
              </w:rPr>
              <w:t>000m</w:t>
            </w:r>
            <w:r>
              <w:rPr>
                <w:rFonts w:hint="eastAsia"/>
                <w:bCs/>
                <w:sz w:val="24"/>
                <w:szCs w:val="22"/>
                <w:vertAlign w:val="superscript"/>
              </w:rPr>
              <w:t>3</w:t>
            </w:r>
            <w:r>
              <w:rPr>
                <w:rFonts w:hint="eastAsia"/>
                <w:bCs/>
                <w:sz w:val="24"/>
                <w:szCs w:val="22"/>
              </w:rPr>
              <w:t>/h。</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rFonts w:hint="eastAsia"/>
                <w:bCs/>
                <w:sz w:val="24"/>
              </w:rPr>
              <w:t>综上可知总共需要风量为</w:t>
            </w:r>
            <w:r>
              <w:rPr>
                <w:rFonts w:hint="eastAsia"/>
                <w:bCs/>
                <w:sz w:val="24"/>
                <w:lang w:val="en-US" w:eastAsia="zh-CN"/>
              </w:rPr>
              <w:t>3300</w:t>
            </w:r>
            <w:r>
              <w:rPr>
                <w:rFonts w:hint="eastAsia"/>
                <w:bCs/>
                <w:sz w:val="24"/>
              </w:rPr>
              <w:t>0m³/h，本项目配套的处理装置风机总风量为</w:t>
            </w:r>
            <w:r>
              <w:rPr>
                <w:rFonts w:hint="eastAsia"/>
                <w:bCs/>
                <w:sz w:val="24"/>
                <w:lang w:val="en-US" w:eastAsia="zh-CN"/>
              </w:rPr>
              <w:t>35</w:t>
            </w:r>
            <w:r>
              <w:rPr>
                <w:rFonts w:hint="eastAsia"/>
                <w:bCs/>
                <w:sz w:val="24"/>
              </w:rPr>
              <w:t>000m³/h，故满足所需风量要求。</w:t>
            </w:r>
          </w:p>
          <w:p>
            <w:pPr>
              <w:keepNext w:val="0"/>
              <w:keepLines w:val="0"/>
              <w:suppressLineNumbers w:val="0"/>
              <w:adjustRightInd w:val="0"/>
              <w:snapToGrid w:val="0"/>
              <w:spacing w:before="0" w:beforeAutospacing="0" w:after="0" w:afterAutospacing="0" w:line="360" w:lineRule="auto"/>
              <w:ind w:left="0" w:right="0" w:firstLine="482" w:firstLineChars="200"/>
              <w:rPr>
                <w:bCs/>
                <w:sz w:val="24"/>
              </w:rPr>
            </w:pPr>
            <w:r>
              <w:rPr>
                <w:rFonts w:hint="eastAsia"/>
                <w:b/>
                <w:bCs/>
                <w:sz w:val="24"/>
              </w:rPr>
              <w:t>2）</w:t>
            </w:r>
            <w:r>
              <w:rPr>
                <w:b/>
                <w:bCs/>
                <w:sz w:val="24"/>
              </w:rPr>
              <w:t>无组织废气</w:t>
            </w:r>
          </w:p>
          <w:p>
            <w:pPr>
              <w:keepNext w:val="0"/>
              <w:keepLines w:val="0"/>
              <w:suppressLineNumbers w:val="0"/>
              <w:adjustRightInd w:val="0"/>
              <w:snapToGrid w:val="0"/>
              <w:spacing w:before="0" w:beforeAutospacing="0" w:after="0" w:afterAutospacing="0" w:line="360" w:lineRule="auto"/>
              <w:ind w:left="0" w:right="0" w:firstLine="480" w:firstLineChars="200"/>
              <w:jc w:val="left"/>
              <w:rPr>
                <w:bCs/>
                <w:sz w:val="24"/>
              </w:rPr>
            </w:pPr>
            <w:r>
              <w:rPr>
                <w:rFonts w:hint="eastAsia" w:ascii="宋体" w:hAnsi="宋体"/>
                <w:sz w:val="24"/>
              </w:rPr>
              <w:t>焊接烟尘及涂敷、固化、</w:t>
            </w:r>
            <w:r>
              <w:rPr>
                <w:rFonts w:hint="eastAsia" w:ascii="宋体" w:hAnsi="宋体" w:cs="宋体"/>
                <w:bCs/>
                <w:sz w:val="24"/>
                <w:szCs w:val="22"/>
              </w:rPr>
              <w:t>注塑成型工序未捕集废气在车间内无组织排放，</w:t>
            </w:r>
            <w:r>
              <w:rPr>
                <w:sz w:val="24"/>
              </w:rPr>
              <w:t>通过加强车间通风可减少其对周围大气环境的影响</w:t>
            </w:r>
            <w:r>
              <w:rPr>
                <w:rFonts w:hint="eastAsia" w:ascii="宋体" w:hAnsi="宋体" w:cs="宋体"/>
                <w:bCs/>
                <w:sz w:val="24"/>
                <w:szCs w:val="22"/>
              </w:rPr>
              <w:t>。</w:t>
            </w:r>
          </w:p>
          <w:p>
            <w:pPr>
              <w:keepNext w:val="0"/>
              <w:keepLines w:val="0"/>
              <w:suppressLineNumbers w:val="0"/>
              <w:adjustRightInd w:val="0"/>
              <w:snapToGrid w:val="0"/>
              <w:spacing w:before="0" w:beforeAutospacing="0" w:after="0" w:afterAutospacing="0" w:line="360" w:lineRule="auto"/>
              <w:ind w:left="482" w:right="0"/>
              <w:rPr>
                <w:b/>
                <w:sz w:val="24"/>
                <w:szCs w:val="22"/>
              </w:rPr>
            </w:pPr>
            <w:r>
              <w:rPr>
                <w:rFonts w:hint="eastAsia"/>
                <w:b/>
                <w:sz w:val="24"/>
                <w:szCs w:val="22"/>
              </w:rPr>
              <w:t>3）</w:t>
            </w:r>
            <w:r>
              <w:rPr>
                <w:rFonts w:hint="eastAsia" w:ascii="宋体" w:hAnsi="宋体"/>
                <w:b/>
                <w:bCs/>
                <w:sz w:val="24"/>
              </w:rPr>
              <w:t>污染防治措施可行性分析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本项目生产废气拟采取的废气处理措施为</w:t>
            </w:r>
            <w:r>
              <w:rPr>
                <w:rFonts w:hint="eastAsia"/>
                <w:sz w:val="24"/>
              </w:rPr>
              <w:t>旋风分离塔+二级滤芯除尘器</w:t>
            </w:r>
            <w:r>
              <w:rPr>
                <w:rFonts w:hint="eastAsia"/>
                <w:bCs/>
                <w:sz w:val="24"/>
              </w:rPr>
              <w:t>和</w:t>
            </w:r>
            <w:r>
              <w:rPr>
                <w:bCs/>
                <w:sz w:val="24"/>
              </w:rPr>
              <w:t>二级活性炭吸附，属于</w:t>
            </w:r>
            <w:r>
              <w:rPr>
                <w:sz w:val="24"/>
              </w:rPr>
              <w:t>《</w:t>
            </w:r>
            <w:r>
              <w:rPr>
                <w:rFonts w:hint="eastAsia"/>
                <w:sz w:val="24"/>
              </w:rPr>
              <w:t>排污许可证申请与核发技术规范</w:t>
            </w:r>
            <w:r>
              <w:rPr>
                <w:rFonts w:hint="eastAsia"/>
                <w:sz w:val="24"/>
                <w:lang w:val="en-US" w:eastAsia="zh-CN"/>
              </w:rPr>
              <w:t xml:space="preserve"> </w:t>
            </w:r>
            <w:r>
              <w:rPr>
                <w:rFonts w:hint="eastAsia"/>
                <w:sz w:val="24"/>
              </w:rPr>
              <w:t>总则</w:t>
            </w:r>
            <w:r>
              <w:rPr>
                <w:sz w:val="24"/>
              </w:rPr>
              <w:t>》（</w:t>
            </w:r>
            <w:r>
              <w:rPr>
                <w:rFonts w:hint="eastAsia"/>
                <w:sz w:val="24"/>
              </w:rPr>
              <w:t>HJ942—2018</w:t>
            </w:r>
            <w:r>
              <w:rPr>
                <w:sz w:val="24"/>
              </w:rPr>
              <w:t>）</w:t>
            </w:r>
            <w:r>
              <w:rPr>
                <w:bCs/>
                <w:sz w:val="24"/>
              </w:rPr>
              <w:t>中的可行技术。</w:t>
            </w:r>
          </w:p>
          <w:p>
            <w:pPr>
              <w:keepNext w:val="0"/>
              <w:keepLines w:val="0"/>
              <w:suppressLineNumbers w:val="0"/>
              <w:adjustRightInd w:val="0"/>
              <w:snapToGrid w:val="0"/>
              <w:spacing w:before="0" w:beforeAutospacing="0" w:after="0" w:afterAutospacing="0" w:line="360" w:lineRule="auto"/>
              <w:ind w:left="482" w:right="0"/>
              <w:rPr>
                <w:sz w:val="24"/>
                <w:szCs w:val="22"/>
              </w:rPr>
            </w:pPr>
            <w:r>
              <w:rPr>
                <w:rFonts w:hint="eastAsia"/>
                <w:b/>
                <w:bCs/>
                <w:sz w:val="24"/>
              </w:rPr>
              <w:t>4</w:t>
            </w:r>
            <w:r>
              <w:rPr>
                <w:b/>
                <w:bCs/>
                <w:sz w:val="24"/>
              </w:rPr>
              <w:t>）</w:t>
            </w:r>
            <w:r>
              <w:rPr>
                <w:b/>
                <w:sz w:val="24"/>
                <w:szCs w:val="22"/>
              </w:rPr>
              <w:t>技术、经济可行性论证</w:t>
            </w:r>
          </w:p>
          <w:p>
            <w:pPr>
              <w:pStyle w:val="5"/>
              <w:keepNext w:val="0"/>
              <w:keepLines w:val="0"/>
              <w:suppressLineNumbers w:val="0"/>
              <w:spacing w:before="0" w:beforeAutospacing="0" w:after="0" w:afterAutospacing="0" w:line="360" w:lineRule="auto"/>
              <w:ind w:left="0" w:right="0" w:firstLine="482" w:firstLineChars="200"/>
              <w:rPr>
                <w:rFonts w:ascii="宋体" w:hAnsi="宋体" w:cs="宋体"/>
                <w:sz w:val="24"/>
              </w:rPr>
            </w:pPr>
            <w:r>
              <w:rPr>
                <w:rFonts w:hint="eastAsia" w:ascii="宋体" w:hAnsi="宋体" w:cs="宋体"/>
                <w:b/>
                <w:bCs/>
                <w:sz w:val="24"/>
              </w:rPr>
              <w:t>旋风分离塔</w:t>
            </w:r>
          </w:p>
          <w:p>
            <w:pPr>
              <w:keepNext w:val="0"/>
              <w:keepLines w:val="0"/>
              <w:suppressLineNumbers w:val="0"/>
              <w:spacing w:before="0" w:beforeAutospacing="0" w:after="0" w:afterAutospacing="0" w:line="360" w:lineRule="auto"/>
              <w:ind w:left="0" w:right="0" w:firstLine="480" w:firstLineChars="200"/>
              <w:rPr>
                <w:rFonts w:ascii="宋体" w:hAnsi="宋体" w:cs="宋体"/>
                <w:sz w:val="24"/>
              </w:rPr>
            </w:pPr>
            <w:r>
              <w:rPr>
                <w:rFonts w:ascii="宋体" w:hAnsi="宋体" w:cs="宋体"/>
                <w:sz w:val="24"/>
              </w:rPr>
              <w:t>旋风分离</w:t>
            </w:r>
            <w:r>
              <w:rPr>
                <w:rFonts w:hint="eastAsia" w:ascii="宋体" w:hAnsi="宋体" w:cs="宋体"/>
                <w:sz w:val="24"/>
              </w:rPr>
              <w:t>塔</w:t>
            </w:r>
            <w:r>
              <w:rPr>
                <w:rFonts w:ascii="宋体" w:hAnsi="宋体" w:cs="宋体"/>
                <w:sz w:val="24"/>
              </w:rPr>
              <w:t>，是用于气固体系或者液固体系的</w:t>
            </w:r>
            <w:r>
              <w:fldChar w:fldCharType="begin"/>
            </w:r>
            <w:r>
              <w:instrText xml:space="preserve"> HYPERLINK "https://baike.baidu.com/item/%E5%88%86%E7%A6%BB/6369610" \t "_blank" </w:instrText>
            </w:r>
            <w:r>
              <w:fldChar w:fldCharType="separate"/>
            </w:r>
            <w:r>
              <w:rPr>
                <w:rFonts w:ascii="宋体" w:hAnsi="宋体" w:cs="宋体"/>
                <w:sz w:val="24"/>
              </w:rPr>
              <w:t>分离</w:t>
            </w:r>
            <w:r>
              <w:rPr>
                <w:rFonts w:ascii="宋体" w:hAnsi="宋体" w:cs="宋体"/>
                <w:sz w:val="24"/>
              </w:rPr>
              <w:fldChar w:fldCharType="end"/>
            </w:r>
            <w:r>
              <w:rPr>
                <w:rFonts w:ascii="宋体" w:hAnsi="宋体" w:cs="宋体"/>
                <w:sz w:val="24"/>
              </w:rPr>
              <w:t>的一种</w:t>
            </w:r>
            <w:r>
              <w:fldChar w:fldCharType="begin"/>
            </w:r>
            <w:r>
              <w:instrText xml:space="preserve"> HYPERLINK "https://baike.baidu.com/item/%E8%AE%BE%E5%A4%87/3794003" \t "_blank" </w:instrText>
            </w:r>
            <w:r>
              <w:fldChar w:fldCharType="separate"/>
            </w:r>
            <w:r>
              <w:rPr>
                <w:rFonts w:ascii="宋体" w:hAnsi="宋体" w:cs="宋体"/>
                <w:sz w:val="24"/>
              </w:rPr>
              <w:t>设备</w:t>
            </w:r>
            <w:r>
              <w:rPr>
                <w:rFonts w:ascii="宋体" w:hAnsi="宋体" w:cs="宋体"/>
                <w:sz w:val="24"/>
              </w:rPr>
              <w:fldChar w:fldCharType="end"/>
            </w:r>
            <w:r>
              <w:rPr>
                <w:rFonts w:ascii="宋体" w:hAnsi="宋体" w:cs="宋体"/>
                <w:sz w:val="24"/>
              </w:rPr>
              <w:t>。工作原理为靠气流切向引入造成的旋转运动，使具有较大</w:t>
            </w:r>
            <w:r>
              <w:fldChar w:fldCharType="begin"/>
            </w:r>
            <w:r>
              <w:instrText xml:space="preserve"> HYPERLINK "https://baike.baidu.com/item/%E6%83%AF%E6%80%A7%E7%A6%BB%E5%BF%83%E5%8A%9B/1532947" \t "_blank" </w:instrText>
            </w:r>
            <w:r>
              <w:fldChar w:fldCharType="separate"/>
            </w:r>
            <w:r>
              <w:rPr>
                <w:rFonts w:ascii="宋体" w:hAnsi="宋体" w:cs="宋体"/>
                <w:sz w:val="24"/>
              </w:rPr>
              <w:t>惯性离心力</w:t>
            </w:r>
            <w:r>
              <w:rPr>
                <w:rFonts w:ascii="宋体" w:hAnsi="宋体" w:cs="宋体"/>
                <w:sz w:val="24"/>
              </w:rPr>
              <w:fldChar w:fldCharType="end"/>
            </w:r>
            <w:r>
              <w:rPr>
                <w:rFonts w:ascii="宋体" w:hAnsi="宋体" w:cs="宋体"/>
                <w:sz w:val="24"/>
              </w:rPr>
              <w:t>的固体颗粒或液滴甩向外壁面分开。旋风分离器的主要特点是结构简单、操作弹性大、效率较高、管理</w:t>
            </w:r>
            <w:r>
              <w:fldChar w:fldCharType="begin"/>
            </w:r>
            <w:r>
              <w:instrText xml:space="preserve"> HYPERLINK "https://baike.baidu.com/item/%E7%BB%B4%E4%BF%AE/3290939" \t "_blank" </w:instrText>
            </w:r>
            <w:r>
              <w:fldChar w:fldCharType="separate"/>
            </w:r>
            <w:r>
              <w:rPr>
                <w:rFonts w:ascii="宋体" w:hAnsi="宋体" w:cs="宋体"/>
                <w:sz w:val="24"/>
              </w:rPr>
              <w:t>维修</w:t>
            </w:r>
            <w:r>
              <w:rPr>
                <w:rFonts w:ascii="宋体" w:hAnsi="宋体" w:cs="宋体"/>
                <w:sz w:val="24"/>
              </w:rPr>
              <w:fldChar w:fldCharType="end"/>
            </w:r>
            <w:r>
              <w:rPr>
                <w:rFonts w:ascii="宋体" w:hAnsi="宋体" w:cs="宋体"/>
                <w:sz w:val="24"/>
              </w:rPr>
              <w:t>方便，价格低廉，用于</w:t>
            </w:r>
            <w:r>
              <w:rPr>
                <w:rFonts w:hint="default" w:ascii="Times New Roman" w:hAnsi="Times New Roman" w:cs="Times New Roman"/>
                <w:sz w:val="24"/>
              </w:rPr>
              <w:t>捕集直径5～10μm以上的粉尘，广泛应用于</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"https://baike.baidu.com/item/%E5%88%B6%E8%8D%AF%E5%B7%A5%E4%B8%9A/2395575" \t "_blank" </w:instrText>
            </w:r>
            <w:r>
              <w:rPr>
                <w:rFonts w:hint="default" w:ascii="Times New Roman" w:hAnsi="Times New Roman" w:cs="Times New Roman"/>
              </w:rPr>
              <w:fldChar w:fldCharType="separate"/>
            </w:r>
            <w:r>
              <w:rPr>
                <w:rFonts w:hint="default" w:ascii="Times New Roman" w:hAnsi="Times New Roman" w:cs="Times New Roman"/>
                <w:sz w:val="24"/>
              </w:rPr>
              <w:t>制药工业</w:t>
            </w:r>
            <w:r>
              <w:rPr>
                <w:rFonts w:hint="default" w:ascii="Times New Roman" w:hAnsi="Times New Roman" w:cs="Times New Roman"/>
                <w:sz w:val="24"/>
              </w:rPr>
              <w:fldChar w:fldCharType="end"/>
            </w:r>
            <w:r>
              <w:rPr>
                <w:rFonts w:hint="default" w:ascii="Times New Roman" w:hAnsi="Times New Roman" w:cs="Times New Roman"/>
                <w:sz w:val="24"/>
              </w:rPr>
              <w:t>中，特别适合粉尘颗粒较粗，含尘浓度较大，高温、高压条件下，也常作为</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"https://baike.baidu.com/item/%E6%B5%81%E5%8C%96%E5%BA%8A%E5%8F%8D%E5%BA%94%E5%99%A8/4269426" \t "_blank" </w:instrText>
            </w:r>
            <w:r>
              <w:rPr>
                <w:rFonts w:hint="default" w:ascii="Times New Roman" w:hAnsi="Times New Roman" w:cs="Times New Roman"/>
              </w:rPr>
              <w:fldChar w:fldCharType="separate"/>
            </w:r>
            <w:r>
              <w:rPr>
                <w:rFonts w:hint="default" w:ascii="Times New Roman" w:hAnsi="Times New Roman" w:cs="Times New Roman"/>
                <w:sz w:val="24"/>
              </w:rPr>
              <w:t>流化床反应器</w:t>
            </w:r>
            <w:r>
              <w:rPr>
                <w:rFonts w:hint="default" w:ascii="Times New Roman" w:hAnsi="Times New Roman" w:cs="Times New Roman"/>
                <w:sz w:val="24"/>
              </w:rPr>
              <w:fldChar w:fldCharType="end"/>
            </w:r>
            <w:r>
              <w:rPr>
                <w:rFonts w:hint="default" w:ascii="Times New Roman" w:hAnsi="Times New Roman" w:cs="Times New Roman"/>
                <w:sz w:val="24"/>
              </w:rPr>
              <w:t>的内分离装置，或作为预分离器</w:t>
            </w:r>
            <w:r>
              <w:rPr>
                <w:rFonts w:ascii="宋体" w:hAnsi="宋体" w:cs="宋体"/>
                <w:sz w:val="24"/>
              </w:rPr>
              <w:t>使用，是工业上应用很广的一种分离设备。</w:t>
            </w:r>
          </w:p>
          <w:p>
            <w:pPr>
              <w:keepNext w:val="0"/>
              <w:keepLines w:val="0"/>
              <w:suppressLineNumbers w:val="0"/>
              <w:spacing w:before="0" w:beforeAutospacing="0" w:after="0" w:afterAutospacing="0" w:line="360" w:lineRule="auto"/>
              <w:ind w:left="0" w:right="0" w:firstLine="482" w:firstLineChars="200"/>
              <w:rPr>
                <w:rFonts w:ascii="宋体" w:hAnsi="宋体" w:cs="宋体"/>
                <w:b/>
                <w:sz w:val="24"/>
              </w:rPr>
            </w:pPr>
            <w:r>
              <w:rPr>
                <w:rFonts w:hint="eastAsia" w:ascii="宋体" w:hAnsi="宋体" w:cs="宋体"/>
                <w:b/>
                <w:sz w:val="24"/>
              </w:rPr>
              <w:t>滤芯除尘器</w:t>
            </w:r>
          </w:p>
          <w:p>
            <w:pPr>
              <w:keepNext w:val="0"/>
              <w:keepLines w:val="0"/>
              <w:suppressLineNumbers w:val="0"/>
              <w:spacing w:before="0" w:beforeAutospacing="0" w:after="0" w:afterAutospacing="0" w:line="360" w:lineRule="auto"/>
              <w:ind w:left="0" w:right="0" w:firstLine="480" w:firstLineChars="200"/>
              <w:rPr>
                <w:rFonts w:ascii="宋体" w:hAnsi="宋体" w:cs="宋体"/>
                <w:sz w:val="24"/>
              </w:rPr>
            </w:pPr>
            <w:r>
              <w:rPr>
                <w:rFonts w:hint="eastAsia" w:ascii="宋体" w:hAnsi="宋体" w:cs="宋体"/>
                <w:sz w:val="24"/>
              </w:rPr>
              <w:t>滤芯除尘器是当含尘气体进</w:t>
            </w:r>
            <w:r>
              <w:rPr>
                <w:rFonts w:hint="eastAsia" w:ascii="宋体" w:hAnsi="宋体" w:cs="宋体"/>
                <w:sz w:val="24"/>
                <w:lang w:eastAsia="zh-CN"/>
              </w:rPr>
              <w:t>入</w:t>
            </w:r>
            <w:r>
              <w:rPr>
                <w:rFonts w:hint="eastAsia" w:ascii="宋体" w:hAnsi="宋体" w:cs="宋体"/>
                <w:sz w:val="24"/>
              </w:rPr>
              <w:t>滤芯通过滤料时，粉尘被阻留在其表面，干净空气则透过滤料的缝隙排出，完成过滤过程。过滤技术是滤芯除尘器的基本原理。完成过滤的主要有纤维过滤、薄膜过滤和粉尘层过滤。除尘器滤芯是纤维过滤、薄膜过滤与粉尘层过滤的组合，它的除尘机理是筛滤、惯性碰撞、钩附、扩散、重力沉降和静电等效应综合作用的结果。</w:t>
            </w:r>
          </w:p>
          <w:p>
            <w:pPr>
              <w:pStyle w:val="5"/>
              <w:keepNext w:val="0"/>
              <w:keepLines w:val="0"/>
              <w:suppressLineNumbers w:val="0"/>
              <w:spacing w:before="0" w:beforeAutospacing="0" w:after="0" w:afterAutospacing="0" w:line="360" w:lineRule="auto"/>
              <w:ind w:left="0" w:right="0" w:firstLine="482" w:firstLineChars="200"/>
              <w:rPr>
                <w:rFonts w:ascii="宋体" w:hAnsi="宋体"/>
                <w:b/>
                <w:bCs/>
                <w:sz w:val="24"/>
                <w:szCs w:val="24"/>
              </w:rPr>
            </w:pPr>
            <w:r>
              <w:rPr>
                <w:rFonts w:hint="eastAsia" w:ascii="宋体" w:hAnsi="宋体"/>
                <w:b/>
                <w:bCs/>
                <w:sz w:val="24"/>
                <w:szCs w:val="24"/>
              </w:rPr>
              <w:t>活性炭吸附装置</w:t>
            </w:r>
          </w:p>
          <w:p>
            <w:pPr>
              <w:pStyle w:val="5"/>
              <w:keepNext w:val="0"/>
              <w:keepLines w:val="0"/>
              <w:suppressLineNumbers w:val="0"/>
              <w:adjustRightInd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Times New Roman"/>
                <w:sz w:val="24"/>
                <w:szCs w:val="24"/>
              </w:rPr>
              <w:t>活性炭是一种多孔性的含</w:t>
            </w:r>
            <w:r>
              <w:rPr>
                <w:rFonts w:hint="eastAsia" w:ascii="Times New Roman" w:hAnsi="Times New Roman"/>
                <w:sz w:val="24"/>
                <w:szCs w:val="24"/>
                <w:lang w:eastAsia="zh-CN"/>
              </w:rPr>
              <w:t>碳</w:t>
            </w:r>
            <w:r>
              <w:rPr>
                <w:rFonts w:ascii="Times New Roman" w:hAnsi="Times New Roman"/>
                <w:sz w:val="24"/>
                <w:szCs w:val="24"/>
              </w:rPr>
              <w:t>物质，</w:t>
            </w:r>
            <w:r>
              <w:rPr>
                <w:rFonts w:hint="eastAsia" w:ascii="Times New Roman" w:hAnsi="Times New Roman"/>
                <w:sz w:val="24"/>
                <w:szCs w:val="24"/>
              </w:rPr>
              <w:t>利用活性炭多微孔及其巨大的表面张力等特性将废气中的有机物吸附，使所排废气得到净化。活性炭纤维是采用天然或人造纤维经高温、催化等特殊工艺制作而成的高效吸附材料，含有高度发达的微孔结构，其主要特点为：比表面积大（900-220m</w:t>
            </w:r>
            <w:r>
              <w:rPr>
                <w:rFonts w:hint="eastAsia" w:ascii="Times New Roman" w:hAnsi="Times New Roman"/>
                <w:sz w:val="24"/>
                <w:szCs w:val="24"/>
                <w:vertAlign w:val="superscript"/>
              </w:rPr>
              <w:t>2</w:t>
            </w:r>
            <w:r>
              <w:rPr>
                <w:rFonts w:hint="eastAsia" w:ascii="Times New Roman" w:hAnsi="Times New Roman"/>
                <w:sz w:val="24"/>
                <w:szCs w:val="24"/>
              </w:rPr>
              <w:t>/g），吸脱附容量高，如对有机气体、恶臭、腥臭物质吸附量比颗粒和粉状活性炭大20-30倍；吸脱附速度快，是颗粒活性炭的10-100倍；脱附速度快、易再生，脱附以后活性炭纤维吸附能力基本不变；耐温性能好，且耐酸、耐碱，具有良好的导电性能和化学稳定性；</w:t>
            </w:r>
            <w:r>
              <w:rPr>
                <w:rFonts w:hint="eastAsia" w:ascii="Times New Roman" w:hAnsi="Times New Roman"/>
                <w:sz w:val="24"/>
                <w:szCs w:val="24"/>
                <w:lang w:eastAsia="zh-CN"/>
              </w:rPr>
              <w:t>灰分</w:t>
            </w:r>
            <w:r>
              <w:rPr>
                <w:rFonts w:hint="eastAsia" w:ascii="Times New Roman" w:hAnsi="Times New Roman"/>
                <w:sz w:val="24"/>
                <w:szCs w:val="24"/>
              </w:rPr>
              <w:t>少，其</w:t>
            </w:r>
            <w:r>
              <w:rPr>
                <w:rFonts w:hint="eastAsia" w:ascii="Times New Roman" w:hAnsi="Times New Roman"/>
                <w:sz w:val="24"/>
                <w:szCs w:val="24"/>
                <w:lang w:eastAsia="zh-CN"/>
              </w:rPr>
              <w:t>灰分含量</w:t>
            </w:r>
            <w:r>
              <w:rPr>
                <w:rFonts w:hint="eastAsia" w:ascii="Times New Roman" w:hAnsi="Times New Roman"/>
                <w:sz w:val="24"/>
                <w:szCs w:val="24"/>
              </w:rPr>
              <w:t>仅为颗粒活性炭的十分之一。</w:t>
            </w: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pStyle w:val="2"/>
              <w:keepNext w:val="0"/>
              <w:keepLines w:val="0"/>
              <w:suppressLineNumbers w:val="0"/>
              <w:spacing w:before="0" w:beforeAutospacing="0" w:afterAutospacing="0"/>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sz w:val="24"/>
              </w:rPr>
            </w:pPr>
          </w:p>
          <w:p>
            <w:pPr>
              <w:keepNext w:val="0"/>
              <w:keepLines w:val="0"/>
              <w:suppressLineNumbers w:val="0"/>
              <w:spacing w:before="0" w:beforeAutospacing="0" w:after="0" w:afterAutospacing="0"/>
              <w:ind w:left="0" w:right="0"/>
              <w:jc w:val="center"/>
              <w:rPr>
                <w:b/>
                <w:color w:val="000000"/>
              </w:rPr>
            </w:pPr>
            <w:r>
              <w:rPr>
                <w:b/>
                <w:color w:val="000000"/>
                <w:sz w:val="24"/>
              </w:rPr>
              <w:t>表</w:t>
            </w:r>
            <w:r>
              <w:rPr>
                <w:rFonts w:hint="eastAsia"/>
                <w:b/>
                <w:color w:val="000000"/>
                <w:sz w:val="24"/>
              </w:rPr>
              <w:t>4-4活性炭技术参数一览表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53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种类</w:t>
                  </w:r>
                </w:p>
              </w:tc>
              <w:tc>
                <w:tcPr>
                  <w:tcW w:w="3268" w:type="pct"/>
                  <w:shd w:val="clear" w:color="auto" w:fill="auto"/>
                  <w:vAlign w:val="center"/>
                </w:tcPr>
                <w:p>
                  <w:pPr>
                    <w:keepNext w:val="0"/>
                    <w:keepLines w:val="0"/>
                    <w:suppressLineNumbers w:val="0"/>
                    <w:tabs>
                      <w:tab w:val="left" w:pos="1390"/>
                    </w:tabs>
                    <w:spacing w:before="0" w:beforeAutospacing="0" w:after="0" w:afterAutospacing="0"/>
                    <w:ind w:left="0" w:right="0"/>
                    <w:jc w:val="center"/>
                    <w:rPr>
                      <w:color w:val="000000"/>
                      <w:szCs w:val="21"/>
                    </w:rPr>
                  </w:pPr>
                  <w:r>
                    <w:rPr>
                      <w:color w:val="000000"/>
                      <w:szCs w:val="21"/>
                    </w:rPr>
                    <w:t>蜂窝活性炭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产品规格</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10cm*10cm*10cm/18块/箱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抗压强度</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0.9Mpa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孔径</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1.5mm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壁厚</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1.0mm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pH值</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水分</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体积密度</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0.35-0.60g/cm</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使用温度</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color w:val="000000"/>
                      <w:szCs w:val="21"/>
                    </w:rPr>
                    <w:t>≤400</w:t>
                  </w:r>
                  <w:r>
                    <w:rPr>
                      <w:rFonts w:hAnsi="宋体"/>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32" w:type="pct"/>
                  <w:shd w:val="clear" w:color="auto" w:fill="auto"/>
                  <w:vAlign w:val="center"/>
                </w:tcPr>
                <w:p>
                  <w:pPr>
                    <w:keepNext w:val="0"/>
                    <w:keepLines w:val="0"/>
                    <w:suppressLineNumbers w:val="0"/>
                    <w:spacing w:before="0" w:beforeAutospacing="0" w:after="0" w:afterAutospacing="0"/>
                    <w:ind w:left="0" w:right="0"/>
                    <w:jc w:val="center"/>
                    <w:rPr>
                      <w:szCs w:val="21"/>
                    </w:rPr>
                  </w:pPr>
                  <w:r>
                    <w:rPr>
                      <w:szCs w:val="21"/>
                    </w:rPr>
                    <w:t>碘值</w:t>
                  </w:r>
                </w:p>
              </w:tc>
              <w:tc>
                <w:tcPr>
                  <w:tcW w:w="3268" w:type="pct"/>
                  <w:shd w:val="clear" w:color="auto" w:fill="auto"/>
                  <w:vAlign w:val="center"/>
                </w:tcPr>
                <w:p>
                  <w:pPr>
                    <w:keepNext w:val="0"/>
                    <w:keepLines w:val="0"/>
                    <w:suppressLineNumbers w:val="0"/>
                    <w:spacing w:before="0" w:beforeAutospacing="0" w:after="0" w:afterAutospacing="0"/>
                    <w:ind w:left="0" w:right="0"/>
                    <w:jc w:val="center"/>
                    <w:rPr>
                      <w:color w:val="000000"/>
                      <w:szCs w:val="21"/>
                    </w:rPr>
                  </w:pPr>
                  <w:r>
                    <w:rPr>
                      <w:rFonts w:hint="eastAsia" w:ascii="宋体" w:hAnsi="宋体"/>
                      <w:color w:val="000000"/>
                      <w:szCs w:val="21"/>
                    </w:rPr>
                    <w:t>≥</w:t>
                  </w:r>
                  <w:r>
                    <w:rPr>
                      <w:color w:val="000000"/>
                      <w:szCs w:val="21"/>
                    </w:rPr>
                    <w:t>8</w:t>
                  </w:r>
                  <w:r>
                    <w:rPr>
                      <w:rFonts w:hint="eastAsia"/>
                      <w:color w:val="000000"/>
                      <w:szCs w:val="21"/>
                    </w:rPr>
                    <w:t>00</w:t>
                  </w:r>
                  <w:r>
                    <w:rPr>
                      <w:color w:val="000000"/>
                      <w:szCs w:val="21"/>
                    </w:rPr>
                    <w:t>mg/g</w:t>
                  </w:r>
                </w:p>
              </w:tc>
            </w:tr>
          </w:tbl>
          <w:p>
            <w:pPr>
              <w:pStyle w:val="5"/>
              <w:keepNext w:val="0"/>
              <w:keepLines w:val="0"/>
              <w:suppressLineNumbers w:val="0"/>
              <w:spacing w:before="0" w:beforeAutospacing="0" w:after="0" w:afterAutospacing="0" w:line="360" w:lineRule="auto"/>
              <w:ind w:left="0" w:right="0" w:firstLine="0"/>
              <w:rPr>
                <w:rFonts w:ascii="宋体" w:hAnsi="宋体" w:cs="宋体"/>
                <w:b/>
                <w:bCs/>
                <w:szCs w:val="21"/>
              </w:rPr>
            </w:pPr>
            <w:r>
              <w:rPr>
                <w:rFonts w:hint="eastAsia" w:ascii="宋体" w:hAnsi="宋体" w:cs="宋体"/>
                <w:b/>
                <w:bCs/>
                <w:szCs w:val="21"/>
              </w:rPr>
              <w:t>注</w:t>
            </w:r>
            <w:r>
              <w:rPr>
                <w:rFonts w:ascii="Times New Roman" w:hAnsi="宋体"/>
                <w:b/>
                <w:bCs/>
                <w:szCs w:val="21"/>
              </w:rPr>
              <w:t>：本项目所用活性炭符合《</w:t>
            </w:r>
            <w:r>
              <w:rPr>
                <w:rFonts w:ascii="Times New Roman" w:hAnsi="Times New Roman"/>
                <w:b/>
                <w:bCs/>
                <w:szCs w:val="21"/>
              </w:rPr>
              <w:t>2020</w:t>
            </w:r>
            <w:r>
              <w:rPr>
                <w:rFonts w:ascii="Times New Roman" w:hAnsi="宋体"/>
                <w:b/>
                <w:bCs/>
                <w:szCs w:val="21"/>
              </w:rPr>
              <w:t>年挥发性有机物治理攻坚方案》内相关要求</w:t>
            </w:r>
            <w:r>
              <w:rPr>
                <w:rFonts w:hint="eastAsia" w:ascii="宋体" w:hAnsi="宋体" w:cs="宋体"/>
                <w:b/>
                <w:bCs/>
                <w:szCs w:val="21"/>
              </w:rPr>
              <w:t>。</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Times New Roman"/>
                <w:sz w:val="24"/>
                <w:szCs w:val="24"/>
              </w:rPr>
              <w:t>本项目废气处理装置总投资</w:t>
            </w:r>
            <w:r>
              <w:rPr>
                <w:rFonts w:hint="eastAsia" w:ascii="Times New Roman" w:hAnsi="Times New Roman"/>
                <w:sz w:val="24"/>
                <w:szCs w:val="24"/>
              </w:rPr>
              <w:t>80</w:t>
            </w:r>
            <w:r>
              <w:rPr>
                <w:rFonts w:ascii="Times New Roman" w:hAnsi="Times New Roman"/>
                <w:sz w:val="24"/>
                <w:szCs w:val="24"/>
              </w:rPr>
              <w:t>万人民币，约占总投资</w:t>
            </w:r>
            <w:r>
              <w:rPr>
                <w:rFonts w:hint="eastAsia" w:ascii="Times New Roman" w:hAnsi="Times New Roman"/>
                <w:sz w:val="24"/>
                <w:szCs w:val="24"/>
              </w:rPr>
              <w:t>0.</w:t>
            </w:r>
            <w:r>
              <w:rPr>
                <w:rFonts w:hint="eastAsia" w:ascii="Times New Roman" w:hAnsi="Times New Roman"/>
                <w:sz w:val="24"/>
                <w:szCs w:val="24"/>
                <w:lang w:val="en-US" w:eastAsia="zh-CN"/>
              </w:rPr>
              <w:t>26</w:t>
            </w:r>
            <w:r>
              <w:rPr>
                <w:rFonts w:ascii="Times New Roman" w:hAnsi="Times New Roman"/>
                <w:sz w:val="24"/>
                <w:szCs w:val="24"/>
              </w:rPr>
              <w:t>%，每年运行成本和维护保养费按</w:t>
            </w:r>
            <w:r>
              <w:rPr>
                <w:rFonts w:hint="eastAsia" w:ascii="Times New Roman" w:hAnsi="Times New Roman"/>
                <w:sz w:val="24"/>
                <w:szCs w:val="24"/>
              </w:rPr>
              <w:t>4</w:t>
            </w:r>
            <w:r>
              <w:rPr>
                <w:rFonts w:ascii="Times New Roman" w:hAnsi="Times New Roman"/>
                <w:sz w:val="24"/>
                <w:szCs w:val="24"/>
              </w:rPr>
              <w:t>万人民币/年，折旧费</w:t>
            </w:r>
            <w:r>
              <w:rPr>
                <w:rFonts w:hint="eastAsia" w:ascii="Times New Roman" w:hAnsi="Times New Roman"/>
                <w:sz w:val="24"/>
                <w:szCs w:val="24"/>
              </w:rPr>
              <w:t>2</w:t>
            </w:r>
            <w:r>
              <w:rPr>
                <w:rFonts w:ascii="Times New Roman" w:hAnsi="Times New Roman"/>
                <w:sz w:val="24"/>
                <w:szCs w:val="24"/>
              </w:rPr>
              <w:t>万人民币/年，共计</w:t>
            </w:r>
            <w:r>
              <w:rPr>
                <w:rFonts w:hint="eastAsia" w:ascii="Times New Roman" w:hAnsi="Times New Roman"/>
                <w:sz w:val="24"/>
                <w:szCs w:val="24"/>
              </w:rPr>
              <w:t>6</w:t>
            </w:r>
            <w:r>
              <w:rPr>
                <w:rFonts w:ascii="Times New Roman" w:hAnsi="Times New Roman"/>
                <w:sz w:val="24"/>
                <w:szCs w:val="24"/>
              </w:rPr>
              <w:t>万人民币/年，本项目效益较好，企业可以承受，同时大大减少了污染物排入大气，可实现较大的环境效益，在经济上是可行的。</w:t>
            </w:r>
          </w:p>
          <w:p>
            <w:pPr>
              <w:pStyle w:val="5"/>
              <w:keepNext w:val="0"/>
              <w:keepLines w:val="0"/>
              <w:suppressLineNumbers w:val="0"/>
              <w:snapToGrid w:val="0"/>
              <w:spacing w:before="0" w:beforeAutospacing="0" w:after="0" w:afterAutospacing="0" w:line="360" w:lineRule="auto"/>
              <w:ind w:left="0" w:right="0" w:firstLine="482" w:firstLineChars="200"/>
              <w:rPr>
                <w:rFonts w:ascii="Times New Roman" w:hAnsi="Times New Roman"/>
                <w:b/>
                <w:sz w:val="24"/>
                <w:szCs w:val="24"/>
              </w:rPr>
            </w:pPr>
            <w:r>
              <w:rPr>
                <w:rFonts w:hint="eastAsia" w:ascii="Times New Roman" w:hAnsi="Times New Roman"/>
                <w:b/>
                <w:sz w:val="24"/>
                <w:szCs w:val="24"/>
              </w:rPr>
              <w:t>5）</w:t>
            </w:r>
            <w:r>
              <w:rPr>
                <w:rFonts w:ascii="Times New Roman" w:hAnsi="Times New Roman"/>
                <w:b/>
                <w:sz w:val="24"/>
                <w:szCs w:val="24"/>
              </w:rPr>
              <w:t>工程实例</w:t>
            </w:r>
          </w:p>
          <w:p>
            <w:pPr>
              <w:pStyle w:val="5"/>
              <w:keepNext w:val="0"/>
              <w:keepLines w:val="0"/>
              <w:suppressLineNumbers w:val="0"/>
              <w:snapToGrid w:val="0"/>
              <w:spacing w:before="0" w:beforeAutospacing="0" w:after="0" w:afterAutospacing="0" w:line="360" w:lineRule="auto"/>
              <w:ind w:left="-84" w:right="0" w:firstLine="482" w:firstLineChars="200"/>
              <w:rPr>
                <w:rFonts w:ascii="Times New Roman" w:hAnsi="宋体"/>
                <w:b/>
                <w:sz w:val="24"/>
                <w:szCs w:val="24"/>
              </w:rPr>
            </w:pPr>
            <w:r>
              <w:rPr>
                <w:rFonts w:hint="eastAsia" w:ascii="宋体" w:hAnsi="宋体"/>
                <w:b/>
                <w:sz w:val="24"/>
                <w:szCs w:val="24"/>
              </w:rPr>
              <w:t>Ⅰ</w:t>
            </w:r>
            <w:r>
              <w:rPr>
                <w:rFonts w:hint="eastAsia" w:ascii="Times New Roman" w:hAnsi="宋体"/>
                <w:b/>
                <w:sz w:val="24"/>
                <w:szCs w:val="24"/>
              </w:rPr>
              <w:t>活性炭吸附装置</w:t>
            </w:r>
          </w:p>
          <w:p>
            <w:pPr>
              <w:pStyle w:val="5"/>
              <w:keepNext w:val="0"/>
              <w:keepLines w:val="0"/>
              <w:suppressLineNumbers w:val="0"/>
              <w:snapToGrid w:val="0"/>
              <w:spacing w:before="0" w:beforeAutospacing="0" w:after="0" w:afterAutospacing="0" w:line="360" w:lineRule="auto"/>
              <w:ind w:left="-84" w:right="0" w:firstLine="480" w:firstLineChars="200"/>
              <w:rPr>
                <w:rFonts w:ascii="Times New Roman" w:hAnsi="Times New Roman"/>
                <w:sz w:val="24"/>
                <w:szCs w:val="24"/>
              </w:rPr>
            </w:pPr>
            <w:r>
              <w:rPr>
                <w:rFonts w:hint="eastAsia" w:ascii="Times New Roman" w:hAnsi="宋体"/>
                <w:sz w:val="24"/>
                <w:szCs w:val="24"/>
              </w:rPr>
              <w:t>“</w:t>
            </w:r>
            <w:r>
              <w:rPr>
                <w:rFonts w:ascii="Times New Roman" w:hAnsi="宋体"/>
                <w:sz w:val="24"/>
                <w:szCs w:val="24"/>
              </w:rPr>
              <w:t>江苏太湖新材料技术研发有限公司年产8000吨塑料制品制造项目</w:t>
            </w:r>
            <w:r>
              <w:rPr>
                <w:rFonts w:hint="eastAsia" w:ascii="Times New Roman" w:hAnsi="宋体"/>
                <w:sz w:val="24"/>
                <w:szCs w:val="24"/>
              </w:rPr>
              <w:t>”于2020年9月30日取得了常州市生态环境局发布的批复（批复文号：常武环审[2020]382号），并于2021年7月13日完成自主验收。</w:t>
            </w:r>
            <w:r>
              <w:rPr>
                <w:rFonts w:ascii="Times New Roman" w:hAnsi="宋体"/>
                <w:sz w:val="24"/>
                <w:szCs w:val="24"/>
              </w:rPr>
              <w:t>江苏太湖新材料技术研发有限公司生产项目</w:t>
            </w:r>
            <w:r>
              <w:rPr>
                <w:rFonts w:hint="eastAsia" w:ascii="Times New Roman" w:hAnsi="宋体"/>
                <w:sz w:val="24"/>
                <w:szCs w:val="24"/>
              </w:rPr>
              <w:t>注塑过程中</w:t>
            </w:r>
            <w:r>
              <w:rPr>
                <w:rFonts w:ascii="Times New Roman" w:hAnsi="宋体"/>
                <w:sz w:val="24"/>
                <w:szCs w:val="24"/>
              </w:rPr>
              <w:t>产生的有机废气经</w:t>
            </w:r>
            <w:r>
              <w:rPr>
                <w:rFonts w:hint="eastAsia" w:ascii="Times New Roman" w:hAnsi="宋体"/>
                <w:sz w:val="24"/>
                <w:szCs w:val="24"/>
              </w:rPr>
              <w:t>二级</w:t>
            </w:r>
            <w:r>
              <w:rPr>
                <w:rFonts w:ascii="Times New Roman" w:hAnsi="宋体"/>
                <w:sz w:val="24"/>
                <w:szCs w:val="24"/>
              </w:rPr>
              <w:t>活性炭吸附装置处理后通过</w:t>
            </w:r>
            <w:r>
              <w:rPr>
                <w:rFonts w:ascii="Times New Roman" w:hAnsi="Times New Roman"/>
                <w:sz w:val="24"/>
                <w:szCs w:val="24"/>
              </w:rPr>
              <w:t>15m</w:t>
            </w:r>
            <w:r>
              <w:rPr>
                <w:rFonts w:ascii="Times New Roman" w:hAnsi="宋体"/>
                <w:sz w:val="24"/>
                <w:szCs w:val="24"/>
              </w:rPr>
              <w:t>高排气筒排放。根据竣工环境保护验收监测报告，该项目非甲烷总烃的排放浓度、排放速率可满足相应排放标准。</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根据《环境保护产品技术要求</w:t>
            </w:r>
            <w:r>
              <w:rPr>
                <w:rFonts w:ascii="Times New Roman" w:hAnsi="Times New Roman"/>
                <w:sz w:val="24"/>
                <w:szCs w:val="24"/>
              </w:rPr>
              <w:t xml:space="preserve"> </w:t>
            </w:r>
            <w:r>
              <w:rPr>
                <w:rFonts w:ascii="Times New Roman" w:hAnsi="宋体"/>
                <w:sz w:val="24"/>
                <w:szCs w:val="24"/>
              </w:rPr>
              <w:t>工业废气吸附净化装置》（</w:t>
            </w:r>
            <w:r>
              <w:rPr>
                <w:rFonts w:ascii="Times New Roman" w:hAnsi="Times New Roman"/>
                <w:sz w:val="24"/>
                <w:szCs w:val="24"/>
              </w:rPr>
              <w:t>HJT386-2007</w:t>
            </w:r>
            <w:r>
              <w:rPr>
                <w:rFonts w:ascii="Times New Roman" w:hAnsi="宋体"/>
                <w:sz w:val="24"/>
                <w:szCs w:val="24"/>
              </w:rPr>
              <w:t>）要求：</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①吸附装置应防火、防爆、防漏电和防泄漏；</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②吸附装置主体的表面温度不高于</w:t>
            </w:r>
            <w:r>
              <w:rPr>
                <w:rFonts w:ascii="Times New Roman" w:hAnsi="Times New Roman"/>
                <w:sz w:val="24"/>
                <w:szCs w:val="24"/>
              </w:rPr>
              <w:t>60</w:t>
            </w:r>
            <w:r>
              <w:rPr>
                <w:rFonts w:ascii="Times New Roman" w:hAnsi="宋体"/>
                <w:sz w:val="24"/>
                <w:szCs w:val="24"/>
              </w:rPr>
              <w:t>℃；</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③吸附单元应设置温度指示、超温声光报警装置及应急处理系统；</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④吸附单元应设置压力指示和泄压装置，其性能应符合安全技术要求；</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z w:val="24"/>
                <w:szCs w:val="24"/>
              </w:rPr>
            </w:pPr>
            <w:r>
              <w:rPr>
                <w:rFonts w:ascii="Times New Roman" w:hAnsi="宋体"/>
                <w:sz w:val="24"/>
                <w:szCs w:val="24"/>
              </w:rPr>
              <w:t>⑤污染物为易燃易爆气体时，应采用防爆风机和电机；</w:t>
            </w:r>
          </w:p>
          <w:p>
            <w:pPr>
              <w:pStyle w:val="5"/>
              <w:keepNext w:val="0"/>
              <w:keepLines w:val="0"/>
              <w:suppressLineNumbers w:val="0"/>
              <w:snapToGrid w:val="0"/>
              <w:spacing w:before="0" w:beforeAutospacing="0" w:after="0" w:afterAutospacing="0" w:line="360" w:lineRule="auto"/>
              <w:ind w:left="0" w:right="0" w:firstLine="480" w:firstLineChars="200"/>
              <w:rPr>
                <w:rFonts w:ascii="Times New Roman" w:hAnsi="Times New Roman"/>
                <w:snapToGrid w:val="0"/>
                <w:kern w:val="0"/>
                <w:sz w:val="24"/>
                <w:szCs w:val="22"/>
              </w:rPr>
            </w:pPr>
            <w:r>
              <w:rPr>
                <w:rFonts w:ascii="Times New Roman" w:hAnsi="宋体"/>
                <w:sz w:val="24"/>
                <w:szCs w:val="24"/>
              </w:rPr>
              <w:t>⑥由计算机控制的吸附装置应同时具备手动操作功能。本项目不涉及易燃</w:t>
            </w:r>
            <w:r>
              <w:rPr>
                <w:rFonts w:ascii="Times New Roman" w:hAnsi="Times New Roman"/>
                <w:sz w:val="24"/>
                <w:szCs w:val="24"/>
              </w:rPr>
              <w:t>易爆气体，吸附装置设置防火、防爆、防漏电和防泄漏设施等。</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hAnsi="宋体"/>
                <w:sz w:val="24"/>
              </w:rPr>
              <w:t>本项目针对生产过程产生的有机废气采取二级</w:t>
            </w:r>
            <w:r>
              <w:rPr>
                <w:rFonts w:hint="eastAsia" w:hAnsi="宋体"/>
                <w:sz w:val="24"/>
                <w:lang w:eastAsia="zh-CN"/>
              </w:rPr>
              <w:t>活性炭</w:t>
            </w:r>
            <w:r>
              <w:rPr>
                <w:rFonts w:hint="eastAsia" w:hAnsi="宋体"/>
                <w:sz w:val="24"/>
              </w:rPr>
              <w:t>吸附装置处理有机废气，注塑工序工作温度为160-180℃，固化工序工作温度为180-220℃，废气收集后通过管道进入废气处理装置，废气输送期间温度逐渐损耗，参</w:t>
            </w:r>
            <w:r>
              <w:rPr>
                <w:rFonts w:hAnsi="宋体"/>
                <w:bCs/>
                <w:snapToGrid w:val="0"/>
                <w:kern w:val="0"/>
                <w:sz w:val="24"/>
                <w:szCs w:val="22"/>
              </w:rPr>
              <w:t>考</w:t>
            </w:r>
            <w:r>
              <w:rPr>
                <w:rFonts w:hAnsi="宋体"/>
                <w:sz w:val="24"/>
              </w:rPr>
              <w:t>江苏太湖新材料技术研发有限公司</w:t>
            </w:r>
            <w:r>
              <w:rPr>
                <w:rFonts w:hint="eastAsia" w:hAnsi="宋体"/>
                <w:bCs/>
                <w:snapToGrid w:val="0"/>
                <w:kern w:val="0"/>
                <w:sz w:val="24"/>
                <w:szCs w:val="22"/>
              </w:rPr>
              <w:t>二级</w:t>
            </w:r>
            <w:r>
              <w:rPr>
                <w:rFonts w:hAnsi="宋体"/>
                <w:bCs/>
                <w:snapToGrid w:val="0"/>
                <w:kern w:val="0"/>
                <w:sz w:val="24"/>
                <w:szCs w:val="22"/>
              </w:rPr>
              <w:t>活性炭吸附处理设施</w:t>
            </w:r>
            <w:r>
              <w:rPr>
                <w:rFonts w:hint="eastAsia" w:hAnsi="宋体"/>
                <w:sz w:val="24"/>
              </w:rPr>
              <w:t>，废气处理装置主体的表面温度低于60℃，且满足防火、防爆、防漏电和防泄漏要求，设置温度指示、超温声光报警装置及应急处理系统，设置压力指示和泄压装置，符合《环境保护产品技术要求 工业废气吸附净化装置》（HJT386-2007）要求。</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ascii="宋体" w:hAnsi="宋体"/>
                <w:b/>
                <w:sz w:val="24"/>
              </w:rPr>
              <w:t>Ⅱ</w:t>
            </w:r>
            <w:r>
              <w:rPr>
                <w:rFonts w:hint="eastAsia"/>
                <w:b/>
                <w:sz w:val="24"/>
              </w:rPr>
              <w:t>滤芯除尘器</w:t>
            </w:r>
          </w:p>
          <w:p>
            <w:pPr>
              <w:keepNext w:val="0"/>
              <w:keepLines w:val="0"/>
              <w:suppressLineNumbers w:val="0"/>
              <w:adjustRightInd w:val="0"/>
              <w:snapToGrid w:val="0"/>
              <w:spacing w:before="0" w:beforeAutospacing="0" w:after="0" w:afterAutospacing="0" w:line="360" w:lineRule="auto"/>
              <w:ind w:left="0" w:right="0" w:firstLine="480" w:firstLineChars="200"/>
              <w:rPr>
                <w:rFonts w:eastAsiaTheme="minorEastAsia"/>
              </w:rPr>
            </w:pPr>
            <w:r>
              <w:rPr>
                <w:rFonts w:hint="eastAsia" w:hAnsi="宋体"/>
                <w:sz w:val="24"/>
              </w:rPr>
              <w:t>“</w:t>
            </w:r>
            <w:r>
              <w:rPr>
                <w:rFonts w:hAnsi="宋体"/>
                <w:sz w:val="24"/>
              </w:rPr>
              <w:t>常州康南金属材料有限公司迁建年产20万套新能源电机壳体、工业电机壳体及机械零部件</w:t>
            </w:r>
            <w:r>
              <w:rPr>
                <w:rFonts w:hint="eastAsia" w:hAnsi="宋体"/>
                <w:sz w:val="24"/>
              </w:rPr>
              <w:t>项目”于</w:t>
            </w:r>
            <w:r>
              <w:rPr>
                <w:rFonts w:hAnsi="宋体"/>
                <w:sz w:val="24"/>
              </w:rPr>
              <w:t>20</w:t>
            </w:r>
            <w:r>
              <w:rPr>
                <w:rFonts w:hint="eastAsia" w:hAnsi="宋体"/>
                <w:sz w:val="24"/>
              </w:rPr>
              <w:t>21年7月7日取得了江苏常州经济开发区管理委员会发布的批复（批复文号：常经发审【2021】195号），并于2021年12月17日完成自主验收。</w:t>
            </w:r>
            <w:r>
              <w:rPr>
                <w:rFonts w:hAnsi="宋体"/>
                <w:sz w:val="24"/>
              </w:rPr>
              <w:t>常州康南金属材料有限公司生产项目</w:t>
            </w:r>
            <w:r>
              <w:rPr>
                <w:rFonts w:hint="eastAsia" w:hAnsi="宋体"/>
                <w:sz w:val="24"/>
              </w:rPr>
              <w:t>生产过程中</w:t>
            </w:r>
            <w:r>
              <w:rPr>
                <w:rFonts w:hAnsi="宋体"/>
                <w:sz w:val="24"/>
              </w:rPr>
              <w:t>产生的</w:t>
            </w:r>
            <w:r>
              <w:rPr>
                <w:rFonts w:hint="eastAsia" w:hAnsi="宋体"/>
                <w:sz w:val="24"/>
              </w:rPr>
              <w:t>粉尘</w:t>
            </w:r>
            <w:r>
              <w:rPr>
                <w:rFonts w:hAnsi="宋体"/>
                <w:sz w:val="24"/>
              </w:rPr>
              <w:t>经</w:t>
            </w:r>
            <w:r>
              <w:rPr>
                <w:rFonts w:hint="eastAsia" w:hAnsi="宋体"/>
                <w:sz w:val="24"/>
              </w:rPr>
              <w:t>滤芯除尘器</w:t>
            </w:r>
            <w:r>
              <w:rPr>
                <w:rFonts w:hAnsi="宋体"/>
                <w:sz w:val="24"/>
              </w:rPr>
              <w:t>处理后通过</w:t>
            </w:r>
            <w:r>
              <w:rPr>
                <w:rFonts w:hint="eastAsia" w:hAnsi="宋体"/>
                <w:sz w:val="24"/>
              </w:rPr>
              <w:t>一根</w:t>
            </w:r>
            <w:r>
              <w:rPr>
                <w:sz w:val="24"/>
              </w:rPr>
              <w:t>15m</w:t>
            </w:r>
            <w:r>
              <w:rPr>
                <w:rFonts w:hAnsi="宋体"/>
                <w:sz w:val="24"/>
              </w:rPr>
              <w:t>高排气筒排放。</w:t>
            </w:r>
            <w:r>
              <w:rPr>
                <w:rFonts w:hint="eastAsia"/>
                <w:sz w:val="24"/>
              </w:rPr>
              <w:t>根据竣工环境保护验收监测报告，该项目颗粒物的排放浓度、排放速率可满足相应排放标准。</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6）排放情况</w:t>
            </w:r>
          </w:p>
          <w:p>
            <w:pPr>
              <w:keepNext w:val="0"/>
              <w:keepLines w:val="0"/>
              <w:suppressLineNumbers w:val="0"/>
              <w:snapToGrid w:val="0"/>
              <w:spacing w:before="0" w:beforeAutospacing="0" w:after="0" w:afterAutospacing="0" w:line="360" w:lineRule="auto"/>
              <w:ind w:left="0" w:right="0" w:firstLine="420"/>
              <w:rPr>
                <w:rFonts w:ascii="宋体" w:hAnsi="宋体"/>
                <w:kern w:val="0"/>
                <w:sz w:val="24"/>
              </w:rPr>
            </w:pPr>
            <w:r>
              <w:rPr>
                <w:rFonts w:hint="eastAsia" w:ascii="宋体" w:hAnsi="宋体"/>
                <w:kern w:val="0"/>
                <w:sz w:val="24"/>
              </w:rPr>
              <w:t>本项目废气有组织排放情况见下表：</w:t>
            </w:r>
          </w:p>
          <w:p>
            <w:pPr>
              <w:keepNext w:val="0"/>
              <w:keepLines w:val="0"/>
              <w:suppressLineNumbers w:val="0"/>
              <w:spacing w:before="0" w:beforeAutospacing="0" w:after="0" w:afterAutospacing="0"/>
              <w:ind w:left="0" w:right="0"/>
              <w:jc w:val="center"/>
              <w:rPr>
                <w:rFonts w:ascii="宋体" w:hAnsi="宋体"/>
                <w:b/>
                <w:bCs/>
                <w:sz w:val="24"/>
              </w:rPr>
            </w:pPr>
            <w:r>
              <w:rPr>
                <w:b/>
                <w:bCs/>
                <w:sz w:val="24"/>
              </w:rPr>
              <w:t>表4-</w:t>
            </w:r>
            <w:r>
              <w:rPr>
                <w:rFonts w:hint="eastAsia"/>
                <w:b/>
                <w:bCs/>
                <w:sz w:val="24"/>
              </w:rPr>
              <w:t>5</w:t>
            </w:r>
            <w:r>
              <w:rPr>
                <w:b/>
                <w:bCs/>
                <w:sz w:val="24"/>
              </w:rPr>
              <w:t xml:space="preserve"> 本项目有组织</w:t>
            </w:r>
            <w:r>
              <w:rPr>
                <w:rFonts w:hint="eastAsia" w:ascii="宋体" w:hAnsi="宋体"/>
                <w:b/>
                <w:bCs/>
                <w:sz w:val="24"/>
              </w:rPr>
              <w:t>废气污染物排放情况</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76"/>
              <w:gridCol w:w="1090"/>
              <w:gridCol w:w="817"/>
              <w:gridCol w:w="1226"/>
              <w:gridCol w:w="681"/>
              <w:gridCol w:w="1051"/>
              <w:gridCol w:w="710"/>
              <w:gridCol w:w="908"/>
              <w:gridCol w:w="10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vMerge w:val="restart"/>
                  <w:tcBorders>
                    <w:top w:val="single" w:color="auto" w:sz="12" w:space="0"/>
                    <w:left w:val="nil"/>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排气筒设置</w:t>
                  </w:r>
                </w:p>
              </w:tc>
              <w:tc>
                <w:tcPr>
                  <w:tcW w:w="666"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工段</w:t>
                  </w:r>
                </w:p>
              </w:tc>
              <w:tc>
                <w:tcPr>
                  <w:tcW w:w="499"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风量m</w:t>
                  </w:r>
                  <w:r>
                    <w:rPr>
                      <w:rFonts w:ascii="Times New Roman" w:hAnsi="Times New Roman" w:eastAsia="宋体"/>
                      <w:b/>
                      <w:sz w:val="21"/>
                      <w:szCs w:val="21"/>
                      <w:vertAlign w:val="superscript"/>
                    </w:rPr>
                    <w:t>3</w:t>
                  </w:r>
                  <w:r>
                    <w:rPr>
                      <w:rFonts w:ascii="Times New Roman" w:hAnsi="Times New Roman" w:eastAsia="宋体"/>
                      <w:b/>
                      <w:sz w:val="21"/>
                      <w:szCs w:val="21"/>
                    </w:rPr>
                    <w:t>/h</w:t>
                  </w:r>
                </w:p>
              </w:tc>
              <w:tc>
                <w:tcPr>
                  <w:tcW w:w="749"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拟采取的处理方式</w:t>
                  </w:r>
                </w:p>
              </w:tc>
              <w:tc>
                <w:tcPr>
                  <w:tcW w:w="416" w:type="pct"/>
                  <w:vMerge w:val="restart"/>
                  <w:tcBorders>
                    <w:top w:val="single" w:color="auto" w:sz="12"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去除率</w:t>
                  </w:r>
                </w:p>
                <w:p>
                  <w:pPr>
                    <w:pStyle w:val="62"/>
                    <w:keepNext w:val="0"/>
                    <w:keepLines w:val="0"/>
                    <w:suppressLineNumbers w:val="0"/>
                    <w:spacing w:before="0" w:beforeAutospacing="0" w:after="0" w:afterAutospacing="0"/>
                    <w:ind w:left="0" w:right="0"/>
                    <w:rPr>
                      <w:rFonts w:hint="eastAsia" w:ascii="Times New Roman" w:hAnsi="Times New Roman" w:eastAsia="宋体"/>
                      <w:b/>
                      <w:sz w:val="21"/>
                      <w:szCs w:val="21"/>
                      <w:lang w:val="en-US" w:eastAsia="zh-CN"/>
                    </w:rPr>
                  </w:pPr>
                  <w:r>
                    <w:rPr>
                      <w:rFonts w:hint="eastAsia" w:ascii="Times New Roman" w:hAnsi="Times New Roman" w:eastAsia="宋体"/>
                      <w:b/>
                      <w:sz w:val="21"/>
                      <w:szCs w:val="21"/>
                      <w:lang w:val="en-US" w:eastAsia="zh-CN"/>
                    </w:rPr>
                    <w:t>%</w:t>
                  </w:r>
                </w:p>
              </w:tc>
              <w:tc>
                <w:tcPr>
                  <w:tcW w:w="642" w:type="pct"/>
                  <w:vMerge w:val="restar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bCs/>
                      <w:szCs w:val="21"/>
                    </w:rPr>
                    <w:t>污染物名称</w:t>
                  </w:r>
                </w:p>
              </w:tc>
              <w:tc>
                <w:tcPr>
                  <w:tcW w:w="1614" w:type="pct"/>
                  <w:gridSpan w:val="3"/>
                  <w:tcBorders>
                    <w:top w:val="single" w:color="auto" w:sz="12" w:space="0"/>
                    <w:left w:val="single" w:color="auto" w:sz="4" w:space="0"/>
                    <w:bottom w:val="single" w:color="auto" w:sz="4" w:space="0"/>
                    <w:right w:val="nil"/>
                  </w:tcBorders>
                  <w:vAlign w:val="center"/>
                </w:tcPr>
                <w:p>
                  <w:pPr>
                    <w:pStyle w:val="62"/>
                    <w:keepNext w:val="0"/>
                    <w:keepLines w:val="0"/>
                    <w:suppressLineNumbers w:val="0"/>
                    <w:spacing w:before="0" w:beforeAutospacing="0" w:after="0" w:afterAutospacing="0"/>
                    <w:ind w:left="0" w:right="0"/>
                    <w:rPr>
                      <w:rFonts w:ascii="Times New Roman" w:hAnsi="Times New Roman" w:eastAsia="宋体"/>
                      <w:b/>
                      <w:sz w:val="21"/>
                      <w:szCs w:val="21"/>
                    </w:rPr>
                  </w:pPr>
                  <w:r>
                    <w:rPr>
                      <w:rFonts w:ascii="Times New Roman" w:hAnsi="Times New Roman" w:eastAsia="宋体"/>
                      <w:b/>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vMerge w:val="continue"/>
                  <w:tcBorders>
                    <w:top w:val="single" w:color="auto" w:sz="12"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666"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499"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749"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416"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kern w:val="44"/>
                      <w:szCs w:val="21"/>
                    </w:rPr>
                  </w:pPr>
                </w:p>
              </w:tc>
              <w:tc>
                <w:tcPr>
                  <w:tcW w:w="642" w:type="pct"/>
                  <w:vMerge w:val="continue"/>
                  <w:tcBorders>
                    <w:top w:val="single" w:color="auto" w:sz="12"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szCs w:val="21"/>
                    </w:rPr>
                  </w:pPr>
                </w:p>
              </w:tc>
              <w:tc>
                <w:tcPr>
                  <w:tcW w:w="43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szCs w:val="21"/>
                    </w:rPr>
                  </w:pPr>
                  <w:r>
                    <w:rPr>
                      <w:b/>
                      <w:szCs w:val="21"/>
                    </w:rPr>
                    <w:t>浓度mg/m</w:t>
                  </w:r>
                  <w:r>
                    <w:rPr>
                      <w:b/>
                      <w:szCs w:val="21"/>
                      <w:vertAlign w:val="superscript"/>
                    </w:rPr>
                    <w:t>3</w:t>
                  </w:r>
                </w:p>
              </w:tc>
              <w:tc>
                <w:tcPr>
                  <w:tcW w:w="5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b/>
                      <w:szCs w:val="21"/>
                    </w:rPr>
                  </w:pPr>
                  <w:r>
                    <w:rPr>
                      <w:b/>
                      <w:szCs w:val="21"/>
                    </w:rPr>
                    <w:t>速率kg/h</w:t>
                  </w:r>
                </w:p>
              </w:tc>
              <w:tc>
                <w:tcPr>
                  <w:tcW w:w="625" w:type="pct"/>
                  <w:tcBorders>
                    <w:top w:val="single" w:color="auto" w:sz="4" w:space="0"/>
                    <w:left w:val="single" w:color="auto" w:sz="4" w:space="0"/>
                    <w:bottom w:val="single" w:color="auto" w:sz="4" w:space="0"/>
                    <w:right w:val="nil"/>
                  </w:tcBorders>
                  <w:vAlign w:val="center"/>
                </w:tcPr>
                <w:p>
                  <w:pPr>
                    <w:keepNext w:val="0"/>
                    <w:keepLines w:val="0"/>
                    <w:suppressLineNumbers w:val="0"/>
                    <w:snapToGrid w:val="0"/>
                    <w:spacing w:before="0" w:beforeAutospacing="0" w:after="0" w:afterAutospacing="0"/>
                    <w:ind w:left="0" w:right="0"/>
                    <w:jc w:val="center"/>
                    <w:rPr>
                      <w:b/>
                      <w:szCs w:val="21"/>
                    </w:rPr>
                  </w:pPr>
                  <w:r>
                    <w:rPr>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vMerge w:val="restart"/>
                  <w:tcBorders>
                    <w:top w:val="single" w:color="auto" w:sz="4" w:space="0"/>
                    <w:left w:val="nil"/>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szCs w:val="21"/>
                    </w:rPr>
                    <w:t>FQ-</w:t>
                  </w:r>
                  <w:r>
                    <w:rPr>
                      <w:rFonts w:hint="eastAsia"/>
                      <w:szCs w:val="21"/>
                    </w:rPr>
                    <w:t>1</w:t>
                  </w:r>
                </w:p>
              </w:tc>
              <w:tc>
                <w:tcPr>
                  <w:tcW w:w="666"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涂敷</w:t>
                  </w:r>
                </w:p>
              </w:tc>
              <w:tc>
                <w:tcPr>
                  <w:tcW w:w="499" w:type="pct"/>
                  <w:vMerge w:val="restar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lang w:val="en-US" w:eastAsia="zh-CN"/>
                    </w:rPr>
                    <w:t>35</w:t>
                  </w:r>
                  <w:r>
                    <w:rPr>
                      <w:rFonts w:hint="eastAsia" w:ascii="Times New Roman" w:hAnsi="Times New Roman" w:eastAsia="宋体"/>
                      <w:sz w:val="21"/>
                      <w:szCs w:val="21"/>
                    </w:rPr>
                    <w:t>000</w:t>
                  </w:r>
                </w:p>
              </w:tc>
              <w:tc>
                <w:tcPr>
                  <w:tcW w:w="74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旋风分离塔+二级滤芯除尘器</w:t>
                  </w:r>
                </w:p>
              </w:tc>
              <w:tc>
                <w:tcPr>
                  <w:tcW w:w="416"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98</w:t>
                  </w:r>
                </w:p>
              </w:tc>
              <w:tc>
                <w:tcPr>
                  <w:tcW w:w="642"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粉尘</w:t>
                  </w:r>
                </w:p>
              </w:tc>
              <w:tc>
                <w:tcPr>
                  <w:tcW w:w="434"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lang w:val="en-US" w:eastAsia="zh-CN"/>
                    </w:rPr>
                    <w:t>0.93</w:t>
                  </w:r>
                </w:p>
              </w:tc>
              <w:tc>
                <w:tcPr>
                  <w:tcW w:w="555"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0.0</w:t>
                  </w:r>
                  <w:r>
                    <w:rPr>
                      <w:rFonts w:hint="eastAsia" w:ascii="Times New Roman" w:hAnsi="Times New Roman"/>
                      <w:szCs w:val="21"/>
                      <w:lang w:val="en-US" w:eastAsia="zh-CN"/>
                    </w:rPr>
                    <w:t>327</w:t>
                  </w:r>
                </w:p>
              </w:tc>
              <w:tc>
                <w:tcPr>
                  <w:tcW w:w="625" w:type="pct"/>
                  <w:tcBorders>
                    <w:top w:val="single" w:color="auto" w:sz="4" w:space="0"/>
                    <w:left w:val="single" w:color="auto" w:sz="4" w:space="0"/>
                    <w:bottom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szCs w:val="21"/>
                    </w:rPr>
                  </w:pPr>
                  <w:r>
                    <w:rPr>
                      <w:rFonts w:hint="eastAsia" w:ascii="Times New Roman" w:hAnsi="Times New Roman"/>
                      <w:szCs w:val="21"/>
                    </w:rPr>
                    <w:t>0.098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vMerge w:val="continue"/>
                  <w:tcBorders>
                    <w:left w:val="nil"/>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p>
              </w:tc>
              <w:tc>
                <w:tcPr>
                  <w:tcW w:w="666"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固化</w:t>
                  </w:r>
                </w:p>
              </w:tc>
              <w:tc>
                <w:tcPr>
                  <w:tcW w:w="499"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749" w:type="pct"/>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二级活性炭</w:t>
                  </w:r>
                </w:p>
              </w:tc>
              <w:tc>
                <w:tcPr>
                  <w:tcW w:w="416" w:type="pct"/>
                  <w:vMerge w:val="restar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80</w:t>
                  </w:r>
                </w:p>
              </w:tc>
              <w:tc>
                <w:tcPr>
                  <w:tcW w:w="642" w:type="pct"/>
                  <w:vMerge w:val="restar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非甲烷总烃</w:t>
                  </w:r>
                </w:p>
              </w:tc>
              <w:tc>
                <w:tcPr>
                  <w:tcW w:w="434" w:type="pct"/>
                  <w:vMerge w:val="restar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1.</w:t>
                  </w:r>
                  <w:r>
                    <w:rPr>
                      <w:rFonts w:hint="eastAsia" w:ascii="Times New Roman" w:hAnsi="Times New Roman"/>
                      <w:szCs w:val="21"/>
                      <w:lang w:val="en-US" w:eastAsia="zh-CN"/>
                    </w:rPr>
                    <w:t>06</w:t>
                  </w:r>
                </w:p>
              </w:tc>
              <w:tc>
                <w:tcPr>
                  <w:tcW w:w="555" w:type="pct"/>
                  <w:vMerge w:val="restar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0.0</w:t>
                  </w:r>
                  <w:r>
                    <w:rPr>
                      <w:rFonts w:hint="eastAsia" w:ascii="Times New Roman" w:hAnsi="Times New Roman"/>
                      <w:szCs w:val="21"/>
                      <w:lang w:val="en-US" w:eastAsia="zh-CN"/>
                    </w:rPr>
                    <w:t>37</w:t>
                  </w:r>
                </w:p>
              </w:tc>
              <w:tc>
                <w:tcPr>
                  <w:tcW w:w="625" w:type="pct"/>
                  <w:vMerge w:val="restart"/>
                  <w:tcBorders>
                    <w:top w:val="single" w:color="auto" w:sz="4" w:space="0"/>
                    <w:left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w:t>
                  </w:r>
                  <w:r>
                    <w:rPr>
                      <w:rFonts w:hint="eastAsia" w:ascii="Times New Roman" w:hAnsi="Times New Roman"/>
                      <w:szCs w:val="21"/>
                      <w:lang w:val="en-US" w:eastAsia="zh-CN"/>
                    </w:rPr>
                    <w:t>111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vMerge w:val="continue"/>
                  <w:tcBorders>
                    <w:left w:val="nil"/>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p>
              </w:tc>
              <w:tc>
                <w:tcPr>
                  <w:tcW w:w="666" w:type="pct"/>
                  <w:tcBorders>
                    <w:top w:val="single" w:color="auto" w:sz="4" w:space="0"/>
                    <w:left w:val="single" w:color="auto" w:sz="4" w:space="0"/>
                    <w:bottom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注塑成型</w:t>
                  </w:r>
                </w:p>
              </w:tc>
              <w:tc>
                <w:tcPr>
                  <w:tcW w:w="499"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749" w:type="pct"/>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p>
              </w:tc>
              <w:tc>
                <w:tcPr>
                  <w:tcW w:w="416"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642" w:type="pct"/>
                  <w:vMerge w:val="continue"/>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434"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szCs w:val="21"/>
                    </w:rPr>
                  </w:pPr>
                </w:p>
              </w:tc>
              <w:tc>
                <w:tcPr>
                  <w:tcW w:w="555"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szCs w:val="21"/>
                    </w:rPr>
                  </w:pPr>
                </w:p>
              </w:tc>
              <w:tc>
                <w:tcPr>
                  <w:tcW w:w="625" w:type="pct"/>
                  <w:vMerge w:val="continue"/>
                  <w:tcBorders>
                    <w:left w:val="single" w:color="auto" w:sz="4"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4" w:type="pct"/>
                  <w:tcBorders>
                    <w:left w:val="nil"/>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FQ-2</w:t>
                  </w:r>
                </w:p>
              </w:tc>
              <w:tc>
                <w:tcPr>
                  <w:tcW w:w="666" w:type="pct"/>
                  <w:tcBorders>
                    <w:top w:val="single" w:color="auto" w:sz="4" w:space="0"/>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食堂</w:t>
                  </w:r>
                </w:p>
              </w:tc>
              <w:tc>
                <w:tcPr>
                  <w:tcW w:w="499" w:type="pct"/>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10000</w:t>
                  </w:r>
                </w:p>
              </w:tc>
              <w:tc>
                <w:tcPr>
                  <w:tcW w:w="749" w:type="pct"/>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油烟净化处理装置</w:t>
                  </w:r>
                </w:p>
              </w:tc>
              <w:tc>
                <w:tcPr>
                  <w:tcW w:w="416" w:type="pct"/>
                  <w:tcBorders>
                    <w:left w:val="single" w:color="auto" w:sz="4"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60</w:t>
                  </w:r>
                </w:p>
              </w:tc>
              <w:tc>
                <w:tcPr>
                  <w:tcW w:w="642" w:type="pct"/>
                  <w:tcBorders>
                    <w:left w:val="single" w:color="auto" w:sz="4" w:space="0"/>
                    <w:bottom w:val="single" w:color="auto" w:sz="12" w:space="0"/>
                    <w:right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食堂油烟</w:t>
                  </w:r>
                </w:p>
              </w:tc>
              <w:tc>
                <w:tcPr>
                  <w:tcW w:w="434" w:type="pct"/>
                  <w:tcBorders>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w:t>
                  </w:r>
                  <w:r>
                    <w:rPr>
                      <w:rFonts w:hint="eastAsia" w:ascii="Times New Roman" w:hAnsi="Times New Roman"/>
                      <w:szCs w:val="21"/>
                      <w:lang w:val="en-US" w:eastAsia="zh-CN"/>
                    </w:rPr>
                    <w:t>72</w:t>
                  </w:r>
                </w:p>
              </w:tc>
              <w:tc>
                <w:tcPr>
                  <w:tcW w:w="555" w:type="pct"/>
                  <w:tcBorders>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0.00</w:t>
                  </w:r>
                  <w:r>
                    <w:rPr>
                      <w:rFonts w:hint="eastAsia" w:ascii="Times New Roman" w:hAnsi="Times New Roman"/>
                      <w:szCs w:val="21"/>
                      <w:lang w:val="en-US" w:eastAsia="zh-CN"/>
                    </w:rPr>
                    <w:t>72</w:t>
                  </w:r>
                </w:p>
              </w:tc>
              <w:tc>
                <w:tcPr>
                  <w:tcW w:w="625" w:type="pct"/>
                  <w:tcBorders>
                    <w:left w:val="single" w:color="auto" w:sz="4" w:space="0"/>
                    <w:bottom w:val="single" w:color="auto" w:sz="12" w:space="0"/>
                    <w:right w:val="nil"/>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szCs w:val="21"/>
                      <w:lang w:val="en-US" w:eastAsia="zh-CN"/>
                    </w:rPr>
                  </w:pPr>
                  <w:r>
                    <w:rPr>
                      <w:rFonts w:hint="eastAsia" w:ascii="Times New Roman" w:hAnsi="Times New Roman"/>
                      <w:szCs w:val="21"/>
                    </w:rPr>
                    <w:t>0.0</w:t>
                  </w:r>
                  <w:r>
                    <w:rPr>
                      <w:rFonts w:hint="eastAsia" w:ascii="Times New Roman" w:hAnsi="Times New Roman"/>
                      <w:szCs w:val="21"/>
                      <w:lang w:val="en-US" w:eastAsia="zh-CN"/>
                    </w:rPr>
                    <w:t>13</w:t>
                  </w:r>
                </w:p>
              </w:tc>
            </w:tr>
          </w:tbl>
          <w:p>
            <w:pPr>
              <w:keepNext w:val="0"/>
              <w:keepLines w:val="0"/>
              <w:widowControl w:val="0"/>
              <w:suppressLineNumbers w:val="0"/>
              <w:snapToGrid w:val="0"/>
              <w:spacing w:before="0" w:beforeAutospacing="0" w:after="0" w:afterAutospacing="0" w:line="360" w:lineRule="auto"/>
              <w:ind w:left="0" w:right="0"/>
              <w:jc w:val="both"/>
              <w:rPr>
                <w:b/>
                <w:bCs w:val="0"/>
                <w:lang w:val="en-US"/>
              </w:rPr>
            </w:pPr>
            <w:r>
              <w:rPr>
                <w:rFonts w:hint="eastAsia" w:ascii="宋体" w:hAnsi="宋体" w:eastAsia="宋体" w:cs="宋体"/>
                <w:b/>
                <w:bCs w:val="0"/>
                <w:kern w:val="2"/>
                <w:sz w:val="21"/>
                <w:szCs w:val="21"/>
                <w:lang w:val="en-US" w:eastAsia="zh-CN" w:bidi="ar"/>
              </w:rPr>
              <w:t>注：涂</w:t>
            </w:r>
            <w:r>
              <w:rPr>
                <w:rFonts w:hint="eastAsia" w:ascii="宋体" w:hAnsi="宋体" w:cs="宋体"/>
                <w:b/>
                <w:bCs w:val="0"/>
                <w:kern w:val="2"/>
                <w:sz w:val="21"/>
                <w:szCs w:val="21"/>
                <w:lang w:val="en-US" w:eastAsia="zh-CN" w:bidi="ar"/>
              </w:rPr>
              <w:t>敷</w:t>
            </w:r>
            <w:r>
              <w:rPr>
                <w:rFonts w:hint="eastAsia" w:ascii="宋体" w:hAnsi="宋体" w:eastAsia="宋体" w:cs="宋体"/>
                <w:b/>
                <w:bCs w:val="0"/>
                <w:kern w:val="2"/>
                <w:sz w:val="21"/>
                <w:szCs w:val="21"/>
                <w:lang w:val="en-US" w:eastAsia="zh-CN" w:bidi="ar"/>
              </w:rPr>
              <w:t>、固化和注塑成型运行时间约为</w:t>
            </w:r>
            <w:r>
              <w:rPr>
                <w:rFonts w:hint="default" w:ascii="Times New Roman" w:hAnsi="Times New Roman" w:eastAsia="宋体" w:cs="Times New Roman"/>
                <w:b/>
                <w:bCs w:val="0"/>
                <w:kern w:val="2"/>
                <w:sz w:val="21"/>
                <w:szCs w:val="21"/>
                <w:lang w:val="en-US" w:eastAsia="zh-CN" w:bidi="ar"/>
              </w:rPr>
              <w:t>3000h/a</w:t>
            </w:r>
            <w:r>
              <w:rPr>
                <w:rFonts w:hint="eastAsia" w:ascii="宋体" w:hAnsi="宋体" w:eastAsia="宋体" w:cs="宋体"/>
                <w:b/>
                <w:bCs w:val="0"/>
                <w:kern w:val="2"/>
                <w:sz w:val="21"/>
                <w:szCs w:val="21"/>
                <w:lang w:val="en-US" w:eastAsia="zh-CN" w:bidi="ar"/>
              </w:rPr>
              <w:t>，食堂运行时间约为</w:t>
            </w:r>
            <w:r>
              <w:rPr>
                <w:rFonts w:hint="default" w:ascii="Times New Roman" w:hAnsi="Times New Roman" w:eastAsia="宋体" w:cs="Times New Roman"/>
                <w:b/>
                <w:bCs w:val="0"/>
                <w:kern w:val="2"/>
                <w:sz w:val="21"/>
                <w:szCs w:val="21"/>
                <w:lang w:val="en-US" w:eastAsia="zh-CN" w:bidi="ar"/>
              </w:rPr>
              <w:t>1</w:t>
            </w:r>
            <w:r>
              <w:rPr>
                <w:rFonts w:hint="eastAsia" w:cs="Times New Roman"/>
                <w:b/>
                <w:bCs w:val="0"/>
                <w:kern w:val="2"/>
                <w:sz w:val="21"/>
                <w:szCs w:val="21"/>
                <w:lang w:val="en-US" w:eastAsia="zh-CN" w:bidi="ar"/>
              </w:rPr>
              <w:t>8</w:t>
            </w:r>
            <w:r>
              <w:rPr>
                <w:rFonts w:hint="default" w:ascii="Times New Roman" w:hAnsi="Times New Roman" w:eastAsia="宋体" w:cs="Times New Roman"/>
                <w:b/>
                <w:bCs w:val="0"/>
                <w:kern w:val="2"/>
                <w:sz w:val="21"/>
                <w:szCs w:val="21"/>
                <w:lang w:val="en-US" w:eastAsia="zh-CN" w:bidi="ar"/>
              </w:rPr>
              <w:t>00h/a</w:t>
            </w:r>
            <w:r>
              <w:rPr>
                <w:rFonts w:hint="eastAsia" w:ascii="宋体" w:hAnsi="宋体" w:eastAsia="宋体" w:cs="宋体"/>
                <w:b/>
                <w:bCs w:val="0"/>
                <w:kern w:val="2"/>
                <w:sz w:val="21"/>
                <w:szCs w:val="21"/>
                <w:lang w:val="en-US" w:eastAsia="zh-CN" w:bidi="ar"/>
              </w:rPr>
              <w:t>。</w:t>
            </w:r>
          </w:p>
          <w:p>
            <w:pPr>
              <w:keepNext w:val="0"/>
              <w:keepLines w:val="0"/>
              <w:suppressLineNumbers w:val="0"/>
              <w:snapToGrid w:val="0"/>
              <w:spacing w:before="0" w:beforeAutospacing="0" w:after="0" w:afterAutospacing="0" w:line="360" w:lineRule="auto"/>
              <w:ind w:left="0" w:right="0" w:firstLine="480" w:firstLineChars="200"/>
              <w:rPr>
                <w:rFonts w:ascii="宋体" w:hAnsi="宋体"/>
                <w:kern w:val="0"/>
                <w:sz w:val="24"/>
              </w:rPr>
            </w:pPr>
            <w:r>
              <w:rPr>
                <w:rFonts w:hint="eastAsia" w:ascii="宋体" w:hAnsi="宋体"/>
                <w:kern w:val="0"/>
                <w:sz w:val="24"/>
              </w:rPr>
              <w:t>本项目废气无组织排放情况见下表：</w:t>
            </w:r>
          </w:p>
          <w:p>
            <w:pPr>
              <w:keepNext w:val="0"/>
              <w:keepLines w:val="0"/>
              <w:suppressLineNumbers w:val="0"/>
              <w:spacing w:before="0" w:beforeAutospacing="0" w:after="0" w:afterAutospacing="0"/>
              <w:ind w:left="0" w:right="0"/>
              <w:jc w:val="center"/>
              <w:rPr>
                <w:rFonts w:ascii="宋体" w:hAnsi="宋体"/>
                <w:b/>
                <w:bCs/>
                <w:sz w:val="24"/>
              </w:rPr>
            </w:pPr>
            <w:r>
              <w:rPr>
                <w:b/>
                <w:bCs/>
                <w:sz w:val="24"/>
              </w:rPr>
              <w:t>表4-</w:t>
            </w:r>
            <w:r>
              <w:rPr>
                <w:rFonts w:hint="eastAsia"/>
                <w:b/>
                <w:bCs/>
                <w:sz w:val="24"/>
              </w:rPr>
              <w:t>6</w:t>
            </w:r>
            <w:r>
              <w:rPr>
                <w:b/>
                <w:bCs/>
                <w:sz w:val="24"/>
              </w:rPr>
              <w:t xml:space="preserve"> 本项目无</w:t>
            </w:r>
            <w:r>
              <w:rPr>
                <w:rFonts w:hint="eastAsia" w:ascii="宋体" w:hAnsi="宋体"/>
                <w:b/>
                <w:bCs/>
                <w:sz w:val="24"/>
              </w:rPr>
              <w:t>组织废气污染物排放情况</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9"/>
              <w:gridCol w:w="939"/>
              <w:gridCol w:w="821"/>
              <w:gridCol w:w="1264"/>
              <w:gridCol w:w="1094"/>
              <w:gridCol w:w="1045"/>
              <w:gridCol w:w="1142"/>
              <w:gridCol w:w="9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29" w:type="dxa"/>
                  <w:vAlign w:val="center"/>
                </w:tcPr>
                <w:p>
                  <w:pPr>
                    <w:keepNext w:val="0"/>
                    <w:keepLines w:val="0"/>
                    <w:suppressLineNumbers w:val="0"/>
                    <w:spacing w:before="0" w:beforeAutospacing="0" w:after="0" w:afterAutospacing="0"/>
                    <w:ind w:left="0" w:right="0"/>
                    <w:jc w:val="center"/>
                    <w:rPr>
                      <w:b/>
                      <w:bCs/>
                    </w:rPr>
                  </w:pPr>
                  <w:r>
                    <w:rPr>
                      <w:rFonts w:hint="eastAsia"/>
                      <w:b/>
                    </w:rPr>
                    <w:t>所在车间</w:t>
                  </w:r>
                </w:p>
              </w:tc>
              <w:tc>
                <w:tcPr>
                  <w:tcW w:w="939" w:type="dxa"/>
                  <w:vAlign w:val="center"/>
                </w:tcPr>
                <w:p>
                  <w:pPr>
                    <w:keepNext w:val="0"/>
                    <w:keepLines w:val="0"/>
                    <w:suppressLineNumbers w:val="0"/>
                    <w:spacing w:before="0" w:beforeAutospacing="0" w:after="0" w:afterAutospacing="0"/>
                    <w:ind w:left="0" w:right="0"/>
                    <w:jc w:val="center"/>
                    <w:rPr>
                      <w:b/>
                      <w:bCs/>
                    </w:rPr>
                  </w:pPr>
                  <w:r>
                    <w:rPr>
                      <w:rFonts w:hint="eastAsia"/>
                      <w:b/>
                      <w:bCs/>
                    </w:rPr>
                    <w:t>工段</w:t>
                  </w:r>
                </w:p>
              </w:tc>
              <w:tc>
                <w:tcPr>
                  <w:tcW w:w="821" w:type="dxa"/>
                  <w:vAlign w:val="center"/>
                </w:tcPr>
                <w:p>
                  <w:pPr>
                    <w:keepNext w:val="0"/>
                    <w:keepLines w:val="0"/>
                    <w:suppressLineNumbers w:val="0"/>
                    <w:spacing w:before="0" w:beforeAutospacing="0" w:after="0" w:afterAutospacing="0"/>
                    <w:ind w:left="0" w:right="0"/>
                    <w:jc w:val="center"/>
                    <w:rPr>
                      <w:b/>
                      <w:bCs/>
                    </w:rPr>
                  </w:pPr>
                  <w:r>
                    <w:rPr>
                      <w:rFonts w:hint="eastAsia"/>
                      <w:b/>
                      <w:bCs/>
                    </w:rPr>
                    <w:t>年运行时间/h</w:t>
                  </w:r>
                </w:p>
              </w:tc>
              <w:tc>
                <w:tcPr>
                  <w:tcW w:w="1264" w:type="dxa"/>
                  <w:vAlign w:val="center"/>
                </w:tcPr>
                <w:p>
                  <w:pPr>
                    <w:keepNext w:val="0"/>
                    <w:keepLines w:val="0"/>
                    <w:suppressLineNumbers w:val="0"/>
                    <w:spacing w:before="0" w:beforeAutospacing="0" w:after="0" w:afterAutospacing="0"/>
                    <w:ind w:left="0" w:right="0"/>
                    <w:jc w:val="center"/>
                    <w:rPr>
                      <w:b/>
                      <w:bCs/>
                    </w:rPr>
                  </w:pPr>
                  <w:r>
                    <w:rPr>
                      <w:rFonts w:hint="eastAsia"/>
                      <w:b/>
                      <w:bCs/>
                    </w:rPr>
                    <w:t>污染物名称</w:t>
                  </w:r>
                </w:p>
              </w:tc>
              <w:tc>
                <w:tcPr>
                  <w:tcW w:w="1094" w:type="dxa"/>
                  <w:vAlign w:val="center"/>
                </w:tcPr>
                <w:p>
                  <w:pPr>
                    <w:keepNext w:val="0"/>
                    <w:keepLines w:val="0"/>
                    <w:suppressLineNumbers w:val="0"/>
                    <w:spacing w:before="0" w:beforeAutospacing="0" w:after="0" w:afterAutospacing="0"/>
                    <w:ind w:left="0" w:right="0"/>
                    <w:jc w:val="center"/>
                    <w:rPr>
                      <w:b/>
                      <w:bCs/>
                    </w:rPr>
                  </w:pPr>
                  <w:r>
                    <w:rPr>
                      <w:rFonts w:hint="eastAsia"/>
                      <w:b/>
                      <w:bCs/>
                    </w:rPr>
                    <w:t>污染物产生量（t/a）</w:t>
                  </w:r>
                </w:p>
              </w:tc>
              <w:tc>
                <w:tcPr>
                  <w:tcW w:w="1045" w:type="dxa"/>
                  <w:vAlign w:val="center"/>
                </w:tcPr>
                <w:p>
                  <w:pPr>
                    <w:keepNext w:val="0"/>
                    <w:keepLines w:val="0"/>
                    <w:suppressLineNumbers w:val="0"/>
                    <w:spacing w:before="0" w:beforeAutospacing="0" w:after="0" w:afterAutospacing="0"/>
                    <w:ind w:left="0" w:right="0"/>
                    <w:jc w:val="center"/>
                    <w:rPr>
                      <w:rFonts w:hint="eastAsia" w:eastAsia="宋体"/>
                      <w:b/>
                      <w:bCs/>
                      <w:lang w:eastAsia="zh-CN"/>
                    </w:rPr>
                  </w:pPr>
                  <w:r>
                    <w:rPr>
                      <w:rFonts w:hint="eastAsia"/>
                      <w:b/>
                      <w:bCs/>
                    </w:rPr>
                    <w:t>产生速率</w:t>
                  </w:r>
                  <w:r>
                    <w:rPr>
                      <w:rFonts w:hint="eastAsia"/>
                      <w:b/>
                      <w:bCs/>
                      <w:lang w:eastAsia="zh-CN"/>
                    </w:rPr>
                    <w:t>（</w:t>
                  </w:r>
                  <w:r>
                    <w:rPr>
                      <w:rFonts w:hint="eastAsia"/>
                      <w:b/>
                      <w:bCs/>
                    </w:rPr>
                    <w:t>kg/h</w:t>
                  </w:r>
                  <w:r>
                    <w:rPr>
                      <w:rFonts w:hint="eastAsia"/>
                      <w:b/>
                      <w:bCs/>
                      <w:lang w:eastAsia="zh-CN"/>
                    </w:rPr>
                    <w:t>）</w:t>
                  </w:r>
                </w:p>
              </w:tc>
              <w:tc>
                <w:tcPr>
                  <w:tcW w:w="1142" w:type="dxa"/>
                  <w:vAlign w:val="center"/>
                </w:tcPr>
                <w:p>
                  <w:pPr>
                    <w:keepNext w:val="0"/>
                    <w:keepLines w:val="0"/>
                    <w:suppressLineNumbers w:val="0"/>
                    <w:spacing w:before="0" w:beforeAutospacing="0" w:after="0" w:afterAutospacing="0"/>
                    <w:ind w:left="0" w:right="0"/>
                    <w:jc w:val="center"/>
                    <w:rPr>
                      <w:b/>
                      <w:bCs/>
                    </w:rPr>
                  </w:pPr>
                  <w:r>
                    <w:rPr>
                      <w:rFonts w:hint="eastAsia"/>
                      <w:b/>
                      <w:bCs/>
                    </w:rPr>
                    <w:t>面源面积（m</w:t>
                  </w:r>
                  <w:r>
                    <w:rPr>
                      <w:rFonts w:hint="eastAsia"/>
                      <w:b/>
                      <w:bCs/>
                      <w:vertAlign w:val="superscript"/>
                    </w:rPr>
                    <w:t>2</w:t>
                  </w:r>
                  <w:r>
                    <w:rPr>
                      <w:rFonts w:hint="eastAsia"/>
                      <w:b/>
                      <w:bCs/>
                    </w:rPr>
                    <w:t>）</w:t>
                  </w:r>
                </w:p>
              </w:tc>
              <w:tc>
                <w:tcPr>
                  <w:tcW w:w="963" w:type="dxa"/>
                  <w:vAlign w:val="center"/>
                </w:tcPr>
                <w:p>
                  <w:pPr>
                    <w:keepNext w:val="0"/>
                    <w:keepLines w:val="0"/>
                    <w:suppressLineNumbers w:val="0"/>
                    <w:spacing w:before="0" w:beforeAutospacing="0" w:after="0" w:afterAutospacing="0"/>
                    <w:ind w:left="0" w:right="0"/>
                    <w:jc w:val="center"/>
                    <w:rPr>
                      <w:rFonts w:hint="eastAsia" w:eastAsia="宋体"/>
                      <w:b/>
                      <w:bCs/>
                      <w:lang w:eastAsia="zh-CN"/>
                    </w:rPr>
                  </w:pPr>
                  <w:r>
                    <w:rPr>
                      <w:rFonts w:hint="eastAsia"/>
                      <w:b/>
                      <w:bCs/>
                    </w:rPr>
                    <w:t>面源高度</w:t>
                  </w:r>
                  <w:r>
                    <w:rPr>
                      <w:rFonts w:hint="eastAsia"/>
                      <w:b/>
                      <w:bCs/>
                      <w:lang w:eastAsia="zh-CN"/>
                    </w:rPr>
                    <w:t>（</w:t>
                  </w:r>
                  <w:r>
                    <w:rPr>
                      <w:rFonts w:hint="eastAsia"/>
                      <w:b/>
                      <w:bCs/>
                    </w:rPr>
                    <w:t>m</w:t>
                  </w:r>
                  <w:r>
                    <w:rPr>
                      <w:rFonts w:hint="eastAsia"/>
                      <w:b/>
                      <w:bCs/>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9" w:type="dxa"/>
                  <w:vMerge w:val="restart"/>
                  <w:vAlign w:val="center"/>
                </w:tcPr>
                <w:p>
                  <w:pPr>
                    <w:keepNext w:val="0"/>
                    <w:keepLines w:val="0"/>
                    <w:suppressLineNumbers w:val="0"/>
                    <w:spacing w:before="0" w:beforeAutospacing="0" w:after="0" w:afterAutospacing="0"/>
                    <w:ind w:left="0" w:right="0"/>
                    <w:jc w:val="center"/>
                  </w:pPr>
                  <w:r>
                    <w:rPr>
                      <w:rFonts w:hint="eastAsia"/>
                    </w:rPr>
                    <w:t>涂</w:t>
                  </w:r>
                  <w:r>
                    <w:rPr>
                      <w:rFonts w:hint="eastAsia"/>
                      <w:lang w:eastAsia="zh-CN"/>
                    </w:rPr>
                    <w:t>敷</w:t>
                  </w:r>
                  <w:r>
                    <w:rPr>
                      <w:rFonts w:hint="eastAsia"/>
                    </w:rPr>
                    <w:t>注塑车间</w:t>
                  </w:r>
                </w:p>
              </w:tc>
              <w:tc>
                <w:tcPr>
                  <w:tcW w:w="939" w:type="dxa"/>
                  <w:vAlign w:val="center"/>
                </w:tcPr>
                <w:p>
                  <w:pPr>
                    <w:keepNext w:val="0"/>
                    <w:keepLines w:val="0"/>
                    <w:suppressLineNumbers w:val="0"/>
                    <w:spacing w:before="0" w:beforeAutospacing="0" w:after="0" w:afterAutospacing="0"/>
                    <w:ind w:left="0" w:right="0"/>
                    <w:jc w:val="center"/>
                  </w:pPr>
                  <w:r>
                    <w:rPr>
                      <w:rFonts w:hint="eastAsia"/>
                      <w:szCs w:val="21"/>
                    </w:rPr>
                    <w:t>涂敷</w:t>
                  </w:r>
                </w:p>
              </w:tc>
              <w:tc>
                <w:tcPr>
                  <w:tcW w:w="821" w:type="dxa"/>
                  <w:vMerge w:val="restart"/>
                  <w:vAlign w:val="center"/>
                </w:tcPr>
                <w:p>
                  <w:pPr>
                    <w:keepNext w:val="0"/>
                    <w:keepLines w:val="0"/>
                    <w:suppressLineNumbers w:val="0"/>
                    <w:spacing w:before="0" w:beforeAutospacing="0" w:after="0" w:afterAutospacing="0"/>
                    <w:ind w:left="0" w:right="0"/>
                    <w:jc w:val="center"/>
                  </w:pPr>
                  <w:r>
                    <w:rPr>
                      <w:rFonts w:hint="eastAsia"/>
                    </w:rPr>
                    <w:t>3</w:t>
                  </w:r>
                  <w:r>
                    <w:rPr>
                      <w:rFonts w:hint="eastAsia"/>
                      <w:lang w:val="en-US" w:eastAsia="zh-CN"/>
                    </w:rPr>
                    <w:t>0</w:t>
                  </w:r>
                  <w:r>
                    <w:rPr>
                      <w:rFonts w:hint="eastAsia"/>
                    </w:rPr>
                    <w:t>00</w:t>
                  </w:r>
                </w:p>
              </w:tc>
              <w:tc>
                <w:tcPr>
                  <w:tcW w:w="1264" w:type="dxa"/>
                  <w:vAlign w:val="center"/>
                </w:tcPr>
                <w:p>
                  <w:pPr>
                    <w:keepNext w:val="0"/>
                    <w:keepLines w:val="0"/>
                    <w:suppressLineNumbers w:val="0"/>
                    <w:spacing w:before="0" w:beforeAutospacing="0" w:after="0" w:afterAutospacing="0"/>
                    <w:ind w:left="0" w:right="0"/>
                    <w:jc w:val="center"/>
                  </w:pPr>
                  <w:r>
                    <w:rPr>
                      <w:rFonts w:hint="eastAsia"/>
                    </w:rPr>
                    <w:t>颗粒物</w:t>
                  </w:r>
                </w:p>
              </w:tc>
              <w:tc>
                <w:tcPr>
                  <w:tcW w:w="1094"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szCs w:val="21"/>
                    </w:rPr>
                  </w:pPr>
                  <w:r>
                    <w:rPr>
                      <w:rFonts w:hint="default" w:ascii="Times New Roman" w:hAnsi="Times New Roman" w:eastAsia="宋体" w:cs="Times New Roman"/>
                      <w:kern w:val="2"/>
                      <w:sz w:val="21"/>
                      <w:szCs w:val="21"/>
                      <w:lang w:val="en-US" w:eastAsia="zh-CN" w:bidi="ar"/>
                    </w:rPr>
                    <w:t>0.1</w:t>
                  </w:r>
                </w:p>
              </w:tc>
              <w:tc>
                <w:tcPr>
                  <w:tcW w:w="1045" w:type="dxa"/>
                  <w:vAlign w:val="center"/>
                </w:tcPr>
                <w:p>
                  <w:pPr>
                    <w:keepNext w:val="0"/>
                    <w:keepLines w:val="0"/>
                    <w:widowControl w:val="0"/>
                    <w:suppressLineNumbers w:val="0"/>
                    <w:spacing w:before="0" w:beforeAutospacing="0" w:after="0" w:afterAutospacing="0"/>
                    <w:ind w:left="0" w:leftChars="0" w:right="0" w:rightChars="0"/>
                    <w:jc w:val="center"/>
                    <w:rPr>
                      <w:szCs w:val="21"/>
                    </w:rPr>
                  </w:pPr>
                  <w:r>
                    <w:rPr>
                      <w:rFonts w:hint="default" w:ascii="Times New Roman" w:hAnsi="Times New Roman" w:eastAsia="宋体" w:cs="Times New Roman"/>
                      <w:kern w:val="2"/>
                      <w:sz w:val="21"/>
                      <w:szCs w:val="21"/>
                      <w:lang w:val="en-US" w:eastAsia="zh-CN" w:bidi="ar"/>
                    </w:rPr>
                    <w:t>0.033</w:t>
                  </w:r>
                </w:p>
              </w:tc>
              <w:tc>
                <w:tcPr>
                  <w:tcW w:w="1142" w:type="dxa"/>
                  <w:vMerge w:val="restart"/>
                  <w:vAlign w:val="center"/>
                </w:tcPr>
                <w:p>
                  <w:pPr>
                    <w:keepNext w:val="0"/>
                    <w:keepLines w:val="0"/>
                    <w:suppressLineNumbers w:val="0"/>
                    <w:spacing w:before="0" w:beforeAutospacing="0" w:after="0" w:afterAutospacing="0"/>
                    <w:ind w:left="0" w:right="0"/>
                    <w:jc w:val="center"/>
                  </w:pPr>
                  <w:r>
                    <w:rPr>
                      <w:rFonts w:hint="eastAsia"/>
                      <w:lang w:val="en-US" w:eastAsia="zh-CN"/>
                    </w:rPr>
                    <w:t>9</w:t>
                  </w:r>
                  <w:r>
                    <w:rPr>
                      <w:rFonts w:hint="eastAsia"/>
                    </w:rPr>
                    <w:t>00</w:t>
                  </w:r>
                </w:p>
              </w:tc>
              <w:tc>
                <w:tcPr>
                  <w:tcW w:w="963" w:type="dxa"/>
                  <w:vMerge w:val="restart"/>
                  <w:vAlign w:val="center"/>
                </w:tcPr>
                <w:p>
                  <w:pPr>
                    <w:keepNext w:val="0"/>
                    <w:keepLines w:val="0"/>
                    <w:suppressLineNumbers w:val="0"/>
                    <w:spacing w:before="0" w:beforeAutospacing="0" w:after="0" w:afterAutospacing="0"/>
                    <w:ind w:left="0" w:right="0"/>
                    <w:jc w:val="center"/>
                  </w:pPr>
                  <w:r>
                    <w:rPr>
                      <w:rFonts w:hint="eastAsia"/>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29" w:type="dxa"/>
                  <w:vMerge w:val="continue"/>
                  <w:vAlign w:val="center"/>
                </w:tcPr>
                <w:p>
                  <w:pPr>
                    <w:keepNext w:val="0"/>
                    <w:keepLines w:val="0"/>
                    <w:suppressLineNumbers w:val="0"/>
                    <w:spacing w:before="0" w:beforeAutospacing="0" w:after="0" w:afterAutospacing="0"/>
                    <w:ind w:left="0" w:right="0"/>
                    <w:jc w:val="center"/>
                  </w:pPr>
                </w:p>
              </w:tc>
              <w:tc>
                <w:tcPr>
                  <w:tcW w:w="939" w:type="dxa"/>
                  <w:vAlign w:val="center"/>
                </w:tcPr>
                <w:p>
                  <w:pPr>
                    <w:keepNext w:val="0"/>
                    <w:keepLines w:val="0"/>
                    <w:suppressLineNumbers w:val="0"/>
                    <w:spacing w:before="0" w:beforeAutospacing="0" w:after="0" w:afterAutospacing="0"/>
                    <w:ind w:left="0" w:right="0"/>
                    <w:jc w:val="center"/>
                  </w:pPr>
                  <w:r>
                    <w:rPr>
                      <w:rFonts w:hint="eastAsia"/>
                      <w:szCs w:val="21"/>
                    </w:rPr>
                    <w:t>固化</w:t>
                  </w:r>
                </w:p>
              </w:tc>
              <w:tc>
                <w:tcPr>
                  <w:tcW w:w="821" w:type="dxa"/>
                  <w:vMerge w:val="continue"/>
                  <w:vAlign w:val="center"/>
                </w:tcPr>
                <w:p>
                  <w:pPr>
                    <w:keepNext w:val="0"/>
                    <w:keepLines w:val="0"/>
                    <w:suppressLineNumbers w:val="0"/>
                    <w:spacing w:before="0" w:beforeAutospacing="0" w:after="0" w:afterAutospacing="0"/>
                    <w:ind w:left="0" w:right="0"/>
                    <w:jc w:val="center"/>
                  </w:pPr>
                </w:p>
              </w:tc>
              <w:tc>
                <w:tcPr>
                  <w:tcW w:w="1264" w:type="dxa"/>
                  <w:vAlign w:val="center"/>
                </w:tcPr>
                <w:p>
                  <w:pPr>
                    <w:keepNext w:val="0"/>
                    <w:keepLines w:val="0"/>
                    <w:suppressLineNumbers w:val="0"/>
                    <w:spacing w:before="0" w:beforeAutospacing="0" w:after="0" w:afterAutospacing="0"/>
                    <w:ind w:left="0" w:right="0"/>
                    <w:jc w:val="center"/>
                  </w:pPr>
                  <w:r>
                    <w:rPr>
                      <w:rFonts w:hint="eastAsia"/>
                    </w:rPr>
                    <w:t>非甲烷总烃</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szCs w:val="21"/>
                    </w:rPr>
                  </w:pPr>
                  <w:r>
                    <w:rPr>
                      <w:rFonts w:hint="eastAsia"/>
                      <w:szCs w:val="21"/>
                    </w:rPr>
                    <w:t>0.0</w:t>
                  </w:r>
                  <w:r>
                    <w:rPr>
                      <w:rFonts w:hint="eastAsia"/>
                      <w:szCs w:val="21"/>
                      <w:lang w:val="en-US" w:eastAsia="zh-CN"/>
                    </w:rPr>
                    <w:t>6</w:t>
                  </w:r>
                </w:p>
              </w:tc>
              <w:tc>
                <w:tcPr>
                  <w:tcW w:w="1045"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0.0</w:t>
                  </w:r>
                  <w:r>
                    <w:rPr>
                      <w:rFonts w:hint="eastAsia"/>
                      <w:szCs w:val="21"/>
                      <w:lang w:val="en-US" w:eastAsia="zh-CN"/>
                    </w:rPr>
                    <w:t>2</w:t>
                  </w:r>
                </w:p>
              </w:tc>
              <w:tc>
                <w:tcPr>
                  <w:tcW w:w="1142" w:type="dxa"/>
                  <w:vMerge w:val="continue"/>
                  <w:vAlign w:val="center"/>
                </w:tcPr>
                <w:p>
                  <w:pPr>
                    <w:keepNext w:val="0"/>
                    <w:keepLines w:val="0"/>
                    <w:suppressLineNumbers w:val="0"/>
                    <w:spacing w:before="0" w:beforeAutospacing="0" w:after="0" w:afterAutospacing="0"/>
                    <w:ind w:left="0" w:right="0"/>
                    <w:jc w:val="center"/>
                  </w:pPr>
                </w:p>
              </w:tc>
              <w:tc>
                <w:tcPr>
                  <w:tcW w:w="963" w:type="dxa"/>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9" w:type="dxa"/>
                  <w:vMerge w:val="continue"/>
                  <w:vAlign w:val="center"/>
                </w:tcPr>
                <w:p>
                  <w:pPr>
                    <w:keepNext w:val="0"/>
                    <w:keepLines w:val="0"/>
                    <w:suppressLineNumbers w:val="0"/>
                    <w:spacing w:before="0" w:beforeAutospacing="0" w:after="0" w:afterAutospacing="0"/>
                    <w:ind w:left="0" w:right="0"/>
                    <w:jc w:val="center"/>
                  </w:pPr>
                </w:p>
              </w:tc>
              <w:tc>
                <w:tcPr>
                  <w:tcW w:w="939" w:type="dxa"/>
                  <w:vAlign w:val="center"/>
                </w:tcPr>
                <w:p>
                  <w:pPr>
                    <w:keepNext w:val="0"/>
                    <w:keepLines w:val="0"/>
                    <w:suppressLineNumbers w:val="0"/>
                    <w:spacing w:before="0" w:beforeAutospacing="0" w:after="0" w:afterAutospacing="0"/>
                    <w:ind w:left="0" w:right="0"/>
                    <w:jc w:val="center"/>
                  </w:pPr>
                  <w:r>
                    <w:rPr>
                      <w:rFonts w:hint="eastAsia"/>
                      <w:szCs w:val="21"/>
                    </w:rPr>
                    <w:t>注塑成型</w:t>
                  </w:r>
                </w:p>
              </w:tc>
              <w:tc>
                <w:tcPr>
                  <w:tcW w:w="821" w:type="dxa"/>
                  <w:vMerge w:val="continue"/>
                  <w:vAlign w:val="center"/>
                </w:tcPr>
                <w:p>
                  <w:pPr>
                    <w:keepNext w:val="0"/>
                    <w:keepLines w:val="0"/>
                    <w:suppressLineNumbers w:val="0"/>
                    <w:spacing w:before="0" w:beforeAutospacing="0" w:after="0" w:afterAutospacing="0"/>
                    <w:ind w:left="0" w:right="0"/>
                    <w:jc w:val="center"/>
                  </w:pPr>
                </w:p>
              </w:tc>
              <w:tc>
                <w:tcPr>
                  <w:tcW w:w="1264" w:type="dxa"/>
                  <w:vAlign w:val="center"/>
                </w:tcPr>
                <w:p>
                  <w:pPr>
                    <w:keepNext w:val="0"/>
                    <w:keepLines w:val="0"/>
                    <w:suppressLineNumbers w:val="0"/>
                    <w:spacing w:before="0" w:beforeAutospacing="0" w:after="0" w:afterAutospacing="0"/>
                    <w:ind w:left="0" w:right="0"/>
                    <w:jc w:val="center"/>
                  </w:pPr>
                  <w:r>
                    <w:rPr>
                      <w:rFonts w:hint="eastAsia"/>
                    </w:rPr>
                    <w:t>非甲烷总烃</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szCs w:val="21"/>
                      <w:lang w:val="en-US"/>
                    </w:rPr>
                  </w:pPr>
                  <w:r>
                    <w:rPr>
                      <w:rFonts w:hint="eastAsia"/>
                      <w:szCs w:val="21"/>
                    </w:rPr>
                    <w:t>0.00</w:t>
                  </w:r>
                  <w:r>
                    <w:rPr>
                      <w:rFonts w:hint="eastAsia"/>
                      <w:szCs w:val="21"/>
                      <w:lang w:val="en-US" w:eastAsia="zh-CN"/>
                    </w:rPr>
                    <w:t>18</w:t>
                  </w:r>
                </w:p>
              </w:tc>
              <w:tc>
                <w:tcPr>
                  <w:tcW w:w="1045"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rPr>
                    <w:t>0.000</w:t>
                  </w:r>
                  <w:r>
                    <w:rPr>
                      <w:rFonts w:hint="eastAsia"/>
                      <w:szCs w:val="21"/>
                      <w:lang w:val="en-US" w:eastAsia="zh-CN"/>
                    </w:rPr>
                    <w:t>6</w:t>
                  </w:r>
                </w:p>
              </w:tc>
              <w:tc>
                <w:tcPr>
                  <w:tcW w:w="1142" w:type="dxa"/>
                  <w:vMerge w:val="continue"/>
                  <w:vAlign w:val="center"/>
                </w:tcPr>
                <w:p>
                  <w:pPr>
                    <w:keepNext w:val="0"/>
                    <w:keepLines w:val="0"/>
                    <w:suppressLineNumbers w:val="0"/>
                    <w:spacing w:before="0" w:beforeAutospacing="0" w:after="0" w:afterAutospacing="0"/>
                    <w:ind w:left="0" w:right="0"/>
                    <w:jc w:val="center"/>
                  </w:pPr>
                </w:p>
              </w:tc>
              <w:tc>
                <w:tcPr>
                  <w:tcW w:w="963" w:type="dxa"/>
                  <w:vMerge w:val="continue"/>
                  <w:vAlign w:val="center"/>
                </w:tcPr>
                <w:p>
                  <w:pPr>
                    <w:keepNext w:val="0"/>
                    <w:keepLines w:val="0"/>
                    <w:suppressLineNumbers w:val="0"/>
                    <w:spacing w:before="0" w:beforeAutospacing="0" w:after="0" w:afterAutospacing="0"/>
                    <w:ind w:left="0" w:right="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7" w:hRule="atLeast"/>
                <w:jc w:val="center"/>
              </w:trPr>
              <w:tc>
                <w:tcPr>
                  <w:tcW w:w="929" w:type="dxa"/>
                  <w:vMerge w:val="continue"/>
                  <w:vAlign w:val="center"/>
                </w:tcPr>
                <w:p>
                  <w:pPr>
                    <w:keepNext w:val="0"/>
                    <w:keepLines w:val="0"/>
                    <w:suppressLineNumbers w:val="0"/>
                    <w:spacing w:before="0" w:beforeAutospacing="0" w:after="0" w:afterAutospacing="0"/>
                    <w:ind w:left="0" w:right="0"/>
                    <w:jc w:val="center"/>
                  </w:pPr>
                </w:p>
              </w:tc>
              <w:tc>
                <w:tcPr>
                  <w:tcW w:w="939" w:type="dxa"/>
                  <w:vAlign w:val="center"/>
                </w:tcPr>
                <w:p>
                  <w:pPr>
                    <w:keepNext w:val="0"/>
                    <w:keepLines w:val="0"/>
                    <w:suppressLineNumbers w:val="0"/>
                    <w:spacing w:before="0" w:beforeAutospacing="0" w:after="0" w:afterAutospacing="0"/>
                    <w:ind w:left="0" w:right="0"/>
                    <w:jc w:val="center"/>
                    <w:rPr>
                      <w:szCs w:val="21"/>
                    </w:rPr>
                  </w:pPr>
                  <w:r>
                    <w:rPr>
                      <w:rFonts w:hint="eastAsia"/>
                      <w:szCs w:val="21"/>
                    </w:rPr>
                    <w:t>焊接</w:t>
                  </w:r>
                </w:p>
              </w:tc>
              <w:tc>
                <w:tcPr>
                  <w:tcW w:w="821" w:type="dxa"/>
                  <w:vMerge w:val="continue"/>
                  <w:vAlign w:val="center"/>
                </w:tcPr>
                <w:p>
                  <w:pPr>
                    <w:keepNext w:val="0"/>
                    <w:keepLines w:val="0"/>
                    <w:suppressLineNumbers w:val="0"/>
                    <w:spacing w:before="0" w:beforeAutospacing="0" w:after="0" w:afterAutospacing="0"/>
                    <w:ind w:left="0" w:right="0"/>
                    <w:jc w:val="center"/>
                  </w:pPr>
                </w:p>
              </w:tc>
              <w:tc>
                <w:tcPr>
                  <w:tcW w:w="1264" w:type="dxa"/>
                  <w:vAlign w:val="center"/>
                </w:tcPr>
                <w:p>
                  <w:pPr>
                    <w:keepNext w:val="0"/>
                    <w:keepLines w:val="0"/>
                    <w:suppressLineNumbers w:val="0"/>
                    <w:spacing w:before="0" w:beforeAutospacing="0" w:after="0" w:afterAutospacing="0"/>
                    <w:ind w:left="0" w:right="0"/>
                    <w:jc w:val="center"/>
                  </w:pPr>
                  <w:r>
                    <w:rPr>
                      <w:rFonts w:hint="eastAsia"/>
                    </w:rPr>
                    <w:t>颗粒物</w:t>
                  </w:r>
                </w:p>
              </w:tc>
              <w:tc>
                <w:tcPr>
                  <w:tcW w:w="1094"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szCs w:val="21"/>
                    </w:rPr>
                  </w:pPr>
                  <w:r>
                    <w:rPr>
                      <w:rFonts w:hint="default" w:ascii="Times New Roman" w:hAnsi="Times New Roman" w:eastAsia="宋体" w:cs="Times New Roman"/>
                      <w:kern w:val="2"/>
                      <w:sz w:val="21"/>
                      <w:szCs w:val="21"/>
                      <w:lang w:val="en-US" w:eastAsia="zh-CN" w:bidi="ar"/>
                    </w:rPr>
                    <w:t>0.00156</w:t>
                  </w:r>
                </w:p>
              </w:tc>
              <w:tc>
                <w:tcPr>
                  <w:tcW w:w="1045" w:type="dxa"/>
                  <w:vAlign w:val="center"/>
                </w:tcPr>
                <w:p>
                  <w:pPr>
                    <w:keepNext w:val="0"/>
                    <w:keepLines w:val="0"/>
                    <w:widowControl w:val="0"/>
                    <w:suppressLineNumbers w:val="0"/>
                    <w:spacing w:before="0" w:beforeAutospacing="0" w:after="0" w:afterAutospacing="0"/>
                    <w:ind w:left="0" w:leftChars="0" w:right="0" w:rightChars="0"/>
                    <w:jc w:val="center"/>
                    <w:rPr>
                      <w:szCs w:val="21"/>
                    </w:rPr>
                  </w:pPr>
                  <w:r>
                    <w:rPr>
                      <w:rFonts w:hint="default" w:ascii="Times New Roman" w:hAnsi="Times New Roman" w:eastAsia="宋体" w:cs="Times New Roman"/>
                      <w:kern w:val="2"/>
                      <w:sz w:val="21"/>
                      <w:szCs w:val="21"/>
                      <w:lang w:val="en-US" w:eastAsia="zh-CN" w:bidi="ar"/>
                    </w:rPr>
                    <w:t>0.00052</w:t>
                  </w:r>
                </w:p>
              </w:tc>
              <w:tc>
                <w:tcPr>
                  <w:tcW w:w="1142" w:type="dxa"/>
                  <w:vMerge w:val="continue"/>
                  <w:vAlign w:val="center"/>
                </w:tcPr>
                <w:p>
                  <w:pPr>
                    <w:keepNext w:val="0"/>
                    <w:keepLines w:val="0"/>
                    <w:suppressLineNumbers w:val="0"/>
                    <w:spacing w:before="0" w:beforeAutospacing="0" w:after="0" w:afterAutospacing="0"/>
                    <w:ind w:left="0" w:right="0"/>
                    <w:jc w:val="center"/>
                  </w:pPr>
                </w:p>
              </w:tc>
              <w:tc>
                <w:tcPr>
                  <w:tcW w:w="963" w:type="dxa"/>
                  <w:vMerge w:val="continue"/>
                  <w:vAlign w:val="center"/>
                </w:tcPr>
                <w:p>
                  <w:pPr>
                    <w:keepNext w:val="0"/>
                    <w:keepLines w:val="0"/>
                    <w:suppressLineNumbers w:val="0"/>
                    <w:spacing w:before="0" w:beforeAutospacing="0" w:after="0" w:afterAutospacing="0"/>
                    <w:ind w:left="0" w:right="0"/>
                    <w:jc w:val="center"/>
                  </w:pPr>
                </w:p>
              </w:tc>
            </w:tr>
          </w:tbl>
          <w:p>
            <w:pPr>
              <w:keepNext w:val="0"/>
              <w:keepLines w:val="0"/>
              <w:suppressLineNumbers w:val="0"/>
              <w:snapToGrid w:val="0"/>
              <w:spacing w:before="0" w:beforeAutospacing="0" w:after="0" w:afterAutospacing="0" w:line="360" w:lineRule="auto"/>
              <w:ind w:left="0" w:right="0" w:firstLine="420"/>
              <w:rPr>
                <w:rFonts w:ascii="宋体" w:hAnsi="宋体"/>
                <w:b/>
                <w:bCs/>
                <w:kern w:val="0"/>
                <w:sz w:val="24"/>
              </w:rPr>
            </w:pPr>
            <w:r>
              <w:rPr>
                <w:rFonts w:hint="eastAsia"/>
                <w:b/>
                <w:bCs/>
                <w:kern w:val="0"/>
                <w:sz w:val="24"/>
              </w:rPr>
              <w:t>6</w:t>
            </w:r>
            <w:r>
              <w:rPr>
                <w:b/>
                <w:bCs/>
                <w:kern w:val="0"/>
                <w:sz w:val="24"/>
              </w:rPr>
              <w:t>）排放口</w:t>
            </w:r>
            <w:r>
              <w:rPr>
                <w:rFonts w:hint="eastAsia" w:ascii="宋体" w:hAnsi="宋体"/>
                <w:b/>
                <w:bCs/>
                <w:kern w:val="0"/>
                <w:sz w:val="24"/>
              </w:rPr>
              <w:t>基本情况</w:t>
            </w:r>
          </w:p>
          <w:p>
            <w:pPr>
              <w:keepNext w:val="0"/>
              <w:keepLines w:val="0"/>
              <w:suppressLineNumbers w:val="0"/>
              <w:autoSpaceDE w:val="0"/>
              <w:snapToGrid w:val="0"/>
              <w:spacing w:before="0" w:beforeAutospacing="0" w:after="0" w:afterAutospacing="0"/>
              <w:ind w:left="0" w:right="0"/>
              <w:jc w:val="center"/>
              <w:rPr>
                <w:rFonts w:ascii="宋体" w:hAnsi="宋体"/>
                <w:b/>
                <w:sz w:val="24"/>
              </w:rPr>
            </w:pPr>
            <w:r>
              <w:rPr>
                <w:b/>
                <w:sz w:val="24"/>
              </w:rPr>
              <w:t>表4-</w:t>
            </w:r>
            <w:r>
              <w:rPr>
                <w:rFonts w:hint="eastAsia"/>
                <w:b/>
                <w:sz w:val="24"/>
              </w:rPr>
              <w:t>7</w:t>
            </w:r>
            <w:r>
              <w:rPr>
                <w:b/>
                <w:sz w:val="24"/>
              </w:rPr>
              <w:t xml:space="preserve"> 排放口基本</w:t>
            </w:r>
            <w:r>
              <w:rPr>
                <w:rFonts w:hint="eastAsia" w:ascii="宋体" w:hAnsi="宋体"/>
                <w:b/>
                <w:sz w:val="24"/>
              </w:rPr>
              <w:t>情况表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5"/>
              <w:gridCol w:w="605"/>
              <w:gridCol w:w="725"/>
              <w:gridCol w:w="632"/>
              <w:gridCol w:w="398"/>
              <w:gridCol w:w="743"/>
              <w:gridCol w:w="743"/>
              <w:gridCol w:w="398"/>
              <w:gridCol w:w="398"/>
              <w:gridCol w:w="2070"/>
              <w:gridCol w:w="10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 w:type="pct"/>
                  <w:vMerge w:val="restart"/>
                  <w:tcBorders>
                    <w:top w:val="single" w:color="auto" w:sz="12"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序号</w:t>
                  </w:r>
                </w:p>
              </w:tc>
              <w:tc>
                <w:tcPr>
                  <w:tcW w:w="2836" w:type="pct"/>
                  <w:gridSpan w:val="8"/>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排放口基本情况</w:t>
                  </w:r>
                </w:p>
              </w:tc>
              <w:tc>
                <w:tcPr>
                  <w:tcW w:w="1921" w:type="pct"/>
                  <w:gridSpan w:val="2"/>
                  <w:tcBorders>
                    <w:top w:val="single" w:color="auto" w:sz="12"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b/>
                      <w:szCs w:val="21"/>
                    </w:rPr>
                  </w:pPr>
                  <w:r>
                    <w:rPr>
                      <w:b/>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 w:type="pct"/>
                  <w:vMerge w:val="continue"/>
                  <w:tcBorders>
                    <w:top w:val="single" w:color="auto" w:sz="12"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b/>
                      <w:szCs w:val="21"/>
                    </w:rPr>
                  </w:pPr>
                </w:p>
              </w:tc>
              <w:tc>
                <w:tcPr>
                  <w:tcW w:w="36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编号及名称</w:t>
                  </w:r>
                </w:p>
              </w:tc>
              <w:tc>
                <w:tcPr>
                  <w:tcW w:w="443"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rPr>
                  </w:pPr>
                  <w:r>
                    <w:rPr>
                      <w:rFonts w:hint="eastAsia"/>
                      <w:b/>
                    </w:rPr>
                    <w:t>经度</w:t>
                  </w:r>
                </w:p>
              </w:tc>
              <w:tc>
                <w:tcPr>
                  <w:tcW w:w="386"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rPr>
                  </w:pPr>
                  <w:r>
                    <w:rPr>
                      <w:rFonts w:hint="eastAsia"/>
                      <w:b/>
                    </w:rPr>
                    <w:t>纬度</w:t>
                  </w:r>
                </w:p>
              </w:tc>
              <w:tc>
                <w:tcPr>
                  <w:tcW w:w="243"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类型</w:t>
                  </w:r>
                </w:p>
              </w:tc>
              <w:tc>
                <w:tcPr>
                  <w:tcW w:w="45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排气筒高度（m）</w:t>
                  </w:r>
                </w:p>
              </w:tc>
              <w:tc>
                <w:tcPr>
                  <w:tcW w:w="45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出口内径（m）</w:t>
                  </w:r>
                </w:p>
              </w:tc>
              <w:tc>
                <w:tcPr>
                  <w:tcW w:w="24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排气温度</w:t>
                  </w:r>
                  <w:r>
                    <w:rPr>
                      <w:rFonts w:hint="eastAsia"/>
                      <w:b/>
                    </w:rPr>
                    <w:t>/</w:t>
                  </w:r>
                  <w:r>
                    <w:rPr>
                      <w:rFonts w:hint="eastAsia" w:ascii="宋体" w:hAnsi="宋体" w:cs="宋体"/>
                      <w:b/>
                    </w:rPr>
                    <w:t>℃</w:t>
                  </w:r>
                </w:p>
              </w:tc>
              <w:tc>
                <w:tcPr>
                  <w:tcW w:w="24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污染物类</w:t>
                  </w:r>
                </w:p>
              </w:tc>
              <w:tc>
                <w:tcPr>
                  <w:tcW w:w="1264"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b/>
                      <w:szCs w:val="21"/>
                    </w:rPr>
                  </w:pPr>
                  <w:r>
                    <w:rPr>
                      <w:b/>
                    </w:rPr>
                    <w:t>标准名称</w:t>
                  </w:r>
                </w:p>
              </w:tc>
              <w:tc>
                <w:tcPr>
                  <w:tcW w:w="656"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b/>
                      <w:szCs w:val="21"/>
                    </w:rPr>
                  </w:pPr>
                  <w:r>
                    <w:rPr>
                      <w:b/>
                    </w:rPr>
                    <w:t>浓度限值（mg/Nm</w:t>
                  </w:r>
                  <w:r>
                    <w:rPr>
                      <w:b/>
                      <w:vertAlign w:val="superscript"/>
                    </w:rPr>
                    <w:t>3</w:t>
                  </w:r>
                  <w:r>
                    <w:rPr>
                      <w:b/>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 w:type="pct"/>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1</w:t>
                  </w:r>
                </w:p>
              </w:tc>
              <w:tc>
                <w:tcPr>
                  <w:tcW w:w="369"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FQ-</w:t>
                  </w:r>
                  <w:r>
                    <w:rPr>
                      <w:rFonts w:hint="eastAsia"/>
                    </w:rPr>
                    <w:t>1</w:t>
                  </w:r>
                  <w:r>
                    <w:t>排气筒</w:t>
                  </w:r>
                </w:p>
              </w:tc>
              <w:tc>
                <w:tcPr>
                  <w:tcW w:w="443"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szCs w:val="21"/>
                    </w:rPr>
                  </w:pPr>
                  <w:r>
                    <w:rPr>
                      <w:rFonts w:hint="eastAsia"/>
                      <w:kern w:val="0"/>
                      <w:szCs w:val="21"/>
                    </w:rPr>
                    <w:t>120.06°</w:t>
                  </w:r>
                </w:p>
              </w:tc>
              <w:tc>
                <w:tcPr>
                  <w:tcW w:w="386"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szCs w:val="21"/>
                    </w:rPr>
                  </w:pPr>
                  <w:r>
                    <w:rPr>
                      <w:rFonts w:hint="eastAsia"/>
                      <w:kern w:val="0"/>
                      <w:szCs w:val="21"/>
                    </w:rPr>
                    <w:t>31.65°</w:t>
                  </w:r>
                </w:p>
              </w:tc>
              <w:tc>
                <w:tcPr>
                  <w:tcW w:w="243"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一般排放口</w:t>
                  </w:r>
                </w:p>
              </w:tc>
              <w:tc>
                <w:tcPr>
                  <w:tcW w:w="454"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15</w:t>
                  </w:r>
                </w:p>
              </w:tc>
              <w:tc>
                <w:tcPr>
                  <w:tcW w:w="454"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rPr>
                    <w:t>0.</w:t>
                  </w:r>
                  <w:r>
                    <w:rPr>
                      <w:rFonts w:hint="eastAsia"/>
                      <w:lang w:val="en-US" w:eastAsia="zh-CN"/>
                    </w:rPr>
                    <w:t>9</w:t>
                  </w:r>
                </w:p>
              </w:tc>
              <w:tc>
                <w:tcPr>
                  <w:tcW w:w="243"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25</w:t>
                  </w:r>
                </w:p>
              </w:tc>
              <w:tc>
                <w:tcPr>
                  <w:tcW w:w="24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非甲烷总烃</w:t>
                  </w:r>
                </w:p>
              </w:tc>
              <w:tc>
                <w:tcPr>
                  <w:tcW w:w="1264" w:type="pct"/>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rPr>
                    <w:t>《大气污染物综合排放标准》（DB32/4041-2021）</w:t>
                  </w:r>
                </w:p>
              </w:tc>
              <w:tc>
                <w:tcPr>
                  <w:tcW w:w="656"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rPr>
                      <w:szCs w:val="21"/>
                    </w:rPr>
                  </w:pPr>
                  <w: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 w:type="pct"/>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pPr>
                </w:p>
              </w:tc>
              <w:tc>
                <w:tcPr>
                  <w:tcW w:w="369"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443"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kern w:val="0"/>
                      <w:szCs w:val="21"/>
                    </w:rPr>
                  </w:pPr>
                </w:p>
              </w:tc>
              <w:tc>
                <w:tcPr>
                  <w:tcW w:w="386"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kern w:val="0"/>
                      <w:szCs w:val="21"/>
                    </w:rPr>
                  </w:pPr>
                </w:p>
              </w:tc>
              <w:tc>
                <w:tcPr>
                  <w:tcW w:w="243"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454"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454"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243"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24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颗粒物</w:t>
                  </w:r>
                </w:p>
              </w:tc>
              <w:tc>
                <w:tcPr>
                  <w:tcW w:w="1264"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p>
              </w:tc>
              <w:tc>
                <w:tcPr>
                  <w:tcW w:w="656" w:type="pct"/>
                  <w:tcBorders>
                    <w:top w:val="single" w:color="auto" w:sz="4" w:space="0"/>
                    <w:left w:val="single" w:color="auto" w:sz="4" w:space="0"/>
                    <w:bottom w:val="single" w:color="auto" w:sz="4" w:space="0"/>
                    <w:right w:val="nil"/>
                  </w:tcBorders>
                  <w:vAlign w:val="center"/>
                </w:tcPr>
                <w:p>
                  <w:pPr>
                    <w:keepNext w:val="0"/>
                    <w:keepLines w:val="0"/>
                    <w:suppressLineNumbers w:val="0"/>
                    <w:spacing w:before="0" w:beforeAutospacing="0" w:after="0" w:afterAutospacing="0"/>
                    <w:ind w:left="0" w:right="0"/>
                    <w:jc w:val="center"/>
                  </w:pPr>
                  <w:r>
                    <w:rPr>
                      <w:rFonts w:hint="eastAsia"/>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 w:type="pct"/>
                  <w:tcBorders>
                    <w:left w:val="nil"/>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2</w:t>
                  </w:r>
                </w:p>
              </w:tc>
              <w:tc>
                <w:tcPr>
                  <w:tcW w:w="369"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FQ-</w:t>
                  </w:r>
                  <w:r>
                    <w:rPr>
                      <w:rFonts w:hint="eastAsia"/>
                    </w:rPr>
                    <w:t>2</w:t>
                  </w:r>
                  <w:r>
                    <w:t>排气筒</w:t>
                  </w:r>
                </w:p>
              </w:tc>
              <w:tc>
                <w:tcPr>
                  <w:tcW w:w="443"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szCs w:val="21"/>
                    </w:rPr>
                  </w:pPr>
                  <w:r>
                    <w:rPr>
                      <w:rFonts w:hint="eastAsia"/>
                      <w:kern w:val="0"/>
                      <w:szCs w:val="21"/>
                    </w:rPr>
                    <w:t>120.06°</w:t>
                  </w:r>
                </w:p>
              </w:tc>
              <w:tc>
                <w:tcPr>
                  <w:tcW w:w="386"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textAlignment w:val="center"/>
                    <w:rPr>
                      <w:szCs w:val="21"/>
                    </w:rPr>
                  </w:pPr>
                  <w:r>
                    <w:rPr>
                      <w:rFonts w:hint="eastAsia"/>
                      <w:kern w:val="0"/>
                      <w:szCs w:val="21"/>
                    </w:rPr>
                    <w:t>31.65°</w:t>
                  </w:r>
                </w:p>
              </w:tc>
              <w:tc>
                <w:tcPr>
                  <w:tcW w:w="243"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一般排放口</w:t>
                  </w:r>
                </w:p>
              </w:tc>
              <w:tc>
                <w:tcPr>
                  <w:tcW w:w="454"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rPr>
                    <w:t>8</w:t>
                  </w:r>
                </w:p>
              </w:tc>
              <w:tc>
                <w:tcPr>
                  <w:tcW w:w="454"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rPr>
                      <w:rFonts w:hint="eastAsia"/>
                    </w:rPr>
                    <w:t>0.4</w:t>
                  </w:r>
                </w:p>
              </w:tc>
              <w:tc>
                <w:tcPr>
                  <w:tcW w:w="243"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szCs w:val="21"/>
                    </w:rPr>
                  </w:pPr>
                  <w:r>
                    <w:t>25</w:t>
                  </w:r>
                </w:p>
              </w:tc>
              <w:tc>
                <w:tcPr>
                  <w:tcW w:w="243"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食堂油烟</w:t>
                  </w:r>
                </w:p>
              </w:tc>
              <w:tc>
                <w:tcPr>
                  <w:tcW w:w="1264" w:type="pct"/>
                  <w:tcBorders>
                    <w:left w:val="single" w:color="auto"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pPr>
                  <w:r>
                    <w:t>《饮食业油烟排放标准（试行）》（GB18483-2001）</w:t>
                  </w:r>
                </w:p>
              </w:tc>
              <w:tc>
                <w:tcPr>
                  <w:tcW w:w="656" w:type="pct"/>
                  <w:tcBorders>
                    <w:top w:val="single" w:color="auto" w:sz="4" w:space="0"/>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pPr>
                  <w:r>
                    <w:rPr>
                      <w:rFonts w:hint="eastAsia"/>
                    </w:rPr>
                    <w:t>2</w:t>
                  </w:r>
                </w:p>
              </w:tc>
            </w:tr>
          </w:tbl>
          <w:p>
            <w:pPr>
              <w:keepNext w:val="0"/>
              <w:keepLines w:val="0"/>
              <w:suppressLineNumbers w:val="0"/>
              <w:spacing w:before="0" w:beforeAutospacing="0" w:after="0" w:afterAutospacing="0" w:line="360" w:lineRule="auto"/>
              <w:ind w:left="0" w:right="0" w:firstLine="482" w:firstLineChars="200"/>
              <w:rPr>
                <w:b/>
                <w:sz w:val="24"/>
              </w:rPr>
            </w:pPr>
            <w:r>
              <w:rPr>
                <w:rFonts w:hint="eastAsia"/>
                <w:b/>
                <w:sz w:val="24"/>
              </w:rPr>
              <w:t>（3）大气环境</w:t>
            </w:r>
            <w:r>
              <w:rPr>
                <w:b/>
                <w:sz w:val="24"/>
              </w:rPr>
              <w:t>影响分析</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rFonts w:hint="eastAsia"/>
                <w:bCs/>
                <w:sz w:val="24"/>
              </w:rPr>
              <w:t>1）</w:t>
            </w:r>
            <w:r>
              <w:rPr>
                <w:rFonts w:ascii="宋体" w:hAnsi="宋体"/>
                <w:bCs/>
                <w:sz w:val="24"/>
              </w:rPr>
              <w:t>大气环境防护距离</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ascii="宋体" w:hAnsi="宋体"/>
                <w:bCs/>
                <w:sz w:val="24"/>
              </w:rPr>
              <w:t>大气环境防护距离是指为</w:t>
            </w:r>
            <w:r>
              <w:rPr>
                <w:rFonts w:ascii="宋体" w:hAnsi="宋体"/>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ascii="宋体" w:hAnsi="宋体"/>
                <w:sz w:val="24"/>
              </w:rPr>
              <w:t>根据分析，本项目未捕集的非甲烷总烃</w:t>
            </w:r>
            <w:r>
              <w:rPr>
                <w:rFonts w:hint="eastAsia" w:ascii="宋体" w:hAnsi="宋体"/>
                <w:sz w:val="24"/>
              </w:rPr>
              <w:t>、颗粒物</w:t>
            </w:r>
            <w:r>
              <w:rPr>
                <w:rFonts w:ascii="宋体" w:hAnsi="宋体"/>
                <w:sz w:val="24"/>
              </w:rPr>
              <w:t>无组织排放，大气环境防护距离计算模式采用环境保护部环境工程评估中心环境质量模拟重点实验室软件，经计算，本项目无组织排放废气计算结果无超标点。本项目不需设定大气环境防护距离。</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bCs/>
                <w:sz w:val="24"/>
              </w:rPr>
              <w:t>2</w:t>
            </w:r>
            <w:r>
              <w:rPr>
                <w:sz w:val="24"/>
              </w:rPr>
              <w:t>）卫生防护距离</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计算公式</w:t>
            </w:r>
          </w:p>
          <w:p>
            <w:pPr>
              <w:keepNext w:val="0"/>
              <w:keepLines w:val="0"/>
              <w:suppressLineNumbers w:val="0"/>
              <w:adjustRightInd w:val="0"/>
              <w:snapToGrid w:val="0"/>
              <w:spacing w:before="0" w:beforeAutospacing="0" w:after="0" w:afterAutospacing="0" w:line="312" w:lineRule="auto"/>
              <w:ind w:left="0" w:right="0" w:firstLine="480" w:firstLineChars="200"/>
              <w:rPr>
                <w:sz w:val="24"/>
              </w:rPr>
            </w:pPr>
            <w:r>
              <w:rPr>
                <w:sz w:val="24"/>
              </w:rPr>
              <w:t>根据《制定地方大气污染物排放标准的技术方法》（GB/T13201-91）规定，无组织排入有害气体的生产单元（生产区、车间、工段）与居民区之间应设置卫生防护距离，计算公式如下：</w:t>
            </w:r>
          </w:p>
          <w:p>
            <w:pPr>
              <w:keepNext w:val="0"/>
              <w:keepLines w:val="0"/>
              <w:suppressLineNumbers w:val="0"/>
              <w:adjustRightInd w:val="0"/>
              <w:snapToGrid w:val="0"/>
              <w:spacing w:before="0" w:beforeAutospacing="0" w:after="0" w:afterAutospacing="0"/>
              <w:ind w:left="0" w:right="0"/>
              <w:jc w:val="center"/>
              <w:rPr>
                <w:sz w:val="24"/>
              </w:rPr>
            </w:pPr>
            <w:r>
              <w:rPr>
                <w:position w:val="-30"/>
                <w:sz w:val="24"/>
              </w:rPr>
              <w:object>
                <v:shape id="_x0000_i1025" o:spt="75" type="#_x0000_t75" style="height:38.2pt;width:154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p>
            <w:pPr>
              <w:keepNext w:val="0"/>
              <w:keepLines w:val="0"/>
              <w:suppressLineNumbers w:val="0"/>
              <w:adjustRightInd w:val="0"/>
              <w:snapToGrid w:val="0"/>
              <w:spacing w:before="0" w:beforeAutospacing="0" w:after="0" w:afterAutospacing="0" w:line="312" w:lineRule="auto"/>
              <w:ind w:left="0" w:right="0"/>
              <w:rPr>
                <w:sz w:val="24"/>
              </w:rPr>
            </w:pPr>
            <w:r>
              <w:rPr>
                <w:sz w:val="24"/>
              </w:rPr>
              <w:t>式中：</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C</w:t>
            </w:r>
            <w:r>
              <w:rPr>
                <w:sz w:val="24"/>
                <w:vertAlign w:val="subscript"/>
              </w:rPr>
              <w:t>m</w:t>
            </w:r>
            <w:r>
              <w:rPr>
                <w:sz w:val="24"/>
              </w:rPr>
              <w:t>——标准浓度限值（mg/Nm</w:t>
            </w:r>
            <w:r>
              <w:rPr>
                <w:sz w:val="24"/>
                <w:vertAlign w:val="superscript"/>
              </w:rPr>
              <w:t>3</w:t>
            </w:r>
            <w:r>
              <w:rPr>
                <w:sz w:val="24"/>
              </w:rPr>
              <w:t>）；</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Q</w:t>
            </w:r>
            <w:r>
              <w:rPr>
                <w:sz w:val="24"/>
                <w:vertAlign w:val="subscript"/>
              </w:rPr>
              <w:t>c</w:t>
            </w:r>
            <w:r>
              <w:rPr>
                <w:sz w:val="24"/>
              </w:rPr>
              <w:t>——有害气体无组织排放量可以达到的控制水平（kg/h）；</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r——有害气体无组织排放源所在生产单元的等效半径（m）；</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L——工业企业所需的卫生防护距离（m）；</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A、B、C、D——卫生防护距离计算系数，无因次，根据工业企业所在地近五年平均风速及工业企业大气污染源构成类别查取。</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该地区的平均</w:t>
            </w:r>
            <w:r>
              <w:rPr>
                <w:sz w:val="24"/>
                <w:szCs w:val="22"/>
              </w:rPr>
              <w:t>风速</w:t>
            </w:r>
            <w:r>
              <w:rPr>
                <w:sz w:val="24"/>
              </w:rPr>
              <w:t>为</w:t>
            </w:r>
            <w:r>
              <w:rPr>
                <w:rFonts w:hint="eastAsia"/>
                <w:sz w:val="24"/>
              </w:rPr>
              <w:t>2.9</w:t>
            </w:r>
            <w:r>
              <w:rPr>
                <w:sz w:val="24"/>
              </w:rPr>
              <w:t>m/s，A、B、C、D值的选取见下表。</w:t>
            </w:r>
          </w:p>
          <w:p>
            <w:pPr>
              <w:keepNext w:val="0"/>
              <w:keepLines w:val="0"/>
              <w:suppressLineNumbers w:val="0"/>
              <w:adjustRightInd w:val="0"/>
              <w:snapToGrid w:val="0"/>
              <w:spacing w:before="0" w:beforeAutospacing="0" w:after="0" w:afterAutospacing="0"/>
              <w:ind w:left="0" w:right="0"/>
              <w:jc w:val="center"/>
              <w:rPr>
                <w:b/>
                <w:sz w:val="24"/>
              </w:rPr>
            </w:pPr>
            <w:r>
              <w:rPr>
                <w:b/>
                <w:sz w:val="24"/>
              </w:rPr>
              <w:t>表</w:t>
            </w:r>
            <w:r>
              <w:rPr>
                <w:rFonts w:hint="eastAsia"/>
                <w:b/>
                <w:sz w:val="24"/>
              </w:rPr>
              <w:t>4-8</w:t>
            </w:r>
            <w:r>
              <w:rPr>
                <w:b/>
                <w:sz w:val="24"/>
              </w:rPr>
              <w:t xml:space="preserve"> 卫生防护距离计算系数</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4"/>
              <w:gridCol w:w="744"/>
              <w:gridCol w:w="744"/>
              <w:gridCol w:w="744"/>
              <w:gridCol w:w="745"/>
              <w:gridCol w:w="745"/>
              <w:gridCol w:w="745"/>
              <w:gridCol w:w="745"/>
              <w:gridCol w:w="745"/>
              <w:gridCol w:w="745"/>
              <w:gridCol w:w="7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计</w:t>
                  </w:r>
                </w:p>
                <w:p>
                  <w:pPr>
                    <w:keepNext w:val="0"/>
                    <w:keepLines w:val="0"/>
                    <w:suppressLineNumbers w:val="0"/>
                    <w:spacing w:before="0" w:beforeAutospacing="0" w:after="0" w:afterAutospacing="0"/>
                    <w:ind w:left="0" w:right="0"/>
                    <w:jc w:val="center"/>
                    <w:rPr>
                      <w:szCs w:val="21"/>
                    </w:rPr>
                  </w:pPr>
                  <w:r>
                    <w:rPr>
                      <w:szCs w:val="21"/>
                    </w:rPr>
                    <w:t>算</w:t>
                  </w:r>
                </w:p>
                <w:p>
                  <w:pPr>
                    <w:keepNext w:val="0"/>
                    <w:keepLines w:val="0"/>
                    <w:suppressLineNumbers w:val="0"/>
                    <w:spacing w:before="0" w:beforeAutospacing="0" w:after="0" w:afterAutospacing="0"/>
                    <w:ind w:left="0" w:right="0"/>
                    <w:jc w:val="center"/>
                    <w:rPr>
                      <w:szCs w:val="21"/>
                    </w:rPr>
                  </w:pPr>
                  <w:r>
                    <w:rPr>
                      <w:szCs w:val="21"/>
                    </w:rPr>
                    <w:t>系</w:t>
                  </w:r>
                </w:p>
                <w:p>
                  <w:pPr>
                    <w:keepNext w:val="0"/>
                    <w:keepLines w:val="0"/>
                    <w:suppressLineNumbers w:val="0"/>
                    <w:spacing w:before="0" w:beforeAutospacing="0" w:after="0" w:afterAutospacing="0"/>
                    <w:ind w:left="0" w:right="0"/>
                    <w:jc w:val="center"/>
                    <w:rPr>
                      <w:szCs w:val="21"/>
                    </w:rPr>
                  </w:pPr>
                  <w:r>
                    <w:rPr>
                      <w:szCs w:val="21"/>
                    </w:rPr>
                    <w:t>数</w:t>
                  </w:r>
                </w:p>
              </w:tc>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5年平均风速</w:t>
                  </w:r>
                </w:p>
                <w:p>
                  <w:pPr>
                    <w:keepNext w:val="0"/>
                    <w:keepLines w:val="0"/>
                    <w:suppressLineNumbers w:val="0"/>
                    <w:spacing w:before="0" w:beforeAutospacing="0" w:after="0" w:afterAutospacing="0"/>
                    <w:ind w:left="0" w:right="0"/>
                    <w:jc w:val="center"/>
                    <w:rPr>
                      <w:szCs w:val="21"/>
                    </w:rPr>
                  </w:pPr>
                  <w:r>
                    <w:rPr>
                      <w:szCs w:val="21"/>
                    </w:rPr>
                    <w:t>m/s</w:t>
                  </w:r>
                </w:p>
              </w:tc>
              <w:tc>
                <w:tcPr>
                  <w:tcW w:w="4091" w:type="pct"/>
                  <w:gridSpan w:val="9"/>
                  <w:vAlign w:val="center"/>
                </w:tcPr>
                <w:p>
                  <w:pPr>
                    <w:keepNext w:val="0"/>
                    <w:keepLines w:val="0"/>
                    <w:suppressLineNumbers w:val="0"/>
                    <w:spacing w:before="0" w:beforeAutospacing="0" w:after="0" w:afterAutospacing="0"/>
                    <w:ind w:left="0" w:right="0"/>
                    <w:jc w:val="center"/>
                    <w:rPr>
                      <w:szCs w:val="21"/>
                    </w:rPr>
                  </w:pPr>
                  <w:r>
                    <w:rPr>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L≤1000</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L≤1000</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L≤1000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091" w:type="pct"/>
                  <w:gridSpan w:val="9"/>
                  <w:vAlign w:val="center"/>
                </w:tcPr>
                <w:p>
                  <w:pPr>
                    <w:pStyle w:val="65"/>
                    <w:keepNext w:val="0"/>
                    <w:keepLines w:val="0"/>
                    <w:suppressLineNumbers w:val="0"/>
                    <w:spacing w:before="0" w:beforeAutospacing="0" w:after="0" w:afterAutospacing="0" w:line="240" w:lineRule="auto"/>
                    <w:ind w:left="0" w:right="0" w:firstLine="422"/>
                    <w:jc w:val="center"/>
                    <w:rPr>
                      <w:rFonts w:ascii="Times New Roman" w:hAnsi="Times New Roman" w:eastAsia="宋体"/>
                      <w:b w:val="0"/>
                      <w:sz w:val="21"/>
                      <w:szCs w:val="21"/>
                    </w:rPr>
                  </w:pPr>
                  <w:r>
                    <w:rPr>
                      <w:rFonts w:ascii="Times New Roman" w:hAnsi="Times New Roman" w:eastAsia="宋体"/>
                      <w:b w:val="0"/>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Ⅰ</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Ⅱ</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Ⅲ</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Ⅰ</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Ⅱ</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Ⅲ</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Ⅰ</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Ⅱ</w:t>
                  </w:r>
                </w:p>
              </w:tc>
              <w:tc>
                <w:tcPr>
                  <w:tcW w:w="455" w:type="pct"/>
                  <w:vAlign w:val="center"/>
                </w:tcPr>
                <w:p>
                  <w:pPr>
                    <w:keepNext w:val="0"/>
                    <w:keepLines w:val="0"/>
                    <w:suppressLineNumbers w:val="0"/>
                    <w:spacing w:before="0" w:beforeAutospacing="0" w:after="0" w:afterAutospacing="0"/>
                    <w:ind w:left="0" w:right="0"/>
                    <w:jc w:val="center"/>
                    <w:rPr>
                      <w:szCs w:val="21"/>
                    </w:rPr>
                  </w:pPr>
                  <w:r>
                    <w:rPr>
                      <w:rFonts w:hint="eastAsia" w:ascii="宋体" w:hAnsi="宋体" w:cs="宋体"/>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A</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80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80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 w:val="24"/>
                    </w:rPr>
                  </w:pPr>
                  <w:r>
                    <w:rPr>
                      <w:szCs w:val="21"/>
                    </w:rPr>
                    <w:t>2～4</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700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470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350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700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470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350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380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250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 w:val="24"/>
                    </w:rPr>
                  </w:pPr>
                  <w:r>
                    <w:rPr>
                      <w:szCs w:val="21"/>
                    </w:rPr>
                    <w:t>＞4</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530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350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260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530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350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260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290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190</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B</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0.01</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0.015</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 w:val="24"/>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0.021</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0.036</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C</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1.85</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1.79</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 w:val="24"/>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1.85</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1.77</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keepNext w:val="0"/>
                    <w:keepLines w:val="0"/>
                    <w:suppressLineNumbers w:val="0"/>
                    <w:spacing w:before="0" w:beforeAutospacing="0" w:after="0" w:afterAutospacing="0"/>
                    <w:ind w:left="0" w:right="0"/>
                    <w:jc w:val="center"/>
                    <w:rPr>
                      <w:szCs w:val="21"/>
                    </w:rPr>
                  </w:pPr>
                  <w:r>
                    <w:rPr>
                      <w:szCs w:val="21"/>
                    </w:rPr>
                    <w:t>D</w:t>
                  </w:r>
                </w:p>
              </w:tc>
              <w:tc>
                <w:tcPr>
                  <w:tcW w:w="455" w:type="pct"/>
                  <w:vAlign w:val="center"/>
                </w:tcPr>
                <w:p>
                  <w:pPr>
                    <w:keepNext w:val="0"/>
                    <w:keepLines w:val="0"/>
                    <w:suppressLineNumbers w:val="0"/>
                    <w:spacing w:before="0" w:beforeAutospacing="0" w:after="0" w:afterAutospacing="0"/>
                    <w:ind w:left="0" w:right="0"/>
                    <w:jc w:val="center"/>
                    <w:rPr>
                      <w:szCs w:val="21"/>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0.78</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0.78</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keepNext w:val="0"/>
                    <w:keepLines w:val="0"/>
                    <w:suppressLineNumbers w:val="0"/>
                    <w:spacing w:before="0" w:beforeAutospacing="0" w:after="0" w:afterAutospacing="0"/>
                    <w:ind w:left="0" w:right="0"/>
                    <w:jc w:val="center"/>
                    <w:rPr>
                      <w:sz w:val="24"/>
                    </w:rPr>
                  </w:pPr>
                </w:p>
              </w:tc>
              <w:tc>
                <w:tcPr>
                  <w:tcW w:w="455" w:type="pct"/>
                  <w:vAlign w:val="center"/>
                </w:tcPr>
                <w:p>
                  <w:pPr>
                    <w:keepNext w:val="0"/>
                    <w:keepLines w:val="0"/>
                    <w:suppressLineNumbers w:val="0"/>
                    <w:spacing w:before="0" w:beforeAutospacing="0" w:after="0" w:afterAutospacing="0"/>
                    <w:ind w:left="0" w:right="0"/>
                    <w:jc w:val="center"/>
                    <w:rPr>
                      <w:sz w:val="24"/>
                    </w:rPr>
                  </w:pPr>
                  <w:r>
                    <w:rPr>
                      <w:szCs w:val="21"/>
                    </w:rPr>
                    <w:t>＞2</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0.84</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0.84</w:t>
                  </w:r>
                </w:p>
              </w:tc>
              <w:tc>
                <w:tcPr>
                  <w:tcW w:w="1364" w:type="pct"/>
                  <w:gridSpan w:val="3"/>
                  <w:vAlign w:val="center"/>
                </w:tcPr>
                <w:p>
                  <w:pPr>
                    <w:keepNext w:val="0"/>
                    <w:keepLines w:val="0"/>
                    <w:suppressLineNumbers w:val="0"/>
                    <w:spacing w:before="0" w:beforeAutospacing="0" w:after="0" w:afterAutospacing="0"/>
                    <w:ind w:left="0" w:right="0"/>
                    <w:jc w:val="center"/>
                    <w:rPr>
                      <w:szCs w:val="21"/>
                    </w:rPr>
                  </w:pPr>
                  <w:r>
                    <w:rPr>
                      <w:szCs w:val="21"/>
                    </w:rPr>
                    <w:t>0.76</w:t>
                  </w:r>
                </w:p>
              </w:tc>
            </w:tr>
          </w:tbl>
          <w:p>
            <w:pPr>
              <w:keepNext w:val="0"/>
              <w:keepLines w:val="0"/>
              <w:suppressLineNumbers w:val="0"/>
              <w:spacing w:before="0" w:beforeAutospacing="0" w:after="0" w:afterAutospacing="0"/>
              <w:ind w:left="0" w:right="0" w:firstLine="422" w:firstLineChars="200"/>
              <w:jc w:val="left"/>
              <w:rPr>
                <w:rFonts w:ascii="宋体" w:hAnsi="宋体" w:cs="宋体"/>
                <w:b/>
                <w:bCs/>
                <w:szCs w:val="21"/>
              </w:rPr>
            </w:pPr>
            <w:r>
              <w:rPr>
                <w:rFonts w:ascii="宋体" w:hAnsi="宋体" w:cs="宋体"/>
                <w:b/>
                <w:bCs/>
                <w:szCs w:val="21"/>
              </w:rPr>
              <w:t>注</w:t>
            </w:r>
            <w:r>
              <w:rPr>
                <w:rFonts w:hint="eastAsia" w:ascii="宋体" w:hAnsi="宋体" w:cs="宋体"/>
                <w:b/>
                <w:bCs/>
                <w:szCs w:val="21"/>
              </w:rPr>
              <w:t>：</w:t>
            </w:r>
            <w:r>
              <w:rPr>
                <w:rFonts w:ascii="宋体" w:hAnsi="宋体" w:cs="宋体"/>
                <w:b/>
                <w:bCs/>
                <w:szCs w:val="21"/>
              </w:rPr>
              <w:t>工业企业大气污染源构成分为三类</w:t>
            </w:r>
            <w:r>
              <w:rPr>
                <w:rFonts w:hint="eastAsia" w:ascii="宋体" w:hAnsi="宋体" w:cs="宋体"/>
                <w:b/>
                <w:bCs/>
                <w:szCs w:val="21"/>
              </w:rPr>
              <w:t>：</w:t>
            </w:r>
          </w:p>
          <w:p>
            <w:pPr>
              <w:keepNext w:val="0"/>
              <w:keepLines w:val="0"/>
              <w:suppressLineNumbers w:val="0"/>
              <w:spacing w:before="0" w:beforeAutospacing="0" w:after="0" w:afterAutospacing="0"/>
              <w:ind w:left="0" w:right="0" w:firstLine="422" w:firstLineChars="200"/>
              <w:jc w:val="left"/>
              <w:rPr>
                <w:rFonts w:ascii="宋体" w:hAnsi="宋体" w:cs="宋体"/>
                <w:b/>
                <w:bCs/>
                <w:szCs w:val="21"/>
              </w:rPr>
            </w:pPr>
            <w:r>
              <w:rPr>
                <w:rFonts w:ascii="宋体" w:hAnsi="宋体" w:cs="宋体"/>
                <w:b/>
                <w:bCs/>
                <w:szCs w:val="21"/>
              </w:rPr>
              <w:t>I类</w:t>
            </w:r>
            <w:r>
              <w:rPr>
                <w:rFonts w:hint="eastAsia" w:ascii="宋体" w:hAnsi="宋体" w:cs="宋体"/>
                <w:b/>
                <w:bCs/>
                <w:szCs w:val="21"/>
              </w:rPr>
              <w:t>：</w:t>
            </w:r>
            <w:r>
              <w:rPr>
                <w:rFonts w:ascii="宋体" w:hAnsi="宋体" w:cs="宋体"/>
                <w:b/>
                <w:bCs/>
                <w:szCs w:val="21"/>
              </w:rPr>
              <w:t>与无组织排放源共存的排放同种有害气体的</w:t>
            </w:r>
            <w:r>
              <w:rPr>
                <w:rFonts w:hint="eastAsia" w:ascii="宋体" w:hAnsi="宋体" w:cs="宋体"/>
                <w:b/>
                <w:bCs/>
                <w:szCs w:val="21"/>
                <w:lang w:eastAsia="zh-CN"/>
              </w:rPr>
              <w:t>排气筒</w:t>
            </w:r>
            <w:r>
              <w:rPr>
                <w:rFonts w:ascii="宋体" w:hAnsi="宋体" w:cs="宋体"/>
                <w:b/>
                <w:bCs/>
                <w:szCs w:val="21"/>
              </w:rPr>
              <w:t>的排放时，大于标准规定的允许排放量的三分之一者。</w:t>
            </w:r>
          </w:p>
          <w:p>
            <w:pPr>
              <w:keepNext w:val="0"/>
              <w:keepLines w:val="0"/>
              <w:suppressLineNumbers w:val="0"/>
              <w:spacing w:before="0" w:beforeAutospacing="0" w:after="0" w:afterAutospacing="0"/>
              <w:ind w:left="0" w:right="0" w:firstLine="422" w:firstLineChars="200"/>
              <w:jc w:val="left"/>
              <w:rPr>
                <w:rFonts w:ascii="宋体" w:hAnsi="宋体" w:cs="宋体"/>
                <w:b/>
                <w:bCs/>
                <w:szCs w:val="21"/>
              </w:rPr>
            </w:pPr>
            <w:r>
              <w:rPr>
                <w:rFonts w:ascii="宋体" w:hAnsi="宋体" w:cs="宋体"/>
                <w:b/>
                <w:bCs/>
                <w:szCs w:val="21"/>
              </w:rPr>
              <w:t>II类</w:t>
            </w:r>
            <w:r>
              <w:rPr>
                <w:rFonts w:hint="eastAsia" w:ascii="宋体" w:hAnsi="宋体" w:cs="宋体"/>
                <w:b/>
                <w:bCs/>
                <w:szCs w:val="21"/>
              </w:rPr>
              <w:t>：</w:t>
            </w:r>
            <w:r>
              <w:rPr>
                <w:rFonts w:ascii="宋体" w:hAnsi="宋体" w:cs="宋体"/>
                <w:b/>
                <w:bCs/>
                <w:szCs w:val="21"/>
              </w:rPr>
              <w:t>与无组织排放源共存的排放同种有害气体的</w:t>
            </w:r>
            <w:r>
              <w:rPr>
                <w:rFonts w:hint="eastAsia" w:ascii="宋体" w:hAnsi="宋体" w:cs="宋体"/>
                <w:b/>
                <w:bCs/>
                <w:szCs w:val="21"/>
                <w:lang w:eastAsia="zh-CN"/>
              </w:rPr>
              <w:t>排气筒</w:t>
            </w:r>
            <w:r>
              <w:rPr>
                <w:rFonts w:ascii="宋体" w:hAnsi="宋体" w:cs="宋体"/>
                <w:b/>
                <w:bCs/>
                <w:szCs w:val="21"/>
              </w:rPr>
              <w:t>的排放量，小于标准规定的允许排放量的三分之一，或虽无排放同种大气污染物之</w:t>
            </w:r>
            <w:r>
              <w:rPr>
                <w:rFonts w:hint="eastAsia" w:ascii="宋体" w:hAnsi="宋体" w:cs="宋体"/>
                <w:b/>
                <w:bCs/>
                <w:szCs w:val="21"/>
                <w:lang w:eastAsia="zh-CN"/>
              </w:rPr>
              <w:t>排气筒</w:t>
            </w:r>
            <w:r>
              <w:rPr>
                <w:rFonts w:ascii="宋体" w:hAnsi="宋体" w:cs="宋体"/>
                <w:b/>
                <w:bCs/>
                <w:szCs w:val="21"/>
              </w:rPr>
              <w:t>共存，但无组织排放的有害物质的容许浓度指标是按急性反应指标确定者。</w:t>
            </w:r>
          </w:p>
          <w:p>
            <w:pPr>
              <w:keepNext w:val="0"/>
              <w:keepLines w:val="0"/>
              <w:suppressLineNumbers w:val="0"/>
              <w:spacing w:before="0" w:beforeAutospacing="0" w:after="0" w:afterAutospacing="0"/>
              <w:ind w:left="0" w:right="0" w:firstLine="422" w:firstLineChars="200"/>
              <w:jc w:val="left"/>
              <w:rPr>
                <w:rFonts w:ascii="宋体" w:hAnsi="宋体" w:cs="宋体"/>
                <w:b/>
                <w:bCs/>
                <w:szCs w:val="21"/>
              </w:rPr>
            </w:pPr>
            <w:r>
              <w:rPr>
                <w:rFonts w:hint="eastAsia" w:ascii="宋体" w:hAnsi="宋体" w:cs="宋体"/>
                <w:b/>
                <w:bCs/>
                <w:szCs w:val="21"/>
              </w:rPr>
              <w:t>Ⅲ</w:t>
            </w:r>
            <w:r>
              <w:rPr>
                <w:rFonts w:ascii="宋体" w:hAnsi="宋体" w:cs="宋体"/>
                <w:b/>
                <w:bCs/>
                <w:szCs w:val="21"/>
              </w:rPr>
              <w:t>类</w:t>
            </w:r>
            <w:r>
              <w:rPr>
                <w:rFonts w:hint="eastAsia" w:ascii="宋体" w:hAnsi="宋体" w:cs="宋体"/>
                <w:b/>
                <w:bCs/>
                <w:szCs w:val="21"/>
              </w:rPr>
              <w:t>：</w:t>
            </w:r>
            <w:r>
              <w:rPr>
                <w:rFonts w:ascii="宋体" w:hAnsi="宋体" w:cs="宋体"/>
                <w:b/>
                <w:bCs/>
                <w:szCs w:val="21"/>
              </w:rPr>
              <w:t>无排放同种有害物质的</w:t>
            </w:r>
            <w:r>
              <w:rPr>
                <w:rFonts w:hint="eastAsia" w:ascii="宋体" w:hAnsi="宋体" w:cs="宋体"/>
                <w:b/>
                <w:bCs/>
                <w:szCs w:val="21"/>
                <w:lang w:eastAsia="zh-CN"/>
              </w:rPr>
              <w:t>排气筒</w:t>
            </w:r>
            <w:r>
              <w:rPr>
                <w:rFonts w:ascii="宋体" w:hAnsi="宋体" w:cs="宋体"/>
                <w:b/>
                <w:bCs/>
                <w:szCs w:val="21"/>
              </w:rPr>
              <w:t>与无组织排放源共存，且无组织排放的有害物质的容许浓度是按慢性反应指标确定者。</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计算结果见下表</w:t>
            </w:r>
            <w:r>
              <w:rPr>
                <w:rFonts w:hint="eastAsia"/>
                <w:sz w:val="24"/>
              </w:rPr>
              <w:t>：</w:t>
            </w:r>
          </w:p>
          <w:p>
            <w:pPr>
              <w:keepNext w:val="0"/>
              <w:keepLines w:val="0"/>
              <w:suppressLineNumbers w:val="0"/>
              <w:adjustRightInd w:val="0"/>
              <w:snapToGrid w:val="0"/>
              <w:spacing w:before="0" w:beforeAutospacing="0" w:after="0" w:afterAutospacing="0"/>
              <w:ind w:left="0" w:right="0"/>
              <w:jc w:val="center"/>
              <w:rPr>
                <w:b/>
                <w:color w:val="FF0000"/>
                <w:sz w:val="24"/>
              </w:rPr>
            </w:pPr>
            <w:r>
              <w:rPr>
                <w:b/>
                <w:sz w:val="24"/>
              </w:rPr>
              <w:t>表</w:t>
            </w:r>
            <w:r>
              <w:rPr>
                <w:rFonts w:hint="eastAsia"/>
                <w:b/>
                <w:sz w:val="24"/>
              </w:rPr>
              <w:t>4-9</w:t>
            </w:r>
            <w:r>
              <w:rPr>
                <w:b/>
                <w:sz w:val="24"/>
              </w:rPr>
              <w:t xml:space="preserve"> 污染物卫生防护距离计算表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01"/>
              <w:gridCol w:w="925"/>
              <w:gridCol w:w="681"/>
              <w:gridCol w:w="525"/>
              <w:gridCol w:w="761"/>
              <w:gridCol w:w="658"/>
              <w:gridCol w:w="637"/>
              <w:gridCol w:w="761"/>
              <w:gridCol w:w="802"/>
              <w:gridCol w:w="5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4" w:type="pct"/>
                  <w:tcBorders>
                    <w:top w:val="single" w:color="auto" w:sz="12"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车间</w:t>
                  </w:r>
                </w:p>
              </w:tc>
              <w:tc>
                <w:tcPr>
                  <w:tcW w:w="673"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影响因子</w:t>
                  </w:r>
                </w:p>
              </w:tc>
              <w:tc>
                <w:tcPr>
                  <w:tcW w:w="565" w:type="pct"/>
                  <w:tcBorders>
                    <w:top w:val="single" w:color="auto" w:sz="12" w:space="0"/>
                    <w:left w:val="single" w:color="auto" w:sz="4" w:space="0"/>
                    <w:bottom w:val="single" w:color="auto" w:sz="2"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Qc</w:t>
                  </w:r>
                </w:p>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kg/h</w:t>
                  </w:r>
                </w:p>
              </w:tc>
              <w:tc>
                <w:tcPr>
                  <w:tcW w:w="416" w:type="pct"/>
                  <w:tcBorders>
                    <w:top w:val="single" w:color="auto" w:sz="12" w:space="0"/>
                    <w:left w:val="single" w:color="auto" w:sz="4" w:space="0"/>
                    <w:bottom w:val="single" w:color="auto" w:sz="2"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r</w:t>
                  </w:r>
                </w:p>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m</w:t>
                  </w:r>
                </w:p>
              </w:tc>
              <w:tc>
                <w:tcPr>
                  <w:tcW w:w="321" w:type="pct"/>
                  <w:tcBorders>
                    <w:top w:val="single" w:color="auto" w:sz="12" w:space="0"/>
                    <w:left w:val="single" w:color="auto" w:sz="4" w:space="0"/>
                    <w:bottom w:val="single" w:color="auto" w:sz="2"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A</w:t>
                  </w:r>
                </w:p>
              </w:tc>
              <w:tc>
                <w:tcPr>
                  <w:tcW w:w="465" w:type="pct"/>
                  <w:tcBorders>
                    <w:top w:val="single" w:color="auto" w:sz="12" w:space="0"/>
                    <w:left w:val="single" w:color="auto" w:sz="4" w:space="0"/>
                    <w:bottom w:val="single" w:color="auto" w:sz="4"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B</w:t>
                  </w:r>
                </w:p>
              </w:tc>
              <w:tc>
                <w:tcPr>
                  <w:tcW w:w="402" w:type="pct"/>
                  <w:tcBorders>
                    <w:top w:val="single" w:color="auto" w:sz="12" w:space="0"/>
                    <w:left w:val="single" w:color="auto" w:sz="4" w:space="0"/>
                    <w:bottom w:val="single" w:color="auto" w:sz="4"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C</w:t>
                  </w:r>
                </w:p>
              </w:tc>
              <w:tc>
                <w:tcPr>
                  <w:tcW w:w="389" w:type="pct"/>
                  <w:tcBorders>
                    <w:top w:val="single" w:color="auto" w:sz="12" w:space="0"/>
                    <w:left w:val="single" w:color="auto" w:sz="4" w:space="0"/>
                    <w:bottom w:val="single" w:color="auto" w:sz="4"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D</w:t>
                  </w:r>
                </w:p>
              </w:tc>
              <w:tc>
                <w:tcPr>
                  <w:tcW w:w="465" w:type="pct"/>
                  <w:tcBorders>
                    <w:top w:val="single" w:color="auto" w:sz="12" w:space="0"/>
                    <w:left w:val="single" w:color="auto" w:sz="4" w:space="0"/>
                    <w:bottom w:val="single" w:color="auto" w:sz="4"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C</w:t>
                  </w:r>
                  <w:r>
                    <w:rPr>
                      <w:rFonts w:ascii="Times New Roman" w:hAnsi="Times New Roman" w:eastAsia="宋体" w:cs="Times New Roman"/>
                      <w:b/>
                      <w:bCs/>
                      <w:sz w:val="21"/>
                      <w:szCs w:val="21"/>
                      <w:vertAlign w:val="subscript"/>
                    </w:rPr>
                    <w:t>m</w:t>
                  </w:r>
                </w:p>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mg/m</w:t>
                  </w:r>
                  <w:r>
                    <w:rPr>
                      <w:rFonts w:ascii="Times New Roman" w:hAnsi="Times New Roman" w:eastAsia="宋体" w:cs="Times New Roman"/>
                      <w:b/>
                      <w:bCs/>
                      <w:sz w:val="21"/>
                      <w:szCs w:val="21"/>
                      <w:vertAlign w:val="superscript"/>
                    </w:rPr>
                    <w:t>3</w:t>
                  </w:r>
                </w:p>
              </w:tc>
              <w:tc>
                <w:tcPr>
                  <w:tcW w:w="490" w:type="pct"/>
                  <w:tcBorders>
                    <w:top w:val="single" w:color="auto" w:sz="12" w:space="0"/>
                    <w:left w:val="single" w:color="auto" w:sz="4" w:space="0"/>
                    <w:bottom w:val="single" w:color="auto" w:sz="4" w:space="0"/>
                    <w:right w:val="single" w:color="auto" w:sz="4" w:space="0"/>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L</w:t>
                  </w:r>
                  <w:r>
                    <w:rPr>
                      <w:rFonts w:ascii="Times New Roman" w:hAnsi="Times New Roman" w:eastAsia="宋体" w:cs="Times New Roman"/>
                      <w:b/>
                      <w:bCs/>
                      <w:sz w:val="21"/>
                      <w:szCs w:val="21"/>
                      <w:vertAlign w:val="subscript"/>
                    </w:rPr>
                    <w:t>计算</w:t>
                  </w:r>
                </w:p>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m</w:t>
                  </w:r>
                </w:p>
              </w:tc>
              <w:tc>
                <w:tcPr>
                  <w:tcW w:w="340" w:type="pct"/>
                  <w:tcBorders>
                    <w:top w:val="single" w:color="auto" w:sz="12" w:space="0"/>
                    <w:left w:val="single" w:color="auto" w:sz="4" w:space="0"/>
                    <w:bottom w:val="single" w:color="auto" w:sz="4" w:space="0"/>
                    <w:right w:val="nil"/>
                  </w:tcBorders>
                  <w:vAlign w:val="center"/>
                </w:tcPr>
                <w:p>
                  <w:pPr>
                    <w:pStyle w:val="45"/>
                    <w:keepNext w:val="0"/>
                    <w:keepLines w:val="0"/>
                    <w:suppressLineNumbers w:val="0"/>
                    <w:adjustRightInd w:val="0"/>
                    <w:spacing w:before="0" w:beforeAutospacing="0" w:after="0" w:afterAutospacing="0"/>
                    <w:ind w:left="0" w:right="0"/>
                    <w:rPr>
                      <w:rFonts w:ascii="Times New Roman" w:hAnsi="Times New Roman" w:eastAsia="宋体" w:cs="Times New Roman"/>
                      <w:b/>
                      <w:bCs/>
                      <w:sz w:val="21"/>
                      <w:szCs w:val="21"/>
                    </w:rPr>
                  </w:pPr>
                  <w:r>
                    <w:rPr>
                      <w:rFonts w:ascii="Times New Roman" w:hAnsi="Times New Roman" w:eastAsia="宋体" w:cs="Times New Roman"/>
                      <w:b/>
                      <w:bCs/>
                      <w:sz w:val="21"/>
                      <w:szCs w:val="21"/>
                    </w:rPr>
                    <w:t>L</w:t>
                  </w:r>
                </w:p>
                <w:p>
                  <w:pPr>
                    <w:keepNext w:val="0"/>
                    <w:keepLines w:val="0"/>
                    <w:suppressLineNumbers w:val="0"/>
                    <w:adjustRightInd w:val="0"/>
                    <w:snapToGrid w:val="0"/>
                    <w:spacing w:before="0" w:beforeAutospacing="0" w:after="0" w:afterAutospacing="0"/>
                    <w:ind w:left="0" w:right="0"/>
                    <w:jc w:val="center"/>
                    <w:rPr>
                      <w:b/>
                      <w:bCs/>
                      <w:szCs w:val="21"/>
                    </w:rPr>
                  </w:pPr>
                  <w:r>
                    <w:rPr>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74" w:type="pct"/>
                  <w:vMerge w:val="restart"/>
                  <w:tcBorders>
                    <w:top w:val="single" w:color="auto" w:sz="4" w:space="0"/>
                    <w:left w:val="nil"/>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涂</w:t>
                  </w:r>
                  <w:r>
                    <w:rPr>
                      <w:rFonts w:hint="eastAsia"/>
                      <w:lang w:eastAsia="zh-CN"/>
                    </w:rPr>
                    <w:t>敷</w:t>
                  </w:r>
                  <w:r>
                    <w:rPr>
                      <w:rFonts w:hint="eastAsia"/>
                    </w:rPr>
                    <w:t>注塑车间</w:t>
                  </w:r>
                </w:p>
              </w:tc>
              <w:tc>
                <w:tcPr>
                  <w:tcW w:w="67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非甲烷总烃</w:t>
                  </w:r>
                </w:p>
              </w:tc>
              <w:tc>
                <w:tcPr>
                  <w:tcW w:w="565" w:type="pct"/>
                  <w:tcBorders>
                    <w:top w:val="single" w:color="auto" w:sz="2" w:space="0"/>
                    <w:left w:val="single" w:color="auto" w:sz="4" w:space="0"/>
                    <w:bottom w:val="single" w:color="auto" w:sz="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0.0</w:t>
                  </w:r>
                  <w:r>
                    <w:rPr>
                      <w:rFonts w:hint="eastAsia"/>
                      <w:szCs w:val="21"/>
                      <w:lang w:val="en-US" w:eastAsia="zh-CN"/>
                    </w:rPr>
                    <w:t>206</w:t>
                  </w:r>
                </w:p>
              </w:tc>
              <w:tc>
                <w:tcPr>
                  <w:tcW w:w="416" w:type="pct"/>
                  <w:vMerge w:val="restart"/>
                  <w:tcBorders>
                    <w:top w:val="nil"/>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16.9</w:t>
                  </w:r>
                </w:p>
              </w:tc>
              <w:tc>
                <w:tcPr>
                  <w:tcW w:w="321" w:type="pct"/>
                  <w:tcBorders>
                    <w:top w:val="single" w:color="auto" w:sz="2" w:space="0"/>
                    <w:left w:val="single" w:color="auto" w:sz="4" w:space="0"/>
                    <w:bottom w:val="single" w:color="auto" w:sz="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470</w:t>
                  </w:r>
                </w:p>
              </w:tc>
              <w:tc>
                <w:tcPr>
                  <w:tcW w:w="465"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0.021</w:t>
                  </w:r>
                </w:p>
              </w:tc>
              <w:tc>
                <w:tcPr>
                  <w:tcW w:w="40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1.85</w:t>
                  </w:r>
                </w:p>
              </w:tc>
              <w:tc>
                <w:tcPr>
                  <w:tcW w:w="389"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0.84</w:t>
                  </w:r>
                </w:p>
              </w:tc>
              <w:tc>
                <w:tcPr>
                  <w:tcW w:w="465"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color w:val="000000"/>
                    </w:rPr>
                  </w:pPr>
                  <w:r>
                    <w:rPr>
                      <w:rFonts w:ascii="Times New Roman" w:hAnsi="Times New Roman"/>
                      <w:color w:val="000000"/>
                    </w:rPr>
                    <w:t>2.0</w:t>
                  </w:r>
                </w:p>
              </w:tc>
              <w:tc>
                <w:tcPr>
                  <w:tcW w:w="49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szCs w:val="21"/>
                      <w:lang w:val="en-US" w:eastAsia="zh-CN"/>
                    </w:rPr>
                  </w:pPr>
                  <w:r>
                    <w:rPr>
                      <w:rFonts w:hint="eastAsia"/>
                      <w:color w:val="000000"/>
                      <w:szCs w:val="21"/>
                    </w:rPr>
                    <w:t>0.</w:t>
                  </w:r>
                  <w:r>
                    <w:rPr>
                      <w:rFonts w:hint="eastAsia"/>
                      <w:color w:val="000000"/>
                      <w:szCs w:val="21"/>
                      <w:lang w:val="en-US" w:eastAsia="zh-CN"/>
                    </w:rPr>
                    <w:t>826</w:t>
                  </w:r>
                </w:p>
              </w:tc>
              <w:tc>
                <w:tcPr>
                  <w:tcW w:w="340" w:type="pct"/>
                  <w:vMerge w:val="restar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74" w:type="pct"/>
                  <w:vMerge w:val="continue"/>
                  <w:tcBorders>
                    <w:left w:val="nil"/>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p>
              </w:tc>
              <w:tc>
                <w:tcPr>
                  <w:tcW w:w="673"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颗粒物</w:t>
                  </w:r>
                </w:p>
              </w:tc>
              <w:tc>
                <w:tcPr>
                  <w:tcW w:w="565" w:type="pct"/>
                  <w:tcBorders>
                    <w:top w:val="single" w:color="auto" w:sz="2"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szCs w:val="21"/>
                    </w:rPr>
                    <w:t>0.0</w:t>
                  </w:r>
                  <w:r>
                    <w:rPr>
                      <w:rFonts w:hint="eastAsia"/>
                      <w:szCs w:val="21"/>
                      <w:lang w:val="en-US" w:eastAsia="zh-CN"/>
                    </w:rPr>
                    <w:t>3352</w:t>
                  </w:r>
                </w:p>
              </w:tc>
              <w:tc>
                <w:tcPr>
                  <w:tcW w:w="416" w:type="pct"/>
                  <w:vMerge w:val="continue"/>
                  <w:tcBorders>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rPr>
                      <w:rFonts w:ascii="Times New Roman" w:hAnsi="Times New Roman"/>
                    </w:rPr>
                  </w:pPr>
                </w:p>
              </w:tc>
              <w:tc>
                <w:tcPr>
                  <w:tcW w:w="321" w:type="pct"/>
                  <w:tcBorders>
                    <w:top w:val="single" w:color="auto" w:sz="2"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470</w:t>
                  </w:r>
                </w:p>
              </w:tc>
              <w:tc>
                <w:tcPr>
                  <w:tcW w:w="465"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0.021</w:t>
                  </w:r>
                </w:p>
              </w:tc>
              <w:tc>
                <w:tcPr>
                  <w:tcW w:w="402"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1.85</w:t>
                  </w:r>
                </w:p>
              </w:tc>
              <w:tc>
                <w:tcPr>
                  <w:tcW w:w="389"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0.84</w:t>
                  </w:r>
                </w:p>
              </w:tc>
              <w:tc>
                <w:tcPr>
                  <w:tcW w:w="465"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color w:val="000000"/>
                    </w:rPr>
                  </w:pPr>
                  <w:r>
                    <w:rPr>
                      <w:rFonts w:hint="eastAsia" w:ascii="Times New Roman" w:hAnsi="Times New Roman"/>
                      <w:color w:val="000000"/>
                    </w:rPr>
                    <w:t>0.9</w:t>
                  </w:r>
                </w:p>
              </w:tc>
              <w:tc>
                <w:tcPr>
                  <w:tcW w:w="490"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szCs w:val="21"/>
                      <w:lang w:val="en-US" w:eastAsia="zh-CN"/>
                    </w:rPr>
                  </w:pPr>
                  <w:r>
                    <w:rPr>
                      <w:rFonts w:hint="eastAsia"/>
                      <w:color w:val="000000"/>
                      <w:szCs w:val="21"/>
                      <w:lang w:val="en-US" w:eastAsia="zh-CN"/>
                    </w:rPr>
                    <w:t>3.809</w:t>
                  </w:r>
                </w:p>
              </w:tc>
              <w:tc>
                <w:tcPr>
                  <w:tcW w:w="340" w:type="pct"/>
                  <w:vMerge w:val="continue"/>
                  <w:tcBorders>
                    <w:left w:val="single" w:color="auto" w:sz="4" w:space="0"/>
                    <w:bottom w:val="single" w:color="auto" w:sz="12" w:space="0"/>
                    <w:right w:val="nil"/>
                  </w:tcBorders>
                  <w:vAlign w:val="center"/>
                </w:tcPr>
                <w:p>
                  <w:pPr>
                    <w:keepNext w:val="0"/>
                    <w:keepLines w:val="0"/>
                    <w:suppressLineNumbers w:val="0"/>
                    <w:adjustRightInd w:val="0"/>
                    <w:snapToGrid w:val="0"/>
                    <w:spacing w:before="0" w:beforeAutospacing="0" w:after="0" w:afterAutospacing="0"/>
                    <w:ind w:left="0" w:right="0"/>
                    <w:jc w:val="center"/>
                  </w:pPr>
                </w:p>
              </w:tc>
            </w:tr>
          </w:tbl>
          <w:p>
            <w:pPr>
              <w:keepNext w:val="0"/>
              <w:keepLines w:val="0"/>
              <w:suppressLineNumbers w:val="0"/>
              <w:snapToGrid w:val="0"/>
              <w:spacing w:before="0" w:beforeAutospacing="0" w:after="0" w:afterAutospacing="0" w:line="360" w:lineRule="auto"/>
              <w:ind w:left="0" w:right="0" w:firstLine="480" w:firstLineChars="200"/>
              <w:rPr>
                <w:rFonts w:hAnsi="宋体"/>
                <w:sz w:val="24"/>
              </w:rPr>
            </w:pPr>
            <w:r>
              <w:rPr>
                <w:sz w:val="24"/>
              </w:rPr>
              <w:t>由上表可知，本项目生产车间产生的各种污染物的卫生防护距离计算结果均小于50米。</w:t>
            </w:r>
            <w:r>
              <w:rPr>
                <w:rFonts w:hAnsi="宋体"/>
                <w:sz w:val="24"/>
              </w:rPr>
              <w:t>《大气有害物质无组织排放卫生防护距离推导技术导则》</w:t>
            </w:r>
            <w:r>
              <w:rPr>
                <w:sz w:val="24"/>
              </w:rPr>
              <w:t>(GB/T39499-2020)6.1</w:t>
            </w:r>
            <w:r>
              <w:rPr>
                <w:rFonts w:hAnsi="宋体"/>
                <w:sz w:val="24"/>
              </w:rPr>
              <w:t>规定：卫生防护距离初值小于</w:t>
            </w:r>
            <w:r>
              <w:rPr>
                <w:sz w:val="24"/>
              </w:rPr>
              <w:t>50m</w:t>
            </w:r>
            <w:r>
              <w:rPr>
                <w:rFonts w:hAnsi="宋体"/>
                <w:sz w:val="24"/>
              </w:rPr>
              <w:t>时，级差为</w:t>
            </w:r>
            <w:r>
              <w:rPr>
                <w:sz w:val="24"/>
              </w:rPr>
              <w:t>50m</w:t>
            </w:r>
            <w:r>
              <w:rPr>
                <w:rFonts w:hAnsi="宋体"/>
                <w:sz w:val="24"/>
              </w:rPr>
              <w:t>。</w:t>
            </w:r>
            <w:r>
              <w:rPr>
                <w:sz w:val="24"/>
              </w:rPr>
              <w:t>6.2</w:t>
            </w:r>
            <w:r>
              <w:rPr>
                <w:rFonts w:hAnsi="宋体"/>
                <w:sz w:val="24"/>
              </w:rPr>
              <w:t>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pPr>
              <w:keepNext w:val="0"/>
              <w:keepLines w:val="0"/>
              <w:suppressLineNumbers w:val="0"/>
              <w:snapToGrid w:val="0"/>
              <w:spacing w:before="0" w:beforeAutospacing="0" w:after="0" w:afterAutospacing="0" w:line="360" w:lineRule="auto"/>
              <w:ind w:left="0" w:right="0" w:firstLine="480" w:firstLineChars="200"/>
              <w:rPr>
                <w:rFonts w:hAnsi="宋体"/>
                <w:bCs/>
                <w:sz w:val="24"/>
              </w:rPr>
            </w:pPr>
            <w:r>
              <w:rPr>
                <w:rFonts w:hAnsi="宋体"/>
                <w:bCs/>
                <w:sz w:val="24"/>
              </w:rPr>
              <w:t>故本项目以</w:t>
            </w:r>
            <w:r>
              <w:rPr>
                <w:rFonts w:hint="eastAsia"/>
                <w:sz w:val="24"/>
              </w:rPr>
              <w:t>涂</w:t>
            </w:r>
            <w:r>
              <w:rPr>
                <w:rFonts w:hint="eastAsia"/>
                <w:sz w:val="24"/>
                <w:lang w:eastAsia="zh-CN"/>
              </w:rPr>
              <w:t>敷</w:t>
            </w:r>
            <w:r>
              <w:rPr>
                <w:rFonts w:hint="eastAsia"/>
                <w:sz w:val="24"/>
              </w:rPr>
              <w:t>注塑车间</w:t>
            </w:r>
            <w:r>
              <w:rPr>
                <w:rFonts w:hAnsi="宋体"/>
                <w:bCs/>
                <w:sz w:val="24"/>
              </w:rPr>
              <w:t>为边界设置</w:t>
            </w:r>
            <w:r>
              <w:rPr>
                <w:rFonts w:hint="eastAsia"/>
                <w:bCs/>
                <w:sz w:val="24"/>
              </w:rPr>
              <w:t>100</w:t>
            </w:r>
            <w:r>
              <w:rPr>
                <w:rFonts w:hAnsi="宋体"/>
                <w:bCs/>
                <w:sz w:val="24"/>
              </w:rPr>
              <w:t>米的卫生防护距离</w:t>
            </w:r>
            <w:r>
              <w:rPr>
                <w:rFonts w:hint="eastAsia" w:hAnsi="宋体"/>
                <w:bCs/>
                <w:sz w:val="24"/>
              </w:rPr>
              <w:t>。</w:t>
            </w:r>
            <w:r>
              <w:rPr>
                <w:rFonts w:hint="eastAsia"/>
                <w:sz w:val="24"/>
              </w:rPr>
              <w:t>本项目涂</w:t>
            </w:r>
            <w:r>
              <w:rPr>
                <w:rFonts w:hint="eastAsia"/>
                <w:sz w:val="24"/>
                <w:lang w:eastAsia="zh-CN"/>
              </w:rPr>
              <w:t>敷</w:t>
            </w:r>
            <w:r>
              <w:rPr>
                <w:rFonts w:hint="eastAsia"/>
                <w:sz w:val="24"/>
              </w:rPr>
              <w:t>注塑车间距离</w:t>
            </w:r>
            <w:r>
              <w:rPr>
                <w:sz w:val="24"/>
              </w:rPr>
              <w:t>最近的敏感点（</w:t>
            </w:r>
            <w:r>
              <w:rPr>
                <w:rFonts w:hint="eastAsia"/>
                <w:sz w:val="24"/>
              </w:rPr>
              <w:t>支家头</w:t>
            </w:r>
            <w:r>
              <w:rPr>
                <w:sz w:val="24"/>
              </w:rPr>
              <w:t>）</w:t>
            </w:r>
            <w:r>
              <w:rPr>
                <w:rFonts w:hint="eastAsia"/>
                <w:sz w:val="24"/>
              </w:rPr>
              <w:t>的距离为</w:t>
            </w:r>
            <w:r>
              <w:rPr>
                <w:sz w:val="24"/>
              </w:rPr>
              <w:t>1</w:t>
            </w:r>
            <w:r>
              <w:rPr>
                <w:rFonts w:hint="eastAsia"/>
                <w:sz w:val="24"/>
              </w:rPr>
              <w:t>08</w:t>
            </w:r>
            <w:r>
              <w:rPr>
                <w:sz w:val="24"/>
              </w:rPr>
              <w:t>米，因此，本项目卫生防护距离内无居民等敏感点，满足卫生防护距离设置的要求，且卫生防护距离内不</w:t>
            </w:r>
            <w:r>
              <w:rPr>
                <w:rFonts w:hint="eastAsia"/>
                <w:sz w:val="24"/>
              </w:rPr>
              <w:t>再</w:t>
            </w:r>
            <w:r>
              <w:rPr>
                <w:sz w:val="24"/>
              </w:rPr>
              <w:t>建设敏感点。</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int="eastAsia"/>
                <w:b/>
                <w:bCs/>
                <w:sz w:val="24"/>
              </w:rPr>
              <w:t>（4）非正常工况废气污染物源强分析</w:t>
            </w:r>
          </w:p>
          <w:p>
            <w:pPr>
              <w:keepNext w:val="0"/>
              <w:keepLines w:val="0"/>
              <w:suppressLineNumbers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在分析本项目生产工艺的基础上可知，本项目非正常工况主要有以</w:t>
            </w:r>
            <w:r>
              <w:rPr>
                <w:sz w:val="24"/>
              </w:rPr>
              <w:t>下2类：</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sz w:val="24"/>
              </w:rPr>
            </w:pPr>
            <w:r>
              <w:rPr>
                <w:sz w:val="24"/>
              </w:rPr>
              <w:t>1）</w:t>
            </w:r>
            <w:r>
              <w:rPr>
                <w:rFonts w:hint="eastAsia" w:ascii="宋体" w:hAnsi="宋体"/>
                <w:sz w:val="24"/>
              </w:rPr>
              <w:t>污染防治措施及装置出现故障</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本项目涉及的大气污染物非正常排放工况主要为废气处理装置出现故障，处理效率下降，导致出现非正常排放。本项目非正常工况考虑最不利情况，即去除率为0，事故持续时间在1小时之内，非正常工况下大气污染物源强及排放情况见下表。</w:t>
            </w:r>
          </w:p>
          <w:p>
            <w:pPr>
              <w:pStyle w:val="5"/>
              <w:keepNext w:val="0"/>
              <w:keepLines w:val="0"/>
              <w:suppressLineNumbers w:val="0"/>
              <w:adjustRightInd w:val="0"/>
              <w:snapToGrid w:val="0"/>
              <w:spacing w:before="0" w:beforeAutospacing="0" w:after="0" w:afterAutospacing="0"/>
              <w:ind w:left="0" w:right="0" w:firstLine="0"/>
              <w:jc w:val="center"/>
              <w:rPr>
                <w:rFonts w:ascii="宋体" w:hAnsi="宋体"/>
                <w:b/>
                <w:bCs/>
                <w:sz w:val="24"/>
                <w:szCs w:val="24"/>
              </w:rPr>
            </w:pPr>
            <w:r>
              <w:rPr>
                <w:rFonts w:ascii="宋体" w:hAnsi="宋体"/>
                <w:b/>
                <w:bCs/>
                <w:sz w:val="24"/>
                <w:szCs w:val="24"/>
              </w:rPr>
              <w:t>表</w:t>
            </w:r>
            <w:r>
              <w:rPr>
                <w:rFonts w:hint="eastAsia" w:ascii="Times New Roman" w:hAnsi="Times New Roman"/>
                <w:b/>
                <w:bCs/>
                <w:sz w:val="24"/>
                <w:szCs w:val="24"/>
              </w:rPr>
              <w:t>4</w:t>
            </w:r>
            <w:r>
              <w:rPr>
                <w:rFonts w:ascii="Times New Roman" w:hAnsi="Times New Roman"/>
                <w:b/>
                <w:bCs/>
                <w:sz w:val="24"/>
                <w:szCs w:val="24"/>
              </w:rPr>
              <w:t>-</w:t>
            </w:r>
            <w:r>
              <w:rPr>
                <w:rFonts w:hint="eastAsia" w:ascii="Times New Roman" w:hAnsi="Times New Roman"/>
                <w:b/>
                <w:bCs/>
                <w:sz w:val="24"/>
                <w:szCs w:val="24"/>
              </w:rPr>
              <w:t xml:space="preserve">10 </w:t>
            </w:r>
            <w:r>
              <w:rPr>
                <w:rFonts w:hint="eastAsia" w:ascii="宋体" w:hAnsi="宋体"/>
                <w:b/>
                <w:bCs/>
                <w:sz w:val="24"/>
                <w:szCs w:val="24"/>
              </w:rPr>
              <w:t>本项目非正常工况污染物源强分析</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54"/>
              <w:gridCol w:w="1139"/>
              <w:gridCol w:w="1170"/>
              <w:gridCol w:w="1831"/>
              <w:gridCol w:w="1181"/>
              <w:gridCol w:w="10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5" w:type="pct"/>
                  <w:gridSpan w:val="2"/>
                  <w:vAlign w:val="center"/>
                </w:tcPr>
                <w:p>
                  <w:pPr>
                    <w:keepNext w:val="0"/>
                    <w:keepLines w:val="0"/>
                    <w:suppressLineNumbers w:val="0"/>
                    <w:adjustRightInd w:val="0"/>
                    <w:spacing w:before="0" w:beforeAutospacing="0" w:after="0" w:afterAutospacing="0"/>
                    <w:ind w:left="-105" w:leftChars="-50" w:right="-105" w:rightChars="-50"/>
                    <w:jc w:val="center"/>
                    <w:rPr>
                      <w:b/>
                    </w:rPr>
                  </w:pPr>
                  <w:r>
                    <w:rPr>
                      <w:b/>
                    </w:rPr>
                    <w:t>非正常排放源</w:t>
                  </w:r>
                </w:p>
              </w:tc>
              <w:tc>
                <w:tcPr>
                  <w:tcW w:w="696" w:type="pct"/>
                  <w:vAlign w:val="center"/>
                </w:tcPr>
                <w:p>
                  <w:pPr>
                    <w:keepNext w:val="0"/>
                    <w:keepLines w:val="0"/>
                    <w:suppressLineNumbers w:val="0"/>
                    <w:adjustRightInd w:val="0"/>
                    <w:spacing w:before="0" w:beforeAutospacing="0" w:after="0" w:afterAutospacing="0"/>
                    <w:ind w:left="-105" w:leftChars="-50" w:right="-105" w:rightChars="-50"/>
                    <w:jc w:val="center"/>
                    <w:rPr>
                      <w:b/>
                    </w:rPr>
                  </w:pPr>
                  <w:r>
                    <w:rPr>
                      <w:b/>
                    </w:rPr>
                    <w:t>非正常排放原因</w:t>
                  </w:r>
                </w:p>
              </w:tc>
              <w:tc>
                <w:tcPr>
                  <w:tcW w:w="714" w:type="pct"/>
                  <w:tcBorders>
                    <w:bottom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rPr>
                      <w:b/>
                    </w:rPr>
                  </w:pPr>
                  <w:r>
                    <w:rPr>
                      <w:b/>
                    </w:rPr>
                    <w:t>污染物</w:t>
                  </w:r>
                </w:p>
              </w:tc>
              <w:tc>
                <w:tcPr>
                  <w:tcW w:w="1118" w:type="pct"/>
                  <w:tcBorders>
                    <w:bottom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rPr>
                      <w:b/>
                    </w:rPr>
                  </w:pPr>
                  <w:r>
                    <w:rPr>
                      <w:b/>
                    </w:rPr>
                    <w:t>非正常排放速率/（kg/h）</w:t>
                  </w:r>
                </w:p>
              </w:tc>
              <w:tc>
                <w:tcPr>
                  <w:tcW w:w="721" w:type="pct"/>
                  <w:tcBorders>
                    <w:bottom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rPr>
                      <w:b/>
                      <w:bCs/>
                    </w:rPr>
                  </w:pPr>
                  <w:r>
                    <w:rPr>
                      <w:b/>
                      <w:bCs/>
                    </w:rPr>
                    <w:t>单次持续时间/h</w:t>
                  </w:r>
                </w:p>
              </w:tc>
              <w:tc>
                <w:tcPr>
                  <w:tcW w:w="653" w:type="pct"/>
                  <w:tcBorders>
                    <w:bottom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rPr>
                      <w:b/>
                      <w:bCs/>
                    </w:rPr>
                  </w:pPr>
                  <w:r>
                    <w:rPr>
                      <w:b/>
                      <w:bCs/>
                    </w:rPr>
                    <w:t>年发生频次/次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12" w:type="pct"/>
                  <w:vMerge w:val="restart"/>
                  <w:vAlign w:val="center"/>
                </w:tcPr>
                <w:p>
                  <w:pPr>
                    <w:keepNext w:val="0"/>
                    <w:keepLines w:val="0"/>
                    <w:suppressLineNumbers w:val="0"/>
                    <w:adjustRightInd w:val="0"/>
                    <w:spacing w:before="0" w:beforeAutospacing="0" w:after="0" w:afterAutospacing="0"/>
                    <w:ind w:left="-105" w:leftChars="-50" w:right="-105" w:rightChars="-50"/>
                    <w:jc w:val="center"/>
                  </w:pPr>
                  <w:r>
                    <w:rPr>
                      <w:szCs w:val="21"/>
                    </w:rPr>
                    <w:t>FQ-1</w:t>
                  </w:r>
                </w:p>
              </w:tc>
              <w:tc>
                <w:tcPr>
                  <w:tcW w:w="582" w:type="pct"/>
                  <w:vAlign w:val="center"/>
                </w:tcPr>
                <w:p>
                  <w:pPr>
                    <w:keepNext w:val="0"/>
                    <w:keepLines w:val="0"/>
                    <w:suppressLineNumbers w:val="0"/>
                    <w:spacing w:before="0" w:beforeAutospacing="0" w:after="0" w:afterAutospacing="0"/>
                    <w:ind w:left="0" w:right="0"/>
                    <w:jc w:val="center"/>
                  </w:pPr>
                  <w:r>
                    <w:rPr>
                      <w:rFonts w:hint="eastAsia"/>
                      <w:szCs w:val="21"/>
                    </w:rPr>
                    <w:t>涂敷</w:t>
                  </w:r>
                </w:p>
              </w:tc>
              <w:tc>
                <w:tcPr>
                  <w:tcW w:w="696" w:type="pct"/>
                  <w:vMerge w:val="restart"/>
                  <w:vAlign w:val="center"/>
                </w:tcPr>
                <w:p>
                  <w:pPr>
                    <w:keepNext w:val="0"/>
                    <w:keepLines w:val="0"/>
                    <w:suppressLineNumbers w:val="0"/>
                    <w:adjustRightInd w:val="0"/>
                    <w:spacing w:before="0" w:beforeAutospacing="0" w:after="0" w:afterAutospacing="0"/>
                    <w:ind w:left="-105" w:leftChars="-50" w:right="-105" w:rightChars="-50"/>
                    <w:jc w:val="center"/>
                  </w:pPr>
                  <w:r>
                    <w:rPr>
                      <w:bCs/>
                    </w:rPr>
                    <w:t>废气处理装置出现故障</w:t>
                  </w:r>
                </w:p>
              </w:tc>
              <w:tc>
                <w:tcPr>
                  <w:tcW w:w="714" w:type="pct"/>
                  <w:tcBorders>
                    <w:top w:val="single" w:color="auto" w:sz="4" w:space="0"/>
                    <w:bottom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Cs w:val="21"/>
                    </w:rPr>
                  </w:pPr>
                  <w:r>
                    <w:rPr>
                      <w:rFonts w:ascii="Times New Roman" w:hAnsi="Times New Roman" w:eastAsia="宋体"/>
                      <w:sz w:val="21"/>
                      <w:szCs w:val="21"/>
                    </w:rPr>
                    <w:t>粉尘</w:t>
                  </w:r>
                </w:p>
              </w:tc>
              <w:tc>
                <w:tcPr>
                  <w:tcW w:w="1118" w:type="pct"/>
                  <w:tcBorders>
                    <w:top w:val="single" w:color="auto" w:sz="4" w:space="0"/>
                    <w:bottom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1.63</w:t>
                  </w:r>
                </w:p>
              </w:tc>
              <w:tc>
                <w:tcPr>
                  <w:tcW w:w="721" w:type="pct"/>
                  <w:vMerge w:val="restart"/>
                  <w:tcBorders>
                    <w:top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pPr>
                  <w:r>
                    <w:t>1</w:t>
                  </w:r>
                </w:p>
              </w:tc>
              <w:tc>
                <w:tcPr>
                  <w:tcW w:w="653" w:type="pct"/>
                  <w:vMerge w:val="restart"/>
                  <w:tcBorders>
                    <w:top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pPr>
                  <w:r>
                    <w:t>&lt;1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continue"/>
                  <w:vAlign w:val="center"/>
                </w:tcPr>
                <w:p>
                  <w:pPr>
                    <w:keepNext w:val="0"/>
                    <w:keepLines w:val="0"/>
                    <w:suppressLineNumbers w:val="0"/>
                    <w:adjustRightInd w:val="0"/>
                    <w:spacing w:before="0" w:beforeAutospacing="0" w:after="0" w:afterAutospacing="0"/>
                    <w:ind w:left="-105" w:leftChars="-50" w:right="-105" w:rightChars="-50"/>
                    <w:jc w:val="center"/>
                  </w:pPr>
                </w:p>
              </w:tc>
              <w:tc>
                <w:tcPr>
                  <w:tcW w:w="582" w:type="pct"/>
                  <w:vAlign w:val="center"/>
                </w:tcPr>
                <w:p>
                  <w:pPr>
                    <w:keepNext w:val="0"/>
                    <w:keepLines w:val="0"/>
                    <w:suppressLineNumbers w:val="0"/>
                    <w:spacing w:before="0" w:beforeAutospacing="0" w:after="0" w:afterAutospacing="0"/>
                    <w:ind w:left="0" w:right="0"/>
                    <w:jc w:val="center"/>
                  </w:pPr>
                  <w:r>
                    <w:rPr>
                      <w:rFonts w:hint="eastAsia"/>
                      <w:szCs w:val="21"/>
                    </w:rPr>
                    <w:t>固化</w:t>
                  </w:r>
                </w:p>
              </w:tc>
              <w:tc>
                <w:tcPr>
                  <w:tcW w:w="696" w:type="pct"/>
                  <w:vMerge w:val="continue"/>
                  <w:tcBorders>
                    <w:top w:val="single" w:color="auto" w:sz="4" w:space="0"/>
                  </w:tcBorders>
                  <w:vAlign w:val="center"/>
                </w:tcPr>
                <w:p>
                  <w:pPr>
                    <w:keepNext w:val="0"/>
                    <w:keepLines w:val="0"/>
                    <w:suppressLineNumbers w:val="0"/>
                    <w:adjustRightInd w:val="0"/>
                    <w:spacing w:before="0" w:beforeAutospacing="0" w:after="0" w:afterAutospacing="0"/>
                    <w:ind w:left="-105" w:leftChars="-50" w:right="-105" w:rightChars="-50"/>
                    <w:jc w:val="center"/>
                  </w:pPr>
                </w:p>
              </w:tc>
              <w:tc>
                <w:tcPr>
                  <w:tcW w:w="714" w:type="pct"/>
                  <w:vMerge w:val="restart"/>
                  <w:tcBorders>
                    <w:top w:val="single" w:color="auto" w:sz="4" w:space="0"/>
                  </w:tcBorders>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r>
                    <w:rPr>
                      <w:rFonts w:hint="eastAsia" w:ascii="Times New Roman" w:hAnsi="Times New Roman" w:eastAsia="宋体"/>
                      <w:sz w:val="21"/>
                      <w:szCs w:val="21"/>
                    </w:rPr>
                    <w:t>非甲烷总烃</w:t>
                  </w:r>
                </w:p>
              </w:tc>
              <w:tc>
                <w:tcPr>
                  <w:tcW w:w="1118" w:type="pct"/>
                  <w:vMerge w:val="restart"/>
                  <w:tcBorders>
                    <w:top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0.1854</w:t>
                  </w:r>
                </w:p>
              </w:tc>
              <w:tc>
                <w:tcPr>
                  <w:tcW w:w="721" w:type="pct"/>
                  <w:vMerge w:val="continue"/>
                  <w:vAlign w:val="center"/>
                </w:tcPr>
                <w:p>
                  <w:pPr>
                    <w:keepNext w:val="0"/>
                    <w:keepLines w:val="0"/>
                    <w:suppressLineNumbers w:val="0"/>
                    <w:adjustRightInd w:val="0"/>
                    <w:spacing w:before="0" w:beforeAutospacing="0" w:after="0" w:afterAutospacing="0"/>
                    <w:ind w:left="-105" w:leftChars="-50" w:right="-105" w:rightChars="-50"/>
                    <w:jc w:val="center"/>
                    <w:rPr>
                      <w:kern w:val="44"/>
                      <w:szCs w:val="21"/>
                    </w:rPr>
                  </w:pPr>
                </w:p>
              </w:tc>
              <w:tc>
                <w:tcPr>
                  <w:tcW w:w="653" w:type="pct"/>
                  <w:vMerge w:val="continue"/>
                  <w:vAlign w:val="center"/>
                </w:tcPr>
                <w:p>
                  <w:pPr>
                    <w:keepNext w:val="0"/>
                    <w:keepLines w:val="0"/>
                    <w:suppressLineNumbers w:val="0"/>
                    <w:adjustRightInd w:val="0"/>
                    <w:spacing w:before="0" w:beforeAutospacing="0" w:after="0" w:afterAutospacing="0"/>
                    <w:ind w:left="-105" w:leftChars="-50" w:right="-105" w:rightChars="-50"/>
                    <w:jc w:val="center"/>
                    <w:rPr>
                      <w:kern w:val="4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2" w:type="pct"/>
                  <w:vMerge w:val="continue"/>
                  <w:vAlign w:val="center"/>
                </w:tcPr>
                <w:p>
                  <w:pPr>
                    <w:keepNext w:val="0"/>
                    <w:keepLines w:val="0"/>
                    <w:suppressLineNumbers w:val="0"/>
                    <w:adjustRightInd w:val="0"/>
                    <w:spacing w:before="0" w:beforeAutospacing="0" w:after="0" w:afterAutospacing="0"/>
                    <w:ind w:left="-105" w:leftChars="-50" w:right="-105" w:rightChars="-50"/>
                    <w:jc w:val="center"/>
                  </w:pPr>
                </w:p>
              </w:tc>
              <w:tc>
                <w:tcPr>
                  <w:tcW w:w="582" w:type="pct"/>
                  <w:vAlign w:val="center"/>
                </w:tcPr>
                <w:p>
                  <w:pPr>
                    <w:keepNext w:val="0"/>
                    <w:keepLines w:val="0"/>
                    <w:suppressLineNumbers w:val="0"/>
                    <w:spacing w:before="0" w:beforeAutospacing="0" w:after="0" w:afterAutospacing="0"/>
                    <w:ind w:left="0" w:right="0"/>
                    <w:jc w:val="center"/>
                  </w:pPr>
                  <w:r>
                    <w:rPr>
                      <w:rFonts w:hint="eastAsia"/>
                      <w:szCs w:val="21"/>
                    </w:rPr>
                    <w:t>注塑成型</w:t>
                  </w:r>
                </w:p>
              </w:tc>
              <w:tc>
                <w:tcPr>
                  <w:tcW w:w="696" w:type="pct"/>
                  <w:vMerge w:val="continue"/>
                  <w:vAlign w:val="center"/>
                </w:tcPr>
                <w:p>
                  <w:pPr>
                    <w:keepNext w:val="0"/>
                    <w:keepLines w:val="0"/>
                    <w:suppressLineNumbers w:val="0"/>
                    <w:adjustRightInd w:val="0"/>
                    <w:spacing w:before="0" w:beforeAutospacing="0" w:after="0" w:afterAutospacing="0"/>
                    <w:ind w:left="-105" w:leftChars="-50" w:right="-105" w:rightChars="-50"/>
                    <w:jc w:val="center"/>
                  </w:pPr>
                </w:p>
              </w:tc>
              <w:tc>
                <w:tcPr>
                  <w:tcW w:w="714" w:type="pct"/>
                  <w:vMerge w:val="continue"/>
                  <w:vAlign w:val="center"/>
                </w:tcPr>
                <w:p>
                  <w:pPr>
                    <w:pStyle w:val="62"/>
                    <w:keepNext w:val="0"/>
                    <w:keepLines w:val="0"/>
                    <w:suppressLineNumbers w:val="0"/>
                    <w:spacing w:before="0" w:beforeAutospacing="0" w:after="0" w:afterAutospacing="0"/>
                    <w:ind w:left="0" w:right="0"/>
                    <w:rPr>
                      <w:rFonts w:ascii="Times New Roman" w:hAnsi="Times New Roman" w:eastAsia="宋体"/>
                      <w:sz w:val="21"/>
                      <w:szCs w:val="21"/>
                    </w:rPr>
                  </w:pPr>
                </w:p>
              </w:tc>
              <w:tc>
                <w:tcPr>
                  <w:tcW w:w="1118" w:type="pct"/>
                  <w:vMerge w:val="continue"/>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721" w:type="pct"/>
                  <w:vMerge w:val="continue"/>
                  <w:vAlign w:val="center"/>
                </w:tcPr>
                <w:p>
                  <w:pPr>
                    <w:keepNext w:val="0"/>
                    <w:keepLines w:val="0"/>
                    <w:suppressLineNumbers w:val="0"/>
                    <w:adjustRightInd w:val="0"/>
                    <w:spacing w:before="0" w:beforeAutospacing="0" w:after="0" w:afterAutospacing="0"/>
                    <w:ind w:left="-105" w:leftChars="-50" w:right="-105" w:rightChars="-50"/>
                    <w:jc w:val="center"/>
                    <w:rPr>
                      <w:kern w:val="44"/>
                      <w:szCs w:val="21"/>
                    </w:rPr>
                  </w:pPr>
                </w:p>
              </w:tc>
              <w:tc>
                <w:tcPr>
                  <w:tcW w:w="653" w:type="pct"/>
                  <w:vMerge w:val="continue"/>
                  <w:vAlign w:val="center"/>
                </w:tcPr>
                <w:p>
                  <w:pPr>
                    <w:keepNext w:val="0"/>
                    <w:keepLines w:val="0"/>
                    <w:suppressLineNumbers w:val="0"/>
                    <w:adjustRightInd w:val="0"/>
                    <w:spacing w:before="0" w:beforeAutospacing="0" w:after="0" w:afterAutospacing="0"/>
                    <w:ind w:left="-105" w:leftChars="-50" w:right="-105" w:rightChars="-50"/>
                    <w:jc w:val="center"/>
                    <w:rPr>
                      <w:kern w:val="44"/>
                      <w:szCs w:val="21"/>
                    </w:rPr>
                  </w:pPr>
                </w:p>
              </w:tc>
            </w:tr>
          </w:tbl>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2）突发事故</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sz w:val="24"/>
              </w:rPr>
            </w:pPr>
            <w:r>
              <w:rPr>
                <w:rFonts w:hint="eastAsia" w:ascii="宋体" w:hAnsi="宋体"/>
                <w:sz w:val="24"/>
              </w:rPr>
              <w:t>突发性事故可因管理不善、设备检修等内部因素引起，具体表现为意外负荷跳闸，仪表失灵导致操作失控、误操作等，也可因突然断电等引起，最严重的后果是生产无法正常进行等。</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（5）大气</w:t>
            </w:r>
            <w:r>
              <w:rPr>
                <w:b/>
                <w:sz w:val="24"/>
              </w:rPr>
              <w:t>监测计划</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ascii="宋体" w:hAnsi="宋体"/>
                <w:sz w:val="24"/>
              </w:rPr>
              <w:t>监测点位：排气筒</w:t>
            </w:r>
            <w:r>
              <w:rPr>
                <w:rFonts w:hint="eastAsia" w:ascii="宋体" w:hAnsi="宋体"/>
                <w:sz w:val="24"/>
              </w:rPr>
              <w:t>（</w:t>
            </w:r>
            <w:r>
              <w:rPr>
                <w:rFonts w:hint="eastAsia"/>
                <w:sz w:val="24"/>
              </w:rPr>
              <w:t>FQ-1</w:t>
            </w:r>
            <w:r>
              <w:rPr>
                <w:rFonts w:hint="eastAsia" w:ascii="宋体" w:hAnsi="宋体"/>
                <w:sz w:val="24"/>
              </w:rPr>
              <w:t>）</w:t>
            </w:r>
            <w:r>
              <w:rPr>
                <w:rFonts w:ascii="宋体" w:hAnsi="宋体"/>
                <w:sz w:val="24"/>
              </w:rPr>
              <w:t>排口设置采样平台；厂界下风向设置</w:t>
            </w:r>
            <w:r>
              <w:rPr>
                <w:sz w:val="24"/>
              </w:rPr>
              <w:t>2</w:t>
            </w:r>
            <w:r>
              <w:rPr>
                <w:rFonts w:ascii="宋体" w:hAnsi="宋体"/>
                <w:sz w:val="24"/>
              </w:rPr>
              <w:t>个无组织排放监控点，</w:t>
            </w:r>
            <w:r>
              <w:rPr>
                <w:rFonts w:hint="eastAsia" w:ascii="宋体" w:hAnsi="宋体"/>
                <w:sz w:val="24"/>
              </w:rPr>
              <w:t>厂区设</w:t>
            </w:r>
            <w:r>
              <w:rPr>
                <w:sz w:val="24"/>
              </w:rPr>
              <w:t>置1个</w:t>
            </w:r>
            <w:r>
              <w:rPr>
                <w:rFonts w:hint="eastAsia" w:ascii="宋体" w:hAnsi="宋体"/>
                <w:sz w:val="24"/>
              </w:rPr>
              <w:t>内无组织排放监控点，</w:t>
            </w:r>
            <w:r>
              <w:rPr>
                <w:rFonts w:ascii="宋体" w:hAnsi="宋体"/>
                <w:sz w:val="24"/>
              </w:rPr>
              <w:t>上风向设置</w:t>
            </w:r>
            <w:r>
              <w:rPr>
                <w:sz w:val="24"/>
              </w:rPr>
              <w:t>1</w:t>
            </w:r>
            <w:r>
              <w:rPr>
                <w:rFonts w:ascii="宋体" w:hAnsi="宋体"/>
                <w:sz w:val="24"/>
              </w:rPr>
              <w:t>个参照点；</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ascii="宋体" w:hAnsi="宋体"/>
                <w:sz w:val="24"/>
              </w:rPr>
              <w:t>监测频</w:t>
            </w:r>
            <w:r>
              <w:rPr>
                <w:rFonts w:ascii="宋体" w:hAnsi="宋体"/>
                <w:sz w:val="24"/>
              </w:rPr>
              <w:t>次：按照</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 xml:space="preserve">排污单位自行监测技术指南 </w:t>
            </w:r>
            <w:r>
              <w:rPr>
                <w:rFonts w:hint="eastAsia" w:ascii="宋体" w:hAnsi="宋体"/>
                <w:sz w:val="24"/>
                <w:lang w:eastAsia="zh-CN"/>
              </w:rPr>
              <w:t>总则</w:t>
            </w:r>
            <w:r>
              <w:rPr>
                <w:rFonts w:hint="eastAsia" w:ascii="宋体" w:hAnsi="宋体"/>
                <w:sz w:val="24"/>
              </w:rPr>
              <w:t>》</w:t>
            </w:r>
            <w:r>
              <w:rPr>
                <w:rFonts w:hAnsi="宋体"/>
                <w:sz w:val="24"/>
              </w:rPr>
              <w:t>（</w:t>
            </w:r>
            <w:r>
              <w:rPr>
                <w:sz w:val="24"/>
              </w:rPr>
              <w:t xml:space="preserve">HJ </w:t>
            </w:r>
            <w:r>
              <w:rPr>
                <w:rFonts w:hint="eastAsia"/>
                <w:sz w:val="24"/>
                <w:lang w:val="en-US" w:eastAsia="zh-CN"/>
              </w:rPr>
              <w:t>819</w:t>
            </w:r>
            <w:r>
              <w:rPr>
                <w:sz w:val="24"/>
              </w:rPr>
              <w:t>—20</w:t>
            </w:r>
            <w:r>
              <w:rPr>
                <w:rFonts w:hint="eastAsia"/>
                <w:sz w:val="24"/>
                <w:lang w:val="en-US" w:eastAsia="zh-CN"/>
              </w:rPr>
              <w:t>17</w:t>
            </w:r>
            <w:r>
              <w:rPr>
                <w:rFonts w:hAnsi="宋体"/>
                <w:sz w:val="24"/>
              </w:rPr>
              <w:t>）</w:t>
            </w:r>
            <w:r>
              <w:rPr>
                <w:rFonts w:hAnsi="宋体"/>
                <w:sz w:val="24"/>
              </w:rPr>
              <w:fldChar w:fldCharType="end"/>
            </w:r>
            <w:r>
              <w:rPr>
                <w:rFonts w:hint="eastAsia" w:hAnsi="宋体"/>
                <w:sz w:val="24"/>
                <w:lang w:eastAsia="zh-CN"/>
              </w:rPr>
              <w:t>、</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排污单位自行监测技术指南 涂装》</w:t>
            </w:r>
            <w:r>
              <w:rPr>
                <w:rFonts w:hAnsi="宋体"/>
                <w:sz w:val="24"/>
              </w:rPr>
              <w:t>（</w:t>
            </w:r>
            <w:r>
              <w:rPr>
                <w:sz w:val="24"/>
              </w:rPr>
              <w:t>HJ 1086—2020</w:t>
            </w:r>
            <w:r>
              <w:rPr>
                <w:rFonts w:hAnsi="宋体"/>
                <w:sz w:val="24"/>
              </w:rPr>
              <w:t>）</w:t>
            </w:r>
            <w:r>
              <w:rPr>
                <w:rFonts w:hAnsi="宋体"/>
                <w:sz w:val="24"/>
              </w:rPr>
              <w:fldChar w:fldCharType="end"/>
            </w:r>
            <w:r>
              <w:rPr>
                <w:rFonts w:ascii="宋体" w:hAnsi="宋体"/>
                <w:sz w:val="24"/>
              </w:rPr>
              <w:t>中相关要求；</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ascii="宋体" w:hAnsi="宋体"/>
                <w:sz w:val="24"/>
              </w:rPr>
              <w:t>监测因子：非甲烷总烃</w:t>
            </w:r>
            <w:r>
              <w:rPr>
                <w:rFonts w:hint="eastAsia" w:ascii="宋体" w:hAnsi="宋体"/>
                <w:sz w:val="24"/>
              </w:rPr>
              <w:t>、颗粒物</w:t>
            </w:r>
            <w:r>
              <w:rPr>
                <w:rFonts w:ascii="宋体" w:hAnsi="宋体"/>
                <w:sz w:val="24"/>
              </w:rPr>
              <w:t>。</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ascii="宋体" w:hAnsi="宋体"/>
                <w:sz w:val="24"/>
              </w:rPr>
              <w:t>废气监测位置、监测因子、频率等详见</w:t>
            </w:r>
            <w:r>
              <w:rPr>
                <w:rFonts w:hint="eastAsia" w:ascii="宋体" w:hAnsi="宋体"/>
                <w:sz w:val="24"/>
              </w:rPr>
              <w:t>下表</w:t>
            </w:r>
            <w:r>
              <w:rPr>
                <w:rFonts w:ascii="宋体" w:hAnsi="宋体"/>
                <w:sz w:val="24"/>
              </w:rPr>
              <w:t>；</w:t>
            </w: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4-11</w:t>
            </w:r>
            <w:r>
              <w:rPr>
                <w:b/>
                <w:bCs/>
                <w:sz w:val="24"/>
              </w:rPr>
              <w:t xml:space="preserve"> 营运期监测计划表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793"/>
              <w:gridCol w:w="2587"/>
              <w:gridCol w:w="2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2"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污染种类</w:t>
                  </w:r>
                </w:p>
              </w:tc>
              <w:tc>
                <w:tcPr>
                  <w:tcW w:w="1096"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监测点位</w:t>
                  </w:r>
                </w:p>
              </w:tc>
              <w:tc>
                <w:tcPr>
                  <w:tcW w:w="1581"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监测项目</w:t>
                  </w:r>
                </w:p>
              </w:tc>
              <w:tc>
                <w:tcPr>
                  <w:tcW w:w="1591"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2" w:type="pct"/>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废气</w:t>
                  </w:r>
                </w:p>
              </w:tc>
              <w:tc>
                <w:tcPr>
                  <w:tcW w:w="10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排气筒</w:t>
                  </w:r>
                </w:p>
              </w:tc>
              <w:tc>
                <w:tcPr>
                  <w:tcW w:w="15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非甲烷总烃</w:t>
                  </w:r>
                  <w:r>
                    <w:rPr>
                      <w:rFonts w:hint="eastAsia"/>
                      <w:szCs w:val="21"/>
                    </w:rPr>
                    <w:t>、颗粒物</w:t>
                  </w:r>
                </w:p>
              </w:tc>
              <w:tc>
                <w:tcPr>
                  <w:tcW w:w="159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w:t>
                  </w:r>
                  <w:r>
                    <w:rPr>
                      <w:szCs w:val="21"/>
                    </w:rPr>
                    <w:t>年</w:t>
                  </w:r>
                  <w:r>
                    <w:rPr>
                      <w:rFonts w:hint="eastAsia"/>
                      <w:szCs w:val="21"/>
                    </w:rPr>
                    <w:t>1</w:t>
                  </w:r>
                  <w:r>
                    <w:rPr>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2"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0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厂界</w:t>
                  </w:r>
                </w:p>
              </w:tc>
              <w:tc>
                <w:tcPr>
                  <w:tcW w:w="15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非甲烷总烃</w:t>
                  </w:r>
                  <w:r>
                    <w:rPr>
                      <w:rFonts w:hint="eastAsia"/>
                      <w:szCs w:val="21"/>
                    </w:rPr>
                    <w:t>、颗粒物</w:t>
                  </w:r>
                </w:p>
              </w:tc>
              <w:tc>
                <w:tcPr>
                  <w:tcW w:w="159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半</w:t>
                  </w:r>
                  <w:r>
                    <w:rPr>
                      <w:szCs w:val="21"/>
                    </w:rPr>
                    <w:t>年</w:t>
                  </w:r>
                  <w:r>
                    <w:rPr>
                      <w:rFonts w:hint="eastAsia"/>
                      <w:szCs w:val="21"/>
                    </w:rPr>
                    <w:t>1</w:t>
                  </w:r>
                  <w:r>
                    <w:rPr>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2" w:type="pct"/>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09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厂区内</w:t>
                  </w:r>
                </w:p>
              </w:tc>
              <w:tc>
                <w:tcPr>
                  <w:tcW w:w="158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非甲烷总烃</w:t>
                  </w:r>
                </w:p>
              </w:tc>
              <w:tc>
                <w:tcPr>
                  <w:tcW w:w="159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1年1次</w:t>
                  </w:r>
                </w:p>
              </w:tc>
            </w:tr>
          </w:tbl>
          <w:p>
            <w:pPr>
              <w:keepNext w:val="0"/>
              <w:keepLines w:val="0"/>
              <w:suppressLineNumbers w:val="0"/>
              <w:spacing w:before="0" w:beforeAutospacing="0" w:after="0" w:afterAutospacing="0" w:line="360" w:lineRule="auto"/>
              <w:ind w:left="0" w:right="0" w:firstLine="482" w:firstLineChars="200"/>
              <w:rPr>
                <w:b/>
                <w:bCs/>
                <w:sz w:val="24"/>
              </w:rPr>
            </w:pPr>
            <w:r>
              <w:rPr>
                <w:rFonts w:hAnsi="宋体"/>
                <w:b/>
                <w:bCs/>
                <w:sz w:val="24"/>
              </w:rPr>
              <w:t>（</w:t>
            </w:r>
            <w:r>
              <w:rPr>
                <w:rFonts w:hint="eastAsia"/>
                <w:b/>
                <w:bCs/>
                <w:sz w:val="24"/>
              </w:rPr>
              <w:t>6</w:t>
            </w:r>
            <w:r>
              <w:rPr>
                <w:rFonts w:hAnsi="宋体"/>
                <w:b/>
                <w:bCs/>
                <w:sz w:val="24"/>
              </w:rPr>
              <w:t>）小结</w:t>
            </w:r>
          </w:p>
          <w:p>
            <w:pPr>
              <w:keepNext w:val="0"/>
              <w:keepLines w:val="0"/>
              <w:suppressLineNumbers w:val="0"/>
              <w:snapToGrid w:val="0"/>
              <w:spacing w:before="0" w:beforeAutospacing="0" w:after="0" w:afterAutospacing="0" w:line="360" w:lineRule="auto"/>
              <w:ind w:left="0" w:right="0" w:firstLine="480" w:firstLineChars="200"/>
              <w:rPr>
                <w:rFonts w:ascii="宋体" w:hAnsi="宋体" w:cs="宋体"/>
                <w:bCs/>
                <w:sz w:val="24"/>
              </w:rPr>
            </w:pPr>
            <w:r>
              <w:rPr>
                <w:rFonts w:hint="eastAsia" w:ascii="宋体" w:hAnsi="宋体" w:cs="宋体"/>
                <w:bCs/>
                <w:sz w:val="24"/>
              </w:rPr>
              <w:t>项目位于环境质量非达标区，评价范围内无一类区，根据估算模式判定本项目大气评价等级为二级。</w:t>
            </w:r>
          </w:p>
          <w:p>
            <w:pPr>
              <w:keepNext w:val="0"/>
              <w:keepLines w:val="0"/>
              <w:suppressLineNumbers w:val="0"/>
              <w:snapToGrid w:val="0"/>
              <w:spacing w:before="0" w:beforeAutospacing="0" w:after="0" w:afterAutospacing="0" w:line="360" w:lineRule="auto"/>
              <w:ind w:left="0" w:right="0" w:firstLine="480" w:firstLineChars="200"/>
              <w:rPr>
                <w:rFonts w:ascii="宋体" w:hAnsi="宋体" w:cs="宋体"/>
                <w:bCs/>
                <w:sz w:val="24"/>
              </w:rPr>
            </w:pPr>
            <w:r>
              <w:rPr>
                <w:rFonts w:hint="eastAsia" w:ascii="宋体" w:hAnsi="宋体" w:cs="宋体"/>
                <w:bCs/>
                <w:sz w:val="24"/>
              </w:rPr>
              <w:t>①本项目排放的大气污染物为非甲烷总烃、颗粒物，针对各产污环节，均采取了合适可行的污染治理措施，经处理后的污染物排放强度较低。根据估算模型估算结果，各污染因子最大落地浓度均远小于相应因子的环境质量标准。在保证污染防治措施正常运营的情况下，本项目废气排放的环境影响较小。</w:t>
            </w:r>
          </w:p>
          <w:p>
            <w:pPr>
              <w:keepNext w:val="0"/>
              <w:keepLines w:val="0"/>
              <w:suppressLineNumbers w:val="0"/>
              <w:snapToGrid w:val="0"/>
              <w:spacing w:before="0" w:beforeAutospacing="0" w:after="0" w:afterAutospacing="0" w:line="360" w:lineRule="auto"/>
              <w:ind w:left="0" w:right="0" w:firstLine="480" w:firstLineChars="200"/>
              <w:rPr>
                <w:rFonts w:ascii="宋体" w:hAnsi="宋体" w:cs="宋体"/>
                <w:bCs/>
                <w:sz w:val="24"/>
              </w:rPr>
            </w:pPr>
            <w:r>
              <w:rPr>
                <w:rFonts w:hint="eastAsia" w:ascii="宋体" w:hAnsi="宋体" w:cs="宋体"/>
                <w:bCs/>
                <w:sz w:val="24"/>
              </w:rPr>
              <w:t>②项目环境影响符合环境功能区划。</w:t>
            </w:r>
          </w:p>
          <w:p>
            <w:pPr>
              <w:keepNext w:val="0"/>
              <w:keepLines w:val="0"/>
              <w:suppressLineNumbers w:val="0"/>
              <w:snapToGrid w:val="0"/>
              <w:spacing w:before="0" w:beforeAutospacing="0" w:after="0" w:afterAutospacing="0" w:line="360" w:lineRule="auto"/>
              <w:ind w:left="0" w:right="0" w:firstLine="480" w:firstLineChars="200"/>
              <w:rPr>
                <w:rFonts w:ascii="宋体" w:hAnsi="宋体" w:cs="宋体"/>
                <w:bCs/>
                <w:sz w:val="24"/>
              </w:rPr>
            </w:pPr>
            <w:r>
              <w:rPr>
                <w:rFonts w:hint="eastAsia" w:ascii="宋体" w:hAnsi="宋体" w:cs="宋体"/>
                <w:bCs/>
                <w:sz w:val="24"/>
              </w:rPr>
              <w:t>③项目厂界浓度满足大气污染物厂界浓度限值，且厂界外大气污染物短期贡献浓度不超过环境质量浓度限值，所以本项目不需要设置大气环境防护距离。</w:t>
            </w:r>
          </w:p>
          <w:p>
            <w:pPr>
              <w:keepNext w:val="0"/>
              <w:keepLines w:val="0"/>
              <w:suppressLineNumbers w:val="0"/>
              <w:snapToGrid w:val="0"/>
              <w:spacing w:before="0" w:beforeAutospacing="0" w:after="0" w:afterAutospacing="0" w:line="360" w:lineRule="auto"/>
              <w:ind w:left="0" w:right="0" w:firstLine="480" w:firstLineChars="200"/>
              <w:rPr>
                <w:bCs/>
                <w:sz w:val="24"/>
              </w:rPr>
            </w:pPr>
            <w:r>
              <w:rPr>
                <w:rFonts w:hint="eastAsia" w:ascii="宋体" w:hAnsi="宋体" w:cs="宋体"/>
                <w:bCs/>
                <w:sz w:val="24"/>
              </w:rPr>
              <w:t>④本项目卫生防护距离是以</w:t>
            </w:r>
            <w:r>
              <w:rPr>
                <w:rFonts w:hint="eastAsia"/>
                <w:sz w:val="24"/>
              </w:rPr>
              <w:t>涂</w:t>
            </w:r>
            <w:r>
              <w:rPr>
                <w:rFonts w:hint="eastAsia"/>
                <w:sz w:val="24"/>
                <w:lang w:eastAsia="zh-CN"/>
              </w:rPr>
              <w:t>敷</w:t>
            </w:r>
            <w:r>
              <w:rPr>
                <w:rFonts w:hint="eastAsia"/>
                <w:sz w:val="24"/>
              </w:rPr>
              <w:t>注塑车间</w:t>
            </w:r>
            <w:r>
              <w:rPr>
                <w:rFonts w:hAnsi="宋体"/>
                <w:bCs/>
                <w:sz w:val="24"/>
              </w:rPr>
              <w:t>为边界设置</w:t>
            </w:r>
            <w:r>
              <w:rPr>
                <w:bCs/>
                <w:sz w:val="24"/>
              </w:rPr>
              <w:t>100</w:t>
            </w:r>
            <w:r>
              <w:rPr>
                <w:rFonts w:hAnsi="宋体"/>
                <w:bCs/>
                <w:sz w:val="24"/>
              </w:rPr>
              <w:t>米的卫生防护距离，该范围内目前无居民、学校等环境敏感保护目标，可满足卫生防护距离设置要求，将来在该卫生防护距离范围也不得新建居民、学校、医院等属于环境保护目标的项目。</w:t>
            </w:r>
          </w:p>
          <w:p>
            <w:pPr>
              <w:keepNext w:val="0"/>
              <w:keepLines w:val="0"/>
              <w:suppressLineNumbers w:val="0"/>
              <w:snapToGrid w:val="0"/>
              <w:spacing w:before="0" w:beforeAutospacing="0" w:after="0" w:afterAutospacing="0" w:line="360" w:lineRule="auto"/>
              <w:ind w:left="0" w:right="0" w:firstLine="480" w:firstLineChars="200"/>
            </w:pPr>
            <w:r>
              <w:rPr>
                <w:rFonts w:hint="eastAsia" w:ascii="宋体" w:hAnsi="宋体" w:cs="宋体"/>
                <w:bCs/>
                <w:sz w:val="24"/>
                <w:szCs w:val="22"/>
              </w:rPr>
              <w:t>综上，本项目废气产生量较小，经废气处理装置处理后达标排放。因此，本项目废气对周围环境影响较小。</w:t>
            </w:r>
          </w:p>
          <w:p>
            <w:pPr>
              <w:keepNext w:val="0"/>
              <w:keepLines w:val="0"/>
              <w:suppressLineNumbers w:val="0"/>
              <w:adjustRightInd w:val="0"/>
              <w:snapToGrid w:val="0"/>
              <w:spacing w:before="0" w:beforeAutospacing="0" w:after="0" w:afterAutospacing="0" w:line="360" w:lineRule="auto"/>
              <w:ind w:left="0" w:right="0"/>
              <w:rPr>
                <w:b/>
                <w:sz w:val="24"/>
              </w:rPr>
            </w:pPr>
            <w:r>
              <w:rPr>
                <w:rFonts w:hint="eastAsia"/>
                <w:b/>
                <w:sz w:val="24"/>
              </w:rPr>
              <w:t>2、废水</w:t>
            </w:r>
          </w:p>
          <w:p>
            <w:pPr>
              <w:keepNext w:val="0"/>
              <w:keepLines w:val="0"/>
              <w:suppressLineNumbers w:val="0"/>
              <w:adjustRightInd w:val="0"/>
              <w:snapToGrid w:val="0"/>
              <w:spacing w:before="0" w:beforeAutospacing="0" w:after="0" w:afterAutospacing="0" w:line="360" w:lineRule="auto"/>
              <w:ind w:left="0" w:right="0" w:firstLine="482" w:firstLineChars="200"/>
              <w:rPr>
                <w:rFonts w:ascii="宋体" w:hAnsi="宋体"/>
                <w:b/>
                <w:sz w:val="24"/>
              </w:rPr>
            </w:pPr>
            <w:r>
              <w:rPr>
                <w:b/>
                <w:sz w:val="24"/>
              </w:rPr>
              <w:t>（1）</w:t>
            </w:r>
            <w:r>
              <w:rPr>
                <w:rFonts w:hint="eastAsia" w:ascii="宋体" w:hAnsi="宋体"/>
                <w:b/>
                <w:sz w:val="24"/>
              </w:rPr>
              <w:t>源强分析</w:t>
            </w:r>
          </w:p>
          <w:p>
            <w:pPr>
              <w:keepNext w:val="0"/>
              <w:keepLines w:val="0"/>
              <w:suppressLineNumbers w:val="0"/>
              <w:adjustRightInd w:val="0"/>
              <w:snapToGrid w:val="0"/>
              <w:spacing w:before="0" w:beforeAutospacing="0" w:after="0" w:afterAutospacing="0" w:line="360" w:lineRule="auto"/>
              <w:ind w:left="0" w:right="0" w:firstLine="482" w:firstLineChars="200"/>
              <w:rPr>
                <w:sz w:val="24"/>
              </w:rPr>
            </w:pPr>
            <w:r>
              <w:rPr>
                <w:rFonts w:hint="eastAsia"/>
                <w:b/>
                <w:sz w:val="24"/>
              </w:rPr>
              <w:t>生活用水：</w:t>
            </w:r>
            <w:r>
              <w:rPr>
                <w:rFonts w:hint="eastAsia"/>
                <w:sz w:val="24"/>
              </w:rPr>
              <w:t>项目拟用职工120人，年工作300天，两班制生产，厂内设食堂</w:t>
            </w:r>
            <w:r>
              <w:rPr>
                <w:rFonts w:hint="eastAsia"/>
                <w:sz w:val="24"/>
                <w:lang w:eastAsia="zh-CN"/>
              </w:rPr>
              <w:t>和</w:t>
            </w:r>
            <w:r>
              <w:rPr>
                <w:rFonts w:hint="eastAsia"/>
                <w:sz w:val="24"/>
              </w:rPr>
              <w:t>员工宿舍，参照《常州市工业和城市生活用水定额》，厂区职工生活用水量以100L/d·人计，则生活用水消耗量为3600t/a，生活污水的排放系数取80％，则项目生活污水的排放量为2880t/a，</w:t>
            </w:r>
            <w:r>
              <w:rPr>
                <w:sz w:val="24"/>
              </w:rPr>
              <w:t>污染物浓度为：COD 400mg/l、SS 300mg/l、NH</w:t>
            </w:r>
            <w:r>
              <w:rPr>
                <w:sz w:val="24"/>
                <w:vertAlign w:val="subscript"/>
              </w:rPr>
              <w:t>3</w:t>
            </w:r>
            <w:r>
              <w:rPr>
                <w:sz w:val="24"/>
              </w:rPr>
              <w:t>-N 25mg/l、TP 5mg/l、TN 50mg/L。</w:t>
            </w:r>
          </w:p>
          <w:p>
            <w:pPr>
              <w:keepNext w:val="0"/>
              <w:keepLines w:val="0"/>
              <w:suppressLineNumbers w:val="0"/>
              <w:adjustRightInd w:val="0"/>
              <w:snapToGrid w:val="0"/>
              <w:spacing w:before="0" w:beforeAutospacing="0" w:after="0" w:afterAutospacing="0" w:line="360" w:lineRule="auto"/>
              <w:ind w:left="0" w:right="0" w:firstLine="482" w:firstLineChars="200"/>
              <w:rPr>
                <w:sz w:val="24"/>
              </w:rPr>
            </w:pPr>
            <w:r>
              <w:rPr>
                <w:rFonts w:hint="eastAsia" w:hAnsi="宋体"/>
                <w:b/>
                <w:sz w:val="24"/>
              </w:rPr>
              <w:t>食堂用水：</w:t>
            </w:r>
            <w:r>
              <w:rPr>
                <w:rFonts w:ascii="Times New Roman" w:hAnsi="宋体"/>
                <w:sz w:val="24"/>
              </w:rPr>
              <w:t>食堂每天用餐员工共约</w:t>
            </w:r>
            <w:r>
              <w:rPr>
                <w:rFonts w:hint="eastAsia" w:ascii="Times New Roman" w:hAnsi="Times New Roman"/>
                <w:sz w:val="24"/>
                <w:lang w:val="en-US" w:eastAsia="zh-CN"/>
              </w:rPr>
              <w:t>24</w:t>
            </w:r>
            <w:r>
              <w:rPr>
                <w:rFonts w:hint="eastAsia" w:ascii="Times New Roman" w:hAnsi="Times New Roman"/>
                <w:sz w:val="24"/>
              </w:rPr>
              <w:t>0</w:t>
            </w:r>
            <w:r>
              <w:rPr>
                <w:rFonts w:ascii="Times New Roman" w:hAnsi="宋体"/>
                <w:sz w:val="24"/>
              </w:rPr>
              <w:t>人次</w:t>
            </w:r>
            <w:r>
              <w:rPr>
                <w:rFonts w:hint="eastAsia" w:ascii="Times New Roman" w:hAnsi="宋体"/>
                <w:sz w:val="24"/>
                <w:lang w:eastAsia="zh-CN"/>
              </w:rPr>
              <w:t>（早晚）</w:t>
            </w:r>
            <w:r>
              <w:rPr>
                <w:rFonts w:ascii="Times New Roman" w:hAnsi="宋体"/>
                <w:sz w:val="24"/>
              </w:rPr>
              <w:t>，按人均用水量</w:t>
            </w:r>
            <w:r>
              <w:rPr>
                <w:rFonts w:ascii="Times New Roman" w:hAnsi="Times New Roman"/>
                <w:sz w:val="24"/>
              </w:rPr>
              <w:t>10L/</w:t>
            </w:r>
            <w:r>
              <w:rPr>
                <w:rFonts w:ascii="Times New Roman" w:hAnsi="宋体"/>
                <w:sz w:val="24"/>
              </w:rPr>
              <w:t>人</w:t>
            </w:r>
            <w:r>
              <w:rPr>
                <w:rFonts w:ascii="Times New Roman" w:hAnsi="Times New Roman"/>
                <w:sz w:val="24"/>
              </w:rPr>
              <w:t>·</w:t>
            </w:r>
            <w:r>
              <w:rPr>
                <w:rFonts w:ascii="Times New Roman" w:hAnsi="宋体"/>
                <w:sz w:val="24"/>
              </w:rPr>
              <w:t>次计算，则总用水量为</w:t>
            </w:r>
            <w:r>
              <w:rPr>
                <w:rFonts w:hint="eastAsia" w:ascii="Times New Roman" w:hAnsi="Times New Roman"/>
                <w:sz w:val="24"/>
                <w:lang w:val="en-US" w:eastAsia="zh-CN"/>
              </w:rPr>
              <w:t>72</w:t>
            </w:r>
            <w:r>
              <w:rPr>
                <w:rFonts w:hint="eastAsia" w:ascii="Times New Roman" w:hAnsi="Times New Roman"/>
                <w:sz w:val="24"/>
              </w:rPr>
              <w:t>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，以排放系数</w:t>
            </w:r>
            <w:r>
              <w:rPr>
                <w:rFonts w:ascii="Times New Roman" w:hAnsi="Times New Roman"/>
                <w:sz w:val="24"/>
              </w:rPr>
              <w:t>80%</w:t>
            </w:r>
            <w:r>
              <w:rPr>
                <w:rFonts w:ascii="Times New Roman" w:hAnsi="宋体"/>
                <w:sz w:val="24"/>
              </w:rPr>
              <w:t>计算，排水量为</w:t>
            </w:r>
            <w:r>
              <w:rPr>
                <w:rFonts w:hint="eastAsia" w:ascii="Times New Roman" w:hAnsi="Times New Roman"/>
                <w:sz w:val="24"/>
                <w:lang w:val="en-US" w:eastAsia="zh-CN"/>
              </w:rPr>
              <w:t>576</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，污染物浓度为：</w:t>
            </w:r>
            <w:r>
              <w:rPr>
                <w:rFonts w:ascii="Times New Roman" w:hAnsi="Times New Roman"/>
                <w:sz w:val="24"/>
              </w:rPr>
              <w:t>COD 400mg/L</w:t>
            </w:r>
            <w:r>
              <w:rPr>
                <w:rFonts w:ascii="Times New Roman" w:hAnsi="宋体"/>
                <w:sz w:val="24"/>
              </w:rPr>
              <w:t>、</w:t>
            </w:r>
            <w:r>
              <w:rPr>
                <w:rFonts w:ascii="Times New Roman" w:hAnsi="Times New Roman"/>
                <w:sz w:val="24"/>
              </w:rPr>
              <w:t>SS 300mg/L</w:t>
            </w:r>
            <w:r>
              <w:rPr>
                <w:rFonts w:ascii="Times New Roman" w:hAnsi="宋体"/>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25mg/L</w:t>
            </w:r>
            <w:r>
              <w:rPr>
                <w:rFonts w:ascii="Times New Roman" w:hAnsi="宋体"/>
                <w:sz w:val="24"/>
              </w:rPr>
              <w:t>、</w:t>
            </w:r>
            <w:r>
              <w:rPr>
                <w:rFonts w:ascii="Times New Roman" w:hAnsi="Times New Roman"/>
                <w:sz w:val="24"/>
              </w:rPr>
              <w:t>TP 5mg/L</w:t>
            </w:r>
            <w:r>
              <w:rPr>
                <w:rFonts w:ascii="Times New Roman" w:hAnsi="宋体"/>
                <w:sz w:val="24"/>
              </w:rPr>
              <w:t>、</w:t>
            </w:r>
            <w:r>
              <w:rPr>
                <w:rFonts w:ascii="Times New Roman" w:hAnsi="Times New Roman"/>
                <w:sz w:val="24"/>
              </w:rPr>
              <w:t>TN 50mg/L</w:t>
            </w:r>
            <w:r>
              <w:rPr>
                <w:rFonts w:ascii="Times New Roman" w:hAnsi="宋体"/>
                <w:sz w:val="24"/>
              </w:rPr>
              <w:t>、动植物油</w:t>
            </w:r>
            <w:r>
              <w:rPr>
                <w:rFonts w:ascii="Times New Roman" w:hAnsi="Times New Roman"/>
                <w:sz w:val="24"/>
              </w:rPr>
              <w:t xml:space="preserve"> 40mg/L</w:t>
            </w:r>
            <w:r>
              <w:rPr>
                <w:rFonts w:ascii="Times New Roman" w:hAnsi="宋体"/>
                <w:sz w:val="24"/>
              </w:rPr>
              <w:t>。</w:t>
            </w:r>
          </w:p>
          <w:p>
            <w:pPr>
              <w:pStyle w:val="2"/>
              <w:keepNext w:val="0"/>
              <w:keepLines w:val="0"/>
              <w:suppressLineNumbers w:val="0"/>
              <w:spacing w:before="0" w:beforeAutospacing="0" w:after="0" w:afterAutospacing="0" w:line="360" w:lineRule="auto"/>
              <w:ind w:left="0" w:leftChars="0" w:right="0" w:rightChars="0" w:firstLine="482" w:firstLineChars="200"/>
              <w:rPr>
                <w:rFonts w:ascii="Times New Roman" w:hAnsi="Times New Roman"/>
                <w:color w:val="000000"/>
                <w:sz w:val="24"/>
              </w:rPr>
            </w:pPr>
            <w:r>
              <w:rPr>
                <w:rFonts w:ascii="Times New Roman" w:hAnsi="宋体"/>
                <w:b/>
                <w:color w:val="000000"/>
                <w:sz w:val="24"/>
              </w:rPr>
              <w:t>冷却用水：</w:t>
            </w:r>
            <w:r>
              <w:rPr>
                <w:rFonts w:ascii="Times New Roman" w:hAnsi="宋体"/>
                <w:color w:val="000000"/>
                <w:sz w:val="24"/>
              </w:rPr>
              <w:t>本项目生产过程中注塑</w:t>
            </w:r>
            <w:r>
              <w:rPr>
                <w:rFonts w:hint="eastAsia" w:ascii="Times New Roman" w:hAnsi="宋体"/>
                <w:color w:val="000000"/>
                <w:sz w:val="24"/>
              </w:rPr>
              <w:t>成型</w:t>
            </w:r>
            <w:r>
              <w:rPr>
                <w:rFonts w:ascii="Times New Roman" w:hAnsi="宋体"/>
                <w:color w:val="000000"/>
                <w:sz w:val="24"/>
              </w:rPr>
              <w:t>工序需使用冷却水进行冷却，项目设有</w:t>
            </w:r>
            <w:r>
              <w:rPr>
                <w:rFonts w:hint="eastAsia" w:ascii="Times New Roman" w:hAnsi="Times New Roman"/>
                <w:color w:val="000000"/>
                <w:sz w:val="24"/>
              </w:rPr>
              <w:t>5</w:t>
            </w:r>
            <w:r>
              <w:rPr>
                <w:rFonts w:ascii="Times New Roman" w:hAnsi="宋体"/>
                <w:color w:val="000000"/>
                <w:sz w:val="24"/>
              </w:rPr>
              <w:t>台注塑机，共配有</w:t>
            </w:r>
            <w:r>
              <w:rPr>
                <w:rFonts w:ascii="Times New Roman" w:hAnsi="Times New Roman"/>
                <w:color w:val="000000"/>
                <w:sz w:val="24"/>
              </w:rPr>
              <w:t>1</w:t>
            </w:r>
            <w:r>
              <w:rPr>
                <w:rFonts w:ascii="Times New Roman" w:hAnsi="宋体"/>
                <w:color w:val="000000"/>
                <w:sz w:val="24"/>
              </w:rPr>
              <w:t>台冷水机，</w:t>
            </w:r>
            <w:r>
              <w:rPr>
                <w:rFonts w:hint="eastAsia" w:ascii="Times New Roman" w:hAnsi="宋体"/>
                <w:color w:val="000000"/>
                <w:sz w:val="24"/>
              </w:rPr>
              <w:t>1个冷却池（3m×2.2m×2m），</w:t>
            </w:r>
            <w:r>
              <w:rPr>
                <w:rFonts w:ascii="Times New Roman" w:hAnsi="宋体"/>
                <w:color w:val="000000"/>
                <w:sz w:val="24"/>
              </w:rPr>
              <w:t>冷水机循环水量为</w:t>
            </w:r>
            <w:r>
              <w:rPr>
                <w:rFonts w:ascii="Times New Roman" w:hAnsi="Times New Roman"/>
                <w:color w:val="000000"/>
                <w:sz w:val="24"/>
              </w:rPr>
              <w:t>5t/h</w:t>
            </w:r>
            <w:r>
              <w:rPr>
                <w:rFonts w:ascii="Times New Roman" w:hAnsi="宋体"/>
                <w:color w:val="000000"/>
                <w:sz w:val="24"/>
              </w:rPr>
              <w:t>，由于在循环冷却过程中存在一定量的消耗，需对其补水，根据《工业循环冷却水处理设计规范》（</w:t>
            </w:r>
            <w:r>
              <w:rPr>
                <w:rFonts w:ascii="Times New Roman" w:hAnsi="Times New Roman"/>
                <w:color w:val="000000"/>
                <w:sz w:val="24"/>
              </w:rPr>
              <w:t>GB50050-2007</w:t>
            </w:r>
            <w:r>
              <w:rPr>
                <w:rFonts w:ascii="Times New Roman" w:hAnsi="宋体"/>
                <w:color w:val="000000"/>
                <w:sz w:val="24"/>
              </w:rPr>
              <w:t>）中开式系统补充水计算公式：</w:t>
            </w:r>
          </w:p>
          <w:p>
            <w:pPr>
              <w:pStyle w:val="2"/>
              <w:keepNext w:val="0"/>
              <w:keepLines w:val="0"/>
              <w:suppressLineNumbers w:val="0"/>
              <w:spacing w:before="0" w:beforeAutospacing="0" w:after="0" w:afterAutospacing="0" w:line="360" w:lineRule="auto"/>
              <w:ind w:left="0" w:leftChars="0" w:right="0" w:rightChars="0"/>
              <w:jc w:val="center"/>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m</w:t>
            </w: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+Q</w:t>
            </w:r>
            <w:r>
              <w:rPr>
                <w:rFonts w:ascii="Times New Roman" w:hAnsi="Times New Roman"/>
                <w:color w:val="000000"/>
                <w:sz w:val="24"/>
                <w:vertAlign w:val="subscript"/>
              </w:rPr>
              <w:t>b</w:t>
            </w:r>
            <w:r>
              <w:rPr>
                <w:rFonts w:ascii="Times New Roman" w:hAnsi="Times New Roman"/>
                <w:color w:val="000000"/>
                <w:sz w:val="24"/>
              </w:rPr>
              <w:t>+Q</w:t>
            </w:r>
            <w:r>
              <w:rPr>
                <w:rFonts w:ascii="Times New Roman" w:hAnsi="Times New Roman"/>
                <w:color w:val="000000"/>
                <w:sz w:val="24"/>
                <w:vertAlign w:val="subscript"/>
              </w:rPr>
              <w:t>w</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宋体"/>
                <w:color w:val="000000"/>
                <w:sz w:val="24"/>
              </w:rPr>
              <w:t>式中，</w:t>
            </w:r>
            <w:r>
              <w:rPr>
                <w:rFonts w:ascii="Times New Roman" w:hAnsi="Times New Roman"/>
                <w:color w:val="000000"/>
                <w:sz w:val="24"/>
              </w:rPr>
              <w:t>Q</w:t>
            </w:r>
            <w:r>
              <w:rPr>
                <w:rFonts w:ascii="Times New Roman" w:hAnsi="Times New Roman"/>
                <w:color w:val="000000"/>
                <w:sz w:val="24"/>
                <w:vertAlign w:val="subscript"/>
              </w:rPr>
              <w:t>m</w:t>
            </w:r>
            <w:r>
              <w:rPr>
                <w:rFonts w:ascii="Times New Roman" w:hAnsi="Times New Roman"/>
                <w:color w:val="000000"/>
                <w:sz w:val="24"/>
              </w:rPr>
              <w:t>——</w:t>
            </w:r>
            <w:r>
              <w:rPr>
                <w:rFonts w:ascii="Times New Roman" w:hAnsi="宋体"/>
                <w:color w:val="000000"/>
                <w:sz w:val="24"/>
              </w:rPr>
              <w:t>补充水量（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w:t>
            </w:r>
            <w:r>
              <w:rPr>
                <w:rFonts w:ascii="Times New Roman" w:hAnsi="宋体"/>
                <w:color w:val="000000"/>
                <w:sz w:val="24"/>
              </w:rPr>
              <w:t>蒸发水量（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ascii="Times New Roman" w:hAnsi="Times New Roman"/>
                <w:color w:val="000000"/>
                <w:sz w:val="24"/>
              </w:rPr>
              <w:t>Q</w:t>
            </w:r>
            <w:r>
              <w:rPr>
                <w:rFonts w:ascii="Times New Roman" w:hAnsi="Times New Roman"/>
                <w:color w:val="000000"/>
                <w:sz w:val="24"/>
                <w:vertAlign w:val="subscript"/>
              </w:rPr>
              <w:t>e</w:t>
            </w:r>
            <w:r>
              <w:rPr>
                <w:rFonts w:ascii="Times New Roman" w:hAnsi="Times New Roman"/>
                <w:color w:val="000000"/>
                <w:sz w:val="24"/>
              </w:rPr>
              <w:t>=k·</w:t>
            </w:r>
            <w:r>
              <w:rPr>
                <w:rFonts w:ascii="Times New Roman" w:hAnsi="宋体"/>
                <w:color w:val="000000"/>
                <w:sz w:val="24"/>
              </w:rPr>
              <w:t>△</w:t>
            </w:r>
            <w:r>
              <w:rPr>
                <w:rFonts w:ascii="Times New Roman" w:hAnsi="Times New Roman"/>
                <w:color w:val="000000"/>
                <w:sz w:val="24"/>
              </w:rPr>
              <w:t>t·Q</w:t>
            </w:r>
            <w:r>
              <w:rPr>
                <w:rFonts w:ascii="Times New Roman" w:hAnsi="Times New Roman"/>
                <w:color w:val="000000"/>
                <w:sz w:val="24"/>
                <w:vertAlign w:val="subscript"/>
              </w:rPr>
              <w:t>r</w:t>
            </w:r>
            <w:r>
              <w:rPr>
                <w:rFonts w:ascii="Times New Roman" w:hAnsi="宋体"/>
                <w:color w:val="000000"/>
                <w:sz w:val="24"/>
              </w:rPr>
              <w:t>，</w:t>
            </w:r>
            <w:r>
              <w:rPr>
                <w:rFonts w:ascii="Times New Roman" w:hAnsi="Times New Roman"/>
                <w:color w:val="000000"/>
                <w:sz w:val="24"/>
              </w:rPr>
              <w:t>Q</w:t>
            </w:r>
            <w:r>
              <w:rPr>
                <w:rFonts w:ascii="Times New Roman" w:hAnsi="Times New Roman"/>
                <w:color w:val="000000"/>
                <w:sz w:val="24"/>
                <w:vertAlign w:val="subscript"/>
              </w:rPr>
              <w:t>r</w:t>
            </w:r>
            <w:r>
              <w:rPr>
                <w:rFonts w:ascii="Times New Roman" w:hAnsi="宋体"/>
                <w:color w:val="000000"/>
                <w:sz w:val="24"/>
              </w:rPr>
              <w:t>为循环冷却水量（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），本项目冷却机循环水量</w:t>
            </w:r>
            <w:r>
              <w:rPr>
                <w:rFonts w:hint="eastAsia" w:ascii="Times New Roman" w:hAnsi="宋体"/>
                <w:color w:val="000000"/>
                <w:sz w:val="24"/>
              </w:rPr>
              <w:t>为</w:t>
            </w:r>
            <w:r>
              <w:rPr>
                <w:rFonts w:hint="eastAsia" w:ascii="Times New Roman" w:hAnsi="Times New Roman"/>
                <w:color w:val="000000"/>
                <w:sz w:val="24"/>
              </w:rPr>
              <w:t>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ascii="Times New Roman" w:hAnsi="Times New Roman"/>
                <w:color w:val="000000"/>
                <w:sz w:val="24"/>
              </w:rPr>
              <w:t>k</w:t>
            </w:r>
            <w:r>
              <w:rPr>
                <w:rFonts w:ascii="Times New Roman" w:hAnsi="宋体"/>
                <w:color w:val="000000"/>
                <w:sz w:val="24"/>
              </w:rPr>
              <w:t>取</w:t>
            </w:r>
            <w:r>
              <w:rPr>
                <w:rFonts w:ascii="Times New Roman" w:hAnsi="Times New Roman"/>
                <w:color w:val="000000"/>
                <w:sz w:val="24"/>
              </w:rPr>
              <w:t>0.0014</w:t>
            </w:r>
            <w:r>
              <w:rPr>
                <w:rFonts w:ascii="Times New Roman" w:hAnsi="宋体"/>
                <w:color w:val="000000"/>
                <w:sz w:val="24"/>
              </w:rPr>
              <w:t>（气温</w:t>
            </w:r>
            <w:r>
              <w:rPr>
                <w:rFonts w:ascii="Times New Roman" w:hAnsi="Times New Roman"/>
                <w:color w:val="000000"/>
                <w:sz w:val="24"/>
              </w:rPr>
              <w:t>20</w:t>
            </w:r>
            <w:r>
              <w:rPr>
                <w:rFonts w:ascii="Times New Roman" w:hAnsi="宋体"/>
                <w:color w:val="000000"/>
                <w:sz w:val="24"/>
              </w:rPr>
              <w:t>℃），△</w:t>
            </w:r>
            <w:r>
              <w:rPr>
                <w:rFonts w:ascii="Times New Roman" w:hAnsi="Times New Roman"/>
                <w:color w:val="000000"/>
                <w:sz w:val="24"/>
              </w:rPr>
              <w:t>t</w:t>
            </w:r>
            <w:r>
              <w:rPr>
                <w:rFonts w:ascii="Times New Roman" w:hAnsi="宋体"/>
                <w:color w:val="000000"/>
                <w:sz w:val="24"/>
              </w:rPr>
              <w:t>为冷却水温差，本项目取</w:t>
            </w:r>
            <w:r>
              <w:rPr>
                <w:rFonts w:ascii="Times New Roman" w:hAnsi="Times New Roman"/>
                <w:color w:val="000000"/>
                <w:sz w:val="24"/>
              </w:rPr>
              <w:t>5</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b</w:t>
            </w:r>
            <w:r>
              <w:rPr>
                <w:rFonts w:ascii="Times New Roman" w:hAnsi="Times New Roman"/>
                <w:color w:val="000000"/>
                <w:sz w:val="24"/>
              </w:rPr>
              <w:t>——</w:t>
            </w:r>
            <w:r>
              <w:rPr>
                <w:rFonts w:ascii="Times New Roman" w:hAnsi="宋体"/>
                <w:color w:val="000000"/>
                <w:sz w:val="24"/>
              </w:rPr>
              <w:t>排污水量（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），本项目取</w:t>
            </w:r>
            <w:r>
              <w:rPr>
                <w:rFonts w:ascii="Times New Roman" w:hAnsi="Times New Roman"/>
                <w:color w:val="000000"/>
                <w:sz w:val="24"/>
              </w:rPr>
              <w:t>0</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Q</w:t>
            </w:r>
            <w:r>
              <w:rPr>
                <w:rFonts w:ascii="Times New Roman" w:hAnsi="Times New Roman"/>
                <w:color w:val="000000"/>
                <w:sz w:val="24"/>
                <w:vertAlign w:val="subscript"/>
              </w:rPr>
              <w:t>w</w:t>
            </w:r>
            <w:r>
              <w:rPr>
                <w:rFonts w:ascii="Times New Roman" w:hAnsi="Times New Roman"/>
                <w:color w:val="000000"/>
                <w:sz w:val="24"/>
              </w:rPr>
              <w:t>——</w:t>
            </w:r>
            <w:r>
              <w:rPr>
                <w:rFonts w:ascii="Times New Roman" w:hAnsi="宋体"/>
                <w:color w:val="000000"/>
                <w:sz w:val="24"/>
              </w:rPr>
              <w:t>蒸风吹损失水量（</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），本项目取</w:t>
            </w:r>
            <w:r>
              <w:rPr>
                <w:rFonts w:ascii="Times New Roman" w:hAnsi="Times New Roman"/>
                <w:color w:val="000000"/>
                <w:sz w:val="24"/>
              </w:rPr>
              <w:t>0</w:t>
            </w:r>
            <w:r>
              <w:rPr>
                <w:rFonts w:ascii="Times New Roman" w:hAnsi="宋体"/>
                <w:color w:val="000000"/>
                <w:sz w:val="24"/>
              </w:rPr>
              <w:t>。</w:t>
            </w:r>
          </w:p>
          <w:p>
            <w:pPr>
              <w:pStyle w:val="2"/>
              <w:keepNext w:val="0"/>
              <w:keepLines w:val="0"/>
              <w:suppressLineNumbers w:val="0"/>
              <w:spacing w:before="0" w:beforeAutospacing="0" w:after="0" w:afterAutospacing="0" w:line="360" w:lineRule="auto"/>
              <w:ind w:left="0" w:leftChars="0" w:right="0" w:rightChars="0" w:firstLine="480" w:firstLineChars="200"/>
              <w:rPr>
                <w:rFonts w:ascii="Times New Roman" w:hAnsi="Times New Roman"/>
                <w:color w:val="000000"/>
                <w:sz w:val="24"/>
              </w:rPr>
            </w:pPr>
            <w:r>
              <w:rPr>
                <w:rFonts w:ascii="Times New Roman" w:hAnsi="宋体"/>
                <w:color w:val="000000"/>
                <w:sz w:val="24"/>
              </w:rPr>
              <w:t>经计算本项目冷却水需补充水量为</w:t>
            </w:r>
            <w:r>
              <w:rPr>
                <w:rFonts w:ascii="Times New Roman" w:hAnsi="Times New Roman"/>
                <w:color w:val="000000"/>
                <w:sz w:val="24"/>
              </w:rPr>
              <w:t>0.</w:t>
            </w:r>
            <w:r>
              <w:rPr>
                <w:rFonts w:hint="eastAsia" w:ascii="Times New Roman" w:hAnsi="Times New Roman"/>
                <w:color w:val="000000"/>
                <w:sz w:val="24"/>
              </w:rPr>
              <w:t>035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Times New Roman"/>
                <w:color w:val="000000"/>
                <w:sz w:val="24"/>
              </w:rPr>
              <w:t>/h</w:t>
            </w:r>
            <w:r>
              <w:rPr>
                <w:rFonts w:ascii="Times New Roman" w:hAnsi="宋体"/>
                <w:color w:val="000000"/>
                <w:sz w:val="24"/>
              </w:rPr>
              <w:t>，</w:t>
            </w:r>
            <w:r>
              <w:rPr>
                <w:rFonts w:hint="eastAsia" w:ascii="Times New Roman" w:hAnsi="宋体"/>
                <w:color w:val="000000"/>
                <w:sz w:val="24"/>
              </w:rPr>
              <w:t>注塑机</w:t>
            </w:r>
            <w:r>
              <w:rPr>
                <w:rFonts w:ascii="Times New Roman" w:hAnsi="宋体"/>
                <w:color w:val="000000"/>
                <w:sz w:val="24"/>
              </w:rPr>
              <w:t>年工作时间按</w:t>
            </w:r>
            <w:r>
              <w:rPr>
                <w:rFonts w:hint="eastAsia" w:ascii="Times New Roman" w:hAnsi="Times New Roman"/>
                <w:color w:val="000000"/>
                <w:sz w:val="24"/>
              </w:rPr>
              <w:t>3</w:t>
            </w:r>
            <w:r>
              <w:rPr>
                <w:rFonts w:hint="eastAsia" w:ascii="Times New Roman" w:hAnsi="Times New Roman"/>
                <w:color w:val="000000"/>
                <w:sz w:val="24"/>
                <w:lang w:val="en-US" w:eastAsia="zh-CN"/>
              </w:rPr>
              <w:t>0</w:t>
            </w:r>
            <w:r>
              <w:rPr>
                <w:rFonts w:ascii="Times New Roman" w:hAnsi="Times New Roman"/>
                <w:color w:val="000000"/>
                <w:sz w:val="24"/>
              </w:rPr>
              <w:t>00h</w:t>
            </w:r>
            <w:r>
              <w:rPr>
                <w:rFonts w:ascii="Times New Roman" w:hAnsi="宋体"/>
                <w:color w:val="000000"/>
                <w:sz w:val="24"/>
              </w:rPr>
              <w:t>计，则需年补充冷却水量为</w:t>
            </w:r>
            <w:r>
              <w:rPr>
                <w:rFonts w:hint="eastAsia" w:ascii="Times New Roman" w:hAnsi="Times New Roman"/>
                <w:color w:val="000000"/>
                <w:sz w:val="24"/>
                <w:lang w:val="en-US" w:eastAsia="zh-CN"/>
              </w:rPr>
              <w:t>105</w:t>
            </w:r>
            <w:r>
              <w:rPr>
                <w:rFonts w:ascii="Times New Roman" w:hAnsi="Times New Roman"/>
                <w:color w:val="000000"/>
                <w:sz w:val="24"/>
              </w:rPr>
              <w:t>m</w:t>
            </w:r>
            <w:r>
              <w:rPr>
                <w:rFonts w:ascii="Times New Roman" w:hAnsi="Times New Roman"/>
                <w:color w:val="000000"/>
                <w:sz w:val="24"/>
                <w:vertAlign w:val="superscript"/>
              </w:rPr>
              <w:t>3</w:t>
            </w:r>
            <w:r>
              <w:rPr>
                <w:rFonts w:ascii="Times New Roman" w:hAnsi="宋体"/>
                <w:color w:val="000000"/>
                <w:sz w:val="24"/>
              </w:rPr>
              <w:t>，本项目冷却水循环使用，不外排。</w:t>
            </w:r>
          </w:p>
          <w:p>
            <w:pPr>
              <w:pStyle w:val="2"/>
              <w:keepNext w:val="0"/>
              <w:keepLines w:val="0"/>
              <w:suppressLineNumbers w:val="0"/>
              <w:spacing w:before="0" w:beforeAutospacing="0" w:after="0" w:afterAutospacing="0" w:line="360" w:lineRule="auto"/>
              <w:ind w:left="0" w:leftChars="0" w:right="0" w:rightChars="0" w:firstLine="480" w:firstLineChars="200"/>
              <w:rPr>
                <w:rFonts w:ascii="宋体" w:hAnsi="宋体"/>
                <w:sz w:val="24"/>
              </w:rPr>
            </w:pPr>
            <w:r>
              <w:rPr>
                <w:rFonts w:hint="eastAsia" w:ascii="宋体" w:hAnsi="宋体"/>
                <w:sz w:val="24"/>
              </w:rPr>
              <w:t>本项目废水产生及排放情况见下表。</w:t>
            </w:r>
          </w:p>
          <w:p>
            <w:pPr>
              <w:keepNext w:val="0"/>
              <w:keepLines w:val="0"/>
              <w:suppressLineNumbers w:val="0"/>
              <w:spacing w:before="0" w:beforeAutospacing="0" w:after="0" w:afterAutospacing="0"/>
              <w:ind w:left="0" w:right="0"/>
              <w:jc w:val="center"/>
              <w:rPr>
                <w:rFonts w:ascii="宋体" w:hAnsi="宋体"/>
                <w:b/>
                <w:sz w:val="24"/>
              </w:rPr>
            </w:pPr>
            <w:r>
              <w:rPr>
                <w:rFonts w:hint="eastAsia" w:ascii="宋体" w:hAnsi="宋体"/>
                <w:b/>
                <w:sz w:val="24"/>
              </w:rPr>
              <w:t>表</w:t>
            </w:r>
            <w:r>
              <w:rPr>
                <w:rFonts w:hint="eastAsia"/>
                <w:b/>
                <w:sz w:val="24"/>
              </w:rPr>
              <w:t xml:space="preserve">4-12 </w:t>
            </w:r>
            <w:r>
              <w:rPr>
                <w:rFonts w:hint="eastAsia" w:ascii="宋体" w:hAnsi="宋体"/>
                <w:b/>
                <w:sz w:val="24"/>
              </w:rPr>
              <w:t>本项目废水产生及排放情况</w:t>
            </w:r>
          </w:p>
          <w:tbl>
            <w:tblPr>
              <w:tblStyle w:val="21"/>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842"/>
              <w:gridCol w:w="736"/>
              <w:gridCol w:w="727"/>
              <w:gridCol w:w="866"/>
              <w:gridCol w:w="668"/>
              <w:gridCol w:w="869"/>
              <w:gridCol w:w="1240"/>
              <w:gridCol w:w="871"/>
              <w:gridCol w:w="69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restart"/>
                  <w:tcBorders>
                    <w:top w:val="single" w:color="000000" w:sz="12"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废水来源</w:t>
                  </w:r>
                </w:p>
              </w:tc>
              <w:tc>
                <w:tcPr>
                  <w:tcW w:w="515" w:type="pct"/>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废水量m</w:t>
                  </w:r>
                  <w:r>
                    <w:rPr>
                      <w:b/>
                      <w:bCs/>
                      <w:vertAlign w:val="superscript"/>
                    </w:rPr>
                    <w:t>3</w:t>
                  </w:r>
                  <w:r>
                    <w:rPr>
                      <w:b/>
                      <w:bCs/>
                    </w:rPr>
                    <w:t>/a</w:t>
                  </w:r>
                </w:p>
              </w:tc>
              <w:tc>
                <w:tcPr>
                  <w:tcW w:w="1423" w:type="pct"/>
                  <w:gridSpan w:val="3"/>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污染物产生情况</w:t>
                  </w:r>
                </w:p>
              </w:tc>
              <w:tc>
                <w:tcPr>
                  <w:tcW w:w="408" w:type="pct"/>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处理方法</w:t>
                  </w:r>
                </w:p>
              </w:tc>
              <w:tc>
                <w:tcPr>
                  <w:tcW w:w="1289" w:type="pct"/>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排放情况</w:t>
                  </w:r>
                </w:p>
              </w:tc>
              <w:tc>
                <w:tcPr>
                  <w:tcW w:w="532" w:type="pct"/>
                  <w:vMerge w:val="restart"/>
                  <w:tcBorders>
                    <w:top w:val="single" w:color="000000" w:sz="12"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rPr>
                  </w:pPr>
                  <w:r>
                    <w:rPr>
                      <w:b/>
                      <w:bCs/>
                    </w:rPr>
                    <w:t>污水厂接纳</w:t>
                  </w:r>
                </w:p>
                <w:p>
                  <w:pPr>
                    <w:keepNext w:val="0"/>
                    <w:keepLines w:val="0"/>
                    <w:suppressLineNumbers w:val="0"/>
                    <w:adjustRightInd w:val="0"/>
                    <w:snapToGrid w:val="0"/>
                    <w:spacing w:before="0" w:beforeAutospacing="0" w:after="0" w:afterAutospacing="0"/>
                    <w:ind w:left="0" w:right="0"/>
                    <w:jc w:val="center"/>
                    <w:rPr>
                      <w:b/>
                      <w:bCs/>
                      <w:szCs w:val="21"/>
                    </w:rPr>
                  </w:pPr>
                  <w:r>
                    <w:rPr>
                      <w:b/>
                      <w:bCs/>
                    </w:rPr>
                    <w:t>标准</w:t>
                  </w:r>
                </w:p>
              </w:tc>
              <w:tc>
                <w:tcPr>
                  <w:tcW w:w="422" w:type="pct"/>
                  <w:vMerge w:val="restart"/>
                  <w:tcBorders>
                    <w:top w:val="single" w:color="000000" w:sz="12" w:space="0"/>
                    <w:left w:val="single" w:color="000000" w:sz="4" w:space="0"/>
                    <w:bottom w:val="single" w:color="000000" w:sz="4"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b/>
                      <w:bCs/>
                      <w:szCs w:val="21"/>
                    </w:rPr>
                  </w:pPr>
                  <w:r>
                    <w:rPr>
                      <w:b/>
                      <w:bCs/>
                    </w:rPr>
                    <w:t>排放方式与去向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12"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b/>
                      <w:bCs/>
                      <w:szCs w:val="21"/>
                    </w:rPr>
                  </w:pPr>
                </w:p>
              </w:tc>
              <w:tc>
                <w:tcPr>
                  <w:tcW w:w="515" w:type="pct"/>
                  <w:vMerge w:val="continue"/>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b/>
                      <w:bCs/>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名称</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浓度mg/L</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产生量t/a</w:t>
                  </w:r>
                </w:p>
              </w:tc>
              <w:tc>
                <w:tcPr>
                  <w:tcW w:w="408" w:type="pct"/>
                  <w:vMerge w:val="continue"/>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b/>
                      <w:bCs/>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浓度mg/L</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排放量t/a</w:t>
                  </w:r>
                </w:p>
              </w:tc>
              <w:tc>
                <w:tcPr>
                  <w:tcW w:w="532" w:type="pct"/>
                  <w:vMerge w:val="continue"/>
                  <w:tcBorders>
                    <w:top w:val="single" w:color="000000" w:sz="12"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b/>
                      <w:bCs/>
                      <w:szCs w:val="21"/>
                    </w:rPr>
                  </w:pPr>
                </w:p>
              </w:tc>
              <w:tc>
                <w:tcPr>
                  <w:tcW w:w="422" w:type="pct"/>
                  <w:vMerge w:val="continue"/>
                  <w:tcBorders>
                    <w:top w:val="single" w:color="000000" w:sz="12" w:space="0"/>
                    <w:left w:val="single" w:color="000000"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center"/>
                    <w:rPr>
                      <w:b/>
                      <w:bCs/>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411" w:type="pct"/>
                  <w:vMerge w:val="restart"/>
                  <w:tcBorders>
                    <w:top w:val="single" w:color="000000" w:sz="4" w:space="0"/>
                    <w:left w:val="nil"/>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生活污水</w:t>
                  </w:r>
                </w:p>
              </w:tc>
              <w:tc>
                <w:tcPr>
                  <w:tcW w:w="515"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2880</w:t>
                  </w: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COD</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400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1.152</w:t>
                  </w:r>
                </w:p>
              </w:tc>
              <w:tc>
                <w:tcPr>
                  <w:tcW w:w="408"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接管</w:t>
                  </w: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400</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1.152</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500</w:t>
                  </w:r>
                </w:p>
              </w:tc>
              <w:tc>
                <w:tcPr>
                  <w:tcW w:w="422" w:type="pct"/>
                  <w:vMerge w:val="restart"/>
                  <w:tcBorders>
                    <w:top w:val="nil"/>
                    <w:left w:val="single" w:color="000000"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武南</w:t>
                  </w:r>
                  <w:r>
                    <w:t>污水处理厂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SS</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300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0.864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300</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0.864</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400</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氨氮</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25</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0.0</w:t>
                  </w:r>
                  <w:r>
                    <w:rPr>
                      <w:rFonts w:hint="eastAsia"/>
                    </w:rPr>
                    <w:t>72</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25</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0.0</w:t>
                  </w:r>
                  <w:r>
                    <w:rPr>
                      <w:rFonts w:hint="eastAsia"/>
                    </w:rPr>
                    <w:t>72</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45</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TP</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0.0</w:t>
                  </w:r>
                  <w:r>
                    <w:rPr>
                      <w:rFonts w:hint="eastAsia"/>
                    </w:rPr>
                    <w:t>144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0.0</w:t>
                  </w:r>
                  <w:r>
                    <w:rPr>
                      <w:rFonts w:hint="eastAsia"/>
                    </w:rPr>
                    <w:t>144</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8</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TN</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w:t>
                  </w:r>
                  <w:r>
                    <w:rPr>
                      <w:rFonts w:hint="eastAsia"/>
                    </w:rPr>
                    <w:t>144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50</w:t>
                  </w:r>
                </w:p>
              </w:tc>
              <w:tc>
                <w:tcPr>
                  <w:tcW w:w="758"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t>0.</w:t>
                  </w:r>
                  <w:r>
                    <w:rPr>
                      <w:rFonts w:hint="eastAsia"/>
                    </w:rPr>
                    <w:t>144</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70</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restart"/>
                  <w:tcBorders>
                    <w:top w:val="single" w:color="000000" w:sz="4" w:space="0"/>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食堂废水</w:t>
                  </w:r>
                </w:p>
              </w:tc>
              <w:tc>
                <w:tcPr>
                  <w:tcW w:w="515" w:type="pct"/>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576</w:t>
                  </w: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COD</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400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23</w:t>
                  </w:r>
                </w:p>
              </w:tc>
              <w:tc>
                <w:tcPr>
                  <w:tcW w:w="408" w:type="pct"/>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隔油池</w:t>
                  </w: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400</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23</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500</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SS</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300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w:t>
                  </w:r>
                  <w:r>
                    <w:rPr>
                      <w:rFonts w:hint="eastAsia"/>
                      <w:lang w:val="en-US" w:eastAsia="zh-CN"/>
                    </w:rPr>
                    <w:t>173</w:t>
                  </w:r>
                </w:p>
              </w:tc>
              <w:tc>
                <w:tcPr>
                  <w:tcW w:w="408"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300</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w:t>
                  </w:r>
                  <w:r>
                    <w:rPr>
                      <w:rFonts w:hint="eastAsia"/>
                      <w:lang w:val="en-US" w:eastAsia="zh-CN"/>
                    </w:rPr>
                    <w:t>173</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400</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氨氮</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25</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144</w:t>
                  </w:r>
                </w:p>
              </w:tc>
              <w:tc>
                <w:tcPr>
                  <w:tcW w:w="408"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25</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w:t>
                  </w:r>
                  <w:r>
                    <w:rPr>
                      <w:rFonts w:hint="eastAsia"/>
                      <w:lang w:val="en-US" w:eastAsia="zh-CN"/>
                    </w:rPr>
                    <w:t>144</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45</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TP</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0.00</w:t>
                  </w:r>
                  <w:r>
                    <w:rPr>
                      <w:rFonts w:hint="eastAsia"/>
                      <w:lang w:val="en-US" w:eastAsia="zh-CN"/>
                    </w:rPr>
                    <w:t>288</w:t>
                  </w:r>
                </w:p>
              </w:tc>
              <w:tc>
                <w:tcPr>
                  <w:tcW w:w="408"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0.00</w:t>
                  </w:r>
                  <w:r>
                    <w:rPr>
                      <w:rFonts w:hint="eastAsia"/>
                      <w:lang w:val="en-US" w:eastAsia="zh-CN"/>
                    </w:rPr>
                    <w:t>288</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8</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TN</w:t>
                  </w:r>
                </w:p>
              </w:tc>
              <w:tc>
                <w:tcPr>
                  <w:tcW w:w="444"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50</w:t>
                  </w:r>
                </w:p>
              </w:tc>
              <w:tc>
                <w:tcPr>
                  <w:tcW w:w="529"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288</w:t>
                  </w:r>
                </w:p>
              </w:tc>
              <w:tc>
                <w:tcPr>
                  <w:tcW w:w="408" w:type="pct"/>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50</w:t>
                  </w:r>
                </w:p>
              </w:tc>
              <w:tc>
                <w:tcPr>
                  <w:tcW w:w="124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w:t>
                  </w:r>
                  <w:r>
                    <w:rPr>
                      <w:rFonts w:hint="eastAsia"/>
                      <w:lang w:val="en-US" w:eastAsia="zh-CN"/>
                    </w:rPr>
                    <w:t>288</w:t>
                  </w:r>
                </w:p>
              </w:tc>
              <w:tc>
                <w:tcPr>
                  <w:tcW w:w="532" w:type="pct"/>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70</w:t>
                  </w:r>
                </w:p>
              </w:tc>
              <w:tc>
                <w:tcPr>
                  <w:tcW w:w="422" w:type="pct"/>
                  <w:vMerge w:val="continue"/>
                  <w:tcBorders>
                    <w:left w:val="single" w:color="000000" w:sz="4"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bottom w:val="single" w:color="000000"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15" w:type="pct"/>
                  <w:vMerge w:val="continue"/>
                  <w:tcBorders>
                    <w:left w:val="single" w:color="000000" w:sz="4" w:space="0"/>
                    <w:bottom w:val="single" w:color="000000"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450"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动植物油</w:t>
                  </w:r>
                </w:p>
              </w:tc>
              <w:tc>
                <w:tcPr>
                  <w:tcW w:w="444"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80</w:t>
                  </w:r>
                </w:p>
              </w:tc>
              <w:tc>
                <w:tcPr>
                  <w:tcW w:w="529"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46</w:t>
                  </w:r>
                </w:p>
              </w:tc>
              <w:tc>
                <w:tcPr>
                  <w:tcW w:w="408" w:type="pct"/>
                  <w:vMerge w:val="continue"/>
                  <w:tcBorders>
                    <w:left w:val="single" w:color="000000" w:sz="4" w:space="0"/>
                    <w:bottom w:val="single" w:color="000000"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szCs w:val="21"/>
                    </w:rPr>
                  </w:pPr>
                </w:p>
              </w:tc>
              <w:tc>
                <w:tcPr>
                  <w:tcW w:w="531"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40</w:t>
                  </w:r>
                </w:p>
              </w:tc>
              <w:tc>
                <w:tcPr>
                  <w:tcW w:w="758"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0.0</w:t>
                  </w:r>
                  <w:r>
                    <w:rPr>
                      <w:rFonts w:hint="eastAsia"/>
                      <w:lang w:val="en-US" w:eastAsia="zh-CN"/>
                    </w:rPr>
                    <w:t>23</w:t>
                  </w:r>
                </w:p>
              </w:tc>
              <w:tc>
                <w:tcPr>
                  <w:tcW w:w="532" w:type="pct"/>
                  <w:tcBorders>
                    <w:top w:val="single" w:color="000000" w:sz="4" w:space="0"/>
                    <w:left w:val="single" w:color="000000" w:sz="4" w:space="0"/>
                    <w:bottom w:val="single" w:color="000000" w:sz="12"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jc w:val="center"/>
                    <w:rPr>
                      <w:bCs/>
                      <w:szCs w:val="21"/>
                    </w:rPr>
                  </w:pPr>
                  <w:r>
                    <w:rPr>
                      <w:bCs/>
                      <w:szCs w:val="21"/>
                    </w:rPr>
                    <w:t>100</w:t>
                  </w:r>
                </w:p>
              </w:tc>
              <w:tc>
                <w:tcPr>
                  <w:tcW w:w="422" w:type="pct"/>
                  <w:vMerge w:val="continue"/>
                  <w:tcBorders>
                    <w:left w:val="single" w:color="000000" w:sz="4" w:space="0"/>
                    <w:bottom w:val="single" w:color="000000" w:sz="12" w:space="0"/>
                    <w:right w:val="nil"/>
                  </w:tcBorders>
                  <w:vAlign w:val="center"/>
                </w:tcPr>
                <w:p>
                  <w:pPr>
                    <w:keepNext w:val="0"/>
                    <w:keepLines w:val="0"/>
                    <w:widowControl/>
                    <w:suppressLineNumbers w:val="0"/>
                    <w:spacing w:before="0" w:beforeAutospacing="0" w:after="0" w:afterAutospacing="0"/>
                    <w:ind w:left="0" w:right="0"/>
                    <w:jc w:val="center"/>
                    <w:rPr>
                      <w:szCs w:val="21"/>
                    </w:rPr>
                  </w:pPr>
                </w:p>
              </w:tc>
            </w:tr>
          </w:tbl>
          <w:p>
            <w:pPr>
              <w:keepNext w:val="0"/>
              <w:keepLines w:val="0"/>
              <w:suppressLineNumbers w:val="0"/>
              <w:spacing w:before="0" w:beforeAutospacing="0" w:after="0" w:afterAutospacing="0" w:line="360" w:lineRule="auto"/>
              <w:ind w:left="0" w:right="0" w:firstLine="482" w:firstLineChars="200"/>
              <w:rPr>
                <w:b/>
                <w:bCs/>
                <w:sz w:val="24"/>
              </w:rPr>
            </w:pPr>
            <w:r>
              <w:rPr>
                <w:rFonts w:hint="eastAsia"/>
                <w:b/>
                <w:bCs/>
                <w:sz w:val="24"/>
              </w:rPr>
              <w:t>（2）</w:t>
            </w:r>
            <w:r>
              <w:rPr>
                <w:b/>
                <w:bCs/>
                <w:sz w:val="24"/>
              </w:rPr>
              <w:t>依托污水处理厂的可行性分析</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1）防治措施</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项目所在区域内已实行</w:t>
            </w:r>
            <w:r>
              <w:rPr>
                <w:rFonts w:hint="eastAsia"/>
                <w:sz w:val="24"/>
              </w:rPr>
              <w:t>“</w:t>
            </w:r>
            <w:r>
              <w:rPr>
                <w:sz w:val="24"/>
              </w:rPr>
              <w:t>雨污分流、清污分流</w:t>
            </w:r>
            <w:r>
              <w:rPr>
                <w:rFonts w:hint="eastAsia"/>
                <w:sz w:val="24"/>
              </w:rPr>
              <w:t>”</w:t>
            </w:r>
            <w:r>
              <w:rPr>
                <w:sz w:val="24"/>
              </w:rPr>
              <w:t>。本项目食堂废水经隔油池处理后与生活污水经污水管网接管至武南污水处理厂集中处理，尾水最终排入武南河。</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武南污水处理厂位于武进高新区，占地252亩，总设计规模10万吨/日，收集服务范围为高新区、大学城、南夏墅、礼嘉、洛阳、前黄六个片区，共173平方千米。一期工程规模4万吨/日，于2009年5月19日正式进水试运。二期扩建及改造工程规模6万吨/日，配套污水管网155公里，于2013年2月开工，目前已调试运行完毕，达标出水。工艺采用选择厌氧池+Carrousel氧化沟+二沉池+高密度澄清池+V型滤池工艺+ClO</w:t>
            </w:r>
            <w:r>
              <w:rPr>
                <w:sz w:val="24"/>
                <w:vertAlign w:val="subscript"/>
              </w:rPr>
              <w:t>2</w:t>
            </w:r>
            <w:r>
              <w:rPr>
                <w:sz w:val="24"/>
              </w:rPr>
              <w:t>消毒，出水执行GB8918-2002一级A标准。为进一步降解尾水氮磷等污染物，污水处理厂在尾水排放口建造生态湿地，目前生态湿地面积约6.6公顷，其中水域面积约为2.8公顷，总长1.2千米。生态湿地的建成运行，年削减COD、氨氮、总氮和总磷污染物分别为365吨、29.2吨、109吨和4.38吨，湿地排水每天为武南河补水景观绿化用水约4万立方米。经调查，市政污水管网已</w:t>
            </w:r>
            <w:r>
              <w:rPr>
                <w:rFonts w:hint="eastAsia"/>
                <w:sz w:val="24"/>
                <w:lang w:eastAsia="zh-CN"/>
              </w:rPr>
              <w:t>敷</w:t>
            </w:r>
            <w:r>
              <w:rPr>
                <w:sz w:val="24"/>
              </w:rPr>
              <w:t>盖项目所在区域，故就污水管网建设来看，本项目污水具备纳入城市污水管网的条件。</w:t>
            </w:r>
          </w:p>
          <w:p>
            <w:pPr>
              <w:keepNext w:val="0"/>
              <w:keepLines w:val="0"/>
              <w:suppressLineNumbers w:val="0"/>
              <w:tabs>
                <w:tab w:val="left" w:pos="1014"/>
              </w:tabs>
              <w:spacing w:before="0" w:beforeAutospacing="0" w:after="0" w:afterAutospacing="0" w:line="360" w:lineRule="auto"/>
              <w:ind w:left="0" w:right="0"/>
              <w:jc w:val="center"/>
              <w:rPr>
                <w:b/>
                <w:bCs/>
                <w:sz w:val="24"/>
              </w:rPr>
            </w:pPr>
            <w:r>
              <w:drawing>
                <wp:inline distT="0" distB="0" distL="0" distR="0">
                  <wp:extent cx="5275580" cy="2200275"/>
                  <wp:effectExtent l="19050" t="0" r="1063" b="0"/>
                  <wp:docPr id="1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8"/>
                          <pic:cNvPicPr>
                            <a:picLocks noChangeAspect="1" noChangeArrowheads="1"/>
                          </pic:cNvPicPr>
                        </pic:nvPicPr>
                        <pic:blipFill>
                          <a:blip r:embed="rId13" cstate="print"/>
                          <a:srcRect/>
                          <a:stretch>
                            <a:fillRect/>
                          </a:stretch>
                        </pic:blipFill>
                        <pic:spPr>
                          <a:xfrm>
                            <a:off x="0" y="0"/>
                            <a:ext cx="5278965" cy="2201968"/>
                          </a:xfrm>
                          <a:prstGeom prst="rect">
                            <a:avLst/>
                          </a:prstGeom>
                          <a:noFill/>
                          <a:ln w="9525" cmpd="sng">
                            <a:noFill/>
                            <a:miter lim="800000"/>
                            <a:headEnd/>
                            <a:tailEnd/>
                          </a:ln>
                        </pic:spPr>
                      </pic:pic>
                    </a:graphicData>
                  </a:graphic>
                </wp:inline>
              </w:drawing>
            </w:r>
            <w:r>
              <w:rPr>
                <w:b/>
                <w:bCs/>
                <w:sz w:val="24"/>
              </w:rPr>
              <w:t>图4-2  武南污水处理厂处理工艺流程</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2）排放情况</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废水排放去向：室内排水采用清、污分流制，室外排水采用雨、污分流制。食堂废水经隔油池处理后与生活污水经市政污水管网</w:t>
            </w:r>
            <w:r>
              <w:rPr>
                <w:rFonts w:hint="eastAsia"/>
                <w:sz w:val="24"/>
              </w:rPr>
              <w:t>排入武南污水处理厂</w:t>
            </w:r>
            <w:r>
              <w:rPr>
                <w:sz w:val="24"/>
              </w:rPr>
              <w:t>，由武南污水处理厂集中处理达标后排放，排放量为</w:t>
            </w:r>
            <w:r>
              <w:rPr>
                <w:rFonts w:hint="eastAsia"/>
                <w:sz w:val="24"/>
              </w:rPr>
              <w:t>3</w:t>
            </w:r>
            <w:r>
              <w:rPr>
                <w:rFonts w:hint="eastAsia"/>
                <w:sz w:val="24"/>
                <w:lang w:val="en-US" w:eastAsia="zh-CN"/>
              </w:rPr>
              <w:t>456</w:t>
            </w:r>
            <w:r>
              <w:rPr>
                <w:sz w:val="24"/>
              </w:rPr>
              <w:t>m</w:t>
            </w:r>
            <w:r>
              <w:rPr>
                <w:sz w:val="24"/>
                <w:vertAlign w:val="superscript"/>
              </w:rPr>
              <w:t>3</w:t>
            </w:r>
            <w:r>
              <w:rPr>
                <w:sz w:val="24"/>
              </w:rPr>
              <w:t>/a；屋面雨水有组织排放到地面雨水井后，与地面雨水（由地面雨水口收集）一起汇入室外雨水管道系统，排入市政雨水管网。</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3）污水接管可行性分析</w:t>
            </w:r>
          </w:p>
          <w:p>
            <w:pPr>
              <w:keepNext w:val="0"/>
              <w:keepLines w:val="0"/>
              <w:suppressLineNumbers w:val="0"/>
              <w:tabs>
                <w:tab w:val="left" w:pos="1014"/>
              </w:tabs>
              <w:spacing w:before="0" w:beforeAutospacing="0" w:after="0" w:afterAutospacing="0" w:line="360" w:lineRule="auto"/>
              <w:ind w:left="0" w:right="0" w:firstLine="480" w:firstLineChars="200"/>
              <w:rPr>
                <w:bCs/>
                <w:sz w:val="24"/>
              </w:rPr>
            </w:pPr>
            <w:r>
              <w:rPr>
                <w:rFonts w:hint="eastAsia"/>
                <w:bCs/>
                <w:sz w:val="24"/>
              </w:rPr>
              <w:t>本项目</w:t>
            </w:r>
            <w:r>
              <w:rPr>
                <w:sz w:val="24"/>
              </w:rPr>
              <w:t>食堂废水经隔油池处理后与生活污水经污水管网接管至武南污水处理厂集中处理</w:t>
            </w:r>
            <w:r>
              <w:rPr>
                <w:rFonts w:hint="eastAsia"/>
                <w:bCs/>
                <w:sz w:val="24"/>
              </w:rPr>
              <w:t>，根据</w:t>
            </w:r>
            <w:r>
              <w:rPr>
                <w:rFonts w:hint="eastAsia" w:hAnsi="宋体"/>
                <w:sz w:val="24"/>
                <w:lang w:eastAsia="zh-CN"/>
              </w:rPr>
              <w:t>常州武进武新资产经营有限公司</w:t>
            </w:r>
            <w:r>
              <w:rPr>
                <w:rFonts w:hint="eastAsia"/>
                <w:bCs/>
                <w:sz w:val="24"/>
              </w:rPr>
              <w:t>提供的</w:t>
            </w:r>
            <w:r>
              <w:rPr>
                <w:rFonts w:hint="eastAsia"/>
                <w:bCs/>
                <w:sz w:val="24"/>
                <w:highlight w:val="none"/>
              </w:rPr>
              <w:t>《城镇污水排人排水管网许可证》</w:t>
            </w:r>
            <w:r>
              <w:rPr>
                <w:rFonts w:hint="eastAsia"/>
                <w:bCs/>
                <w:sz w:val="24"/>
              </w:rPr>
              <w:t>，</w:t>
            </w:r>
            <w:r>
              <w:rPr>
                <w:bCs/>
                <w:sz w:val="24"/>
              </w:rPr>
              <w:t>本项目</w:t>
            </w:r>
            <w:r>
              <w:rPr>
                <w:rFonts w:hint="eastAsia"/>
                <w:bCs/>
                <w:sz w:val="24"/>
                <w:lang w:eastAsia="zh-CN"/>
              </w:rPr>
              <w:t>所在地</w:t>
            </w:r>
            <w:r>
              <w:rPr>
                <w:bCs/>
                <w:sz w:val="24"/>
              </w:rPr>
              <w:t>周边污水管网已铺设到位</w:t>
            </w:r>
            <w:r>
              <w:rPr>
                <w:rFonts w:hint="eastAsia"/>
                <w:bCs/>
                <w:sz w:val="24"/>
              </w:rPr>
              <w:t>，满足接管条件。</w:t>
            </w:r>
          </w:p>
          <w:p>
            <w:pPr>
              <w:keepNext w:val="0"/>
              <w:keepLines w:val="0"/>
              <w:suppressLineNumbers w:val="0"/>
              <w:tabs>
                <w:tab w:val="left" w:pos="1014"/>
              </w:tabs>
              <w:spacing w:before="0" w:beforeAutospacing="0" w:after="0" w:afterAutospacing="0" w:line="360" w:lineRule="auto"/>
              <w:ind w:left="0" w:right="0" w:firstLine="480" w:firstLineChars="200"/>
              <w:rPr>
                <w:sz w:val="24"/>
              </w:rPr>
            </w:pPr>
            <w:r>
              <w:rPr>
                <w:sz w:val="24"/>
              </w:rPr>
              <w:t>综上所述，本项目废水接管至武南污水处理厂处理是可行的。</w:t>
            </w:r>
          </w:p>
          <w:p>
            <w:pPr>
              <w:keepNext w:val="0"/>
              <w:keepLines w:val="0"/>
              <w:suppressLineNumbers w:val="0"/>
              <w:tabs>
                <w:tab w:val="left" w:pos="1014"/>
              </w:tabs>
              <w:spacing w:before="0" w:beforeAutospacing="0" w:after="0" w:afterAutospacing="0" w:line="360" w:lineRule="auto"/>
              <w:ind w:left="0" w:right="0" w:firstLine="482" w:firstLineChars="200"/>
              <w:rPr>
                <w:b/>
                <w:bCs/>
                <w:sz w:val="24"/>
              </w:rPr>
            </w:pPr>
            <w:r>
              <w:rPr>
                <w:rFonts w:hint="eastAsia"/>
                <w:b/>
                <w:bCs/>
                <w:sz w:val="24"/>
              </w:rPr>
              <w:t>（3）</w:t>
            </w:r>
            <w:r>
              <w:rPr>
                <w:b/>
                <w:bCs/>
                <w:sz w:val="24"/>
              </w:rPr>
              <w:t>地表水环境影响分析</w:t>
            </w:r>
          </w:p>
          <w:p>
            <w:pPr>
              <w:pStyle w:val="5"/>
              <w:keepNext w:val="0"/>
              <w:keepLines w:val="0"/>
              <w:suppressLineNumbers w:val="0"/>
              <w:spacing w:before="0" w:beforeAutospacing="0" w:after="0" w:afterAutospacing="0" w:line="360" w:lineRule="auto"/>
              <w:ind w:left="0" w:right="0" w:firstLine="480" w:firstLineChars="200"/>
              <w:jc w:val="left"/>
              <w:rPr>
                <w:rFonts w:ascii="Times New Roman" w:hAnsi="Times New Roman"/>
                <w:sz w:val="24"/>
              </w:rPr>
            </w:pPr>
            <w:r>
              <w:rPr>
                <w:sz w:val="24"/>
              </w:rPr>
              <w:t>项</w:t>
            </w:r>
            <w:r>
              <w:rPr>
                <w:rFonts w:ascii="Times New Roman"/>
                <w:sz w:val="24"/>
              </w:rPr>
              <w:t>目厂区排水实施</w:t>
            </w:r>
            <w:r>
              <w:rPr>
                <w:rFonts w:ascii="Times New Roman" w:hAnsi="Times New Roman"/>
                <w:sz w:val="24"/>
              </w:rPr>
              <w:t>“</w:t>
            </w:r>
            <w:r>
              <w:rPr>
                <w:rFonts w:ascii="Times New Roman"/>
                <w:sz w:val="24"/>
              </w:rPr>
              <w:t>雨污分流</w:t>
            </w:r>
            <w:r>
              <w:rPr>
                <w:rFonts w:ascii="Times New Roman" w:hAnsi="Times New Roman"/>
                <w:sz w:val="24"/>
              </w:rPr>
              <w:t>”</w:t>
            </w:r>
            <w:r>
              <w:rPr>
                <w:rFonts w:ascii="Times New Roman"/>
                <w:sz w:val="24"/>
              </w:rPr>
              <w:t>，雨水经雨水管网收集后排入附近水体。</w:t>
            </w:r>
          </w:p>
          <w:p>
            <w:pPr>
              <w:pStyle w:val="5"/>
              <w:keepNext w:val="0"/>
              <w:keepLines w:val="0"/>
              <w:suppressLineNumbers w:val="0"/>
              <w:spacing w:before="0" w:beforeAutospacing="0" w:after="0" w:afterAutospacing="0" w:line="360" w:lineRule="auto"/>
              <w:ind w:left="0" w:right="0" w:firstLine="480" w:firstLineChars="200"/>
              <w:jc w:val="left"/>
              <w:rPr>
                <w:rFonts w:ascii="Times New Roman" w:hAnsi="Times New Roman"/>
                <w:sz w:val="24"/>
              </w:rPr>
            </w:pPr>
            <w:r>
              <w:rPr>
                <w:rFonts w:ascii="Times New Roman"/>
                <w:sz w:val="24"/>
              </w:rPr>
              <w:t>本项目生活污水接管量</w:t>
            </w:r>
            <w:r>
              <w:rPr>
                <w:rFonts w:hint="eastAsia" w:ascii="Times New Roman" w:hAnsi="Times New Roman"/>
                <w:sz w:val="24"/>
              </w:rPr>
              <w:t>2880</w:t>
            </w:r>
            <w:r>
              <w:rPr>
                <w:rFonts w:ascii="Times New Roman" w:hAnsi="Times New Roman"/>
                <w:sz w:val="24"/>
              </w:rPr>
              <w:t>t/a</w:t>
            </w:r>
            <w:r>
              <w:rPr>
                <w:rFonts w:ascii="Times New Roman"/>
                <w:sz w:val="24"/>
              </w:rPr>
              <w:t>，其中</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的产生浓度分别为</w:t>
            </w:r>
            <w:r>
              <w:rPr>
                <w:rFonts w:ascii="Times New Roman" w:hAnsi="Times New Roman"/>
                <w:sz w:val="24"/>
              </w:rPr>
              <w:t>400mg/L</w:t>
            </w:r>
            <w:r>
              <w:rPr>
                <w:rFonts w:ascii="Times New Roman"/>
                <w:sz w:val="24"/>
              </w:rPr>
              <w:t>、</w:t>
            </w:r>
            <w:r>
              <w:rPr>
                <w:rFonts w:ascii="Times New Roman" w:hAnsi="Times New Roman"/>
                <w:sz w:val="24"/>
              </w:rPr>
              <w:t>300mg/L</w:t>
            </w:r>
            <w:r>
              <w:rPr>
                <w:rFonts w:ascii="Times New Roman"/>
                <w:sz w:val="24"/>
              </w:rPr>
              <w:t>、</w:t>
            </w:r>
            <w:r>
              <w:rPr>
                <w:rFonts w:ascii="Times New Roman" w:hAnsi="Times New Roman"/>
                <w:sz w:val="24"/>
              </w:rPr>
              <w:t>25mg/L</w:t>
            </w:r>
            <w:r>
              <w:rPr>
                <w:rFonts w:ascii="Times New Roman"/>
                <w:sz w:val="24"/>
              </w:rPr>
              <w:t>、</w:t>
            </w:r>
            <w:r>
              <w:rPr>
                <w:rFonts w:ascii="Times New Roman" w:hAnsi="Times New Roman"/>
                <w:sz w:val="24"/>
              </w:rPr>
              <w:t>5mg/L</w:t>
            </w:r>
            <w:r>
              <w:rPr>
                <w:rFonts w:ascii="Times New Roman"/>
                <w:sz w:val="24"/>
              </w:rPr>
              <w:t>、</w:t>
            </w:r>
            <w:r>
              <w:rPr>
                <w:rFonts w:ascii="Times New Roman" w:hAnsi="Times New Roman"/>
                <w:sz w:val="24"/>
              </w:rPr>
              <w:t>50mg/L</w:t>
            </w:r>
            <w:r>
              <w:rPr>
                <w:rFonts w:ascii="Times New Roman"/>
                <w:sz w:val="24"/>
              </w:rPr>
              <w:t>，</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排放量分别为</w:t>
            </w:r>
            <w:r>
              <w:rPr>
                <w:rFonts w:hint="eastAsia" w:ascii="Times New Roman" w:hAnsi="Times New Roman"/>
                <w:sz w:val="24"/>
              </w:rPr>
              <w:t>1.152</w:t>
            </w:r>
            <w:r>
              <w:rPr>
                <w:rFonts w:ascii="Times New Roman" w:hAnsi="Times New Roman"/>
                <w:sz w:val="24"/>
              </w:rPr>
              <w:t>t/a</w:t>
            </w:r>
            <w:r>
              <w:rPr>
                <w:rFonts w:ascii="Times New Roman"/>
                <w:sz w:val="24"/>
              </w:rPr>
              <w:t>、</w:t>
            </w:r>
            <w:r>
              <w:rPr>
                <w:rFonts w:hint="eastAsia" w:ascii="Times New Roman" w:hAnsi="Times New Roman"/>
                <w:sz w:val="24"/>
              </w:rPr>
              <w:t>0.864</w:t>
            </w:r>
            <w:r>
              <w:rPr>
                <w:rFonts w:ascii="Times New Roman" w:hAnsi="Times New Roman"/>
                <w:sz w:val="24"/>
              </w:rPr>
              <w:t>t/a</w:t>
            </w:r>
            <w:r>
              <w:rPr>
                <w:rFonts w:ascii="Times New Roman"/>
                <w:sz w:val="24"/>
              </w:rPr>
              <w:t>、</w:t>
            </w:r>
            <w:r>
              <w:rPr>
                <w:rFonts w:hint="eastAsia" w:ascii="Times New Roman" w:hAnsi="Times New Roman"/>
                <w:sz w:val="24"/>
              </w:rPr>
              <w:t>0.072</w:t>
            </w:r>
            <w:r>
              <w:rPr>
                <w:rFonts w:ascii="Times New Roman" w:hAnsi="Times New Roman"/>
                <w:sz w:val="24"/>
              </w:rPr>
              <w:t>t/a</w:t>
            </w:r>
            <w:r>
              <w:rPr>
                <w:rFonts w:ascii="Times New Roman"/>
                <w:sz w:val="24"/>
              </w:rPr>
              <w:t>、</w:t>
            </w:r>
            <w:r>
              <w:rPr>
                <w:rFonts w:ascii="Times New Roman" w:hAnsi="Times New Roman"/>
                <w:sz w:val="24"/>
              </w:rPr>
              <w:t>0.0</w:t>
            </w:r>
            <w:r>
              <w:rPr>
                <w:rFonts w:hint="eastAsia" w:ascii="Times New Roman" w:hAnsi="Times New Roman"/>
                <w:sz w:val="24"/>
              </w:rPr>
              <w:t>144</w:t>
            </w:r>
            <w:r>
              <w:rPr>
                <w:rFonts w:ascii="Times New Roman" w:hAnsi="Times New Roman"/>
                <w:sz w:val="24"/>
              </w:rPr>
              <w:t>t/a</w:t>
            </w:r>
            <w:r>
              <w:rPr>
                <w:rFonts w:ascii="Times New Roman"/>
                <w:sz w:val="24"/>
              </w:rPr>
              <w:t>、</w:t>
            </w:r>
            <w:r>
              <w:rPr>
                <w:rFonts w:ascii="Times New Roman" w:hAnsi="Times New Roman"/>
                <w:sz w:val="24"/>
              </w:rPr>
              <w:t>0.</w:t>
            </w:r>
            <w:r>
              <w:rPr>
                <w:rFonts w:hint="eastAsia" w:ascii="Times New Roman" w:hAnsi="Times New Roman"/>
                <w:sz w:val="24"/>
              </w:rPr>
              <w:t>144</w:t>
            </w:r>
            <w:r>
              <w:rPr>
                <w:rFonts w:ascii="Times New Roman" w:hAnsi="Times New Roman"/>
                <w:sz w:val="24"/>
              </w:rPr>
              <w:t>t/a</w:t>
            </w:r>
            <w:r>
              <w:rPr>
                <w:rFonts w:ascii="Times New Roman"/>
                <w:sz w:val="24"/>
              </w:rPr>
              <w:t>。食堂废水接管量</w:t>
            </w:r>
            <w:r>
              <w:rPr>
                <w:rFonts w:hint="eastAsia" w:ascii="Times New Roman" w:hAnsi="Times New Roman"/>
                <w:sz w:val="24"/>
                <w:lang w:val="en-US" w:eastAsia="zh-CN"/>
              </w:rPr>
              <w:t>576</w:t>
            </w:r>
            <w:r>
              <w:rPr>
                <w:rFonts w:ascii="Times New Roman" w:hAnsi="Times New Roman"/>
                <w:sz w:val="24"/>
              </w:rPr>
              <w:t>t/a</w:t>
            </w:r>
            <w:r>
              <w:rPr>
                <w:rFonts w:ascii="Times New Roman"/>
                <w:sz w:val="24"/>
              </w:rPr>
              <w:t>，其中</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、动植物油的产生浓度分别为</w:t>
            </w:r>
            <w:r>
              <w:rPr>
                <w:rFonts w:ascii="Times New Roman" w:hAnsi="Times New Roman"/>
                <w:sz w:val="24"/>
              </w:rPr>
              <w:t>400mg/L</w:t>
            </w:r>
            <w:r>
              <w:rPr>
                <w:rFonts w:ascii="Times New Roman"/>
                <w:sz w:val="24"/>
              </w:rPr>
              <w:t>、</w:t>
            </w:r>
            <w:r>
              <w:rPr>
                <w:rFonts w:ascii="Times New Roman" w:hAnsi="Times New Roman"/>
                <w:sz w:val="24"/>
              </w:rPr>
              <w:t>300mg/L</w:t>
            </w:r>
            <w:r>
              <w:rPr>
                <w:rFonts w:ascii="Times New Roman"/>
                <w:sz w:val="24"/>
              </w:rPr>
              <w:t>、</w:t>
            </w:r>
            <w:r>
              <w:rPr>
                <w:rFonts w:ascii="Times New Roman" w:hAnsi="Times New Roman"/>
                <w:sz w:val="24"/>
              </w:rPr>
              <w:t>25mg/L</w:t>
            </w:r>
            <w:r>
              <w:rPr>
                <w:rFonts w:ascii="Times New Roman"/>
                <w:sz w:val="24"/>
              </w:rPr>
              <w:t>、</w:t>
            </w:r>
            <w:r>
              <w:rPr>
                <w:rFonts w:ascii="Times New Roman" w:hAnsi="Times New Roman"/>
                <w:sz w:val="24"/>
              </w:rPr>
              <w:t>5mg/L</w:t>
            </w:r>
            <w:r>
              <w:rPr>
                <w:rFonts w:ascii="Times New Roman"/>
                <w:sz w:val="24"/>
              </w:rPr>
              <w:t>、</w:t>
            </w:r>
            <w:r>
              <w:rPr>
                <w:rFonts w:ascii="Times New Roman" w:hAnsi="Times New Roman"/>
                <w:sz w:val="24"/>
              </w:rPr>
              <w:t>50mg/L</w:t>
            </w:r>
            <w:r>
              <w:rPr>
                <w:rFonts w:ascii="Times New Roman"/>
                <w:sz w:val="24"/>
              </w:rPr>
              <w:t>，</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、动植物油排放量分别为</w:t>
            </w:r>
            <w:r>
              <w:rPr>
                <w:rFonts w:hint="eastAsia" w:ascii="Times New Roman" w:hAnsi="Times New Roman"/>
                <w:sz w:val="24"/>
              </w:rPr>
              <w:t>0.</w:t>
            </w:r>
            <w:r>
              <w:rPr>
                <w:rFonts w:hint="eastAsia" w:ascii="Times New Roman" w:hAnsi="Times New Roman"/>
                <w:sz w:val="24"/>
                <w:lang w:val="en-US" w:eastAsia="zh-CN"/>
              </w:rPr>
              <w:t>23</w:t>
            </w:r>
            <w:r>
              <w:rPr>
                <w:rFonts w:ascii="Times New Roman" w:hAnsi="Times New Roman"/>
                <w:sz w:val="24"/>
              </w:rPr>
              <w:t>t/a</w:t>
            </w:r>
            <w:r>
              <w:rPr>
                <w:rFonts w:ascii="Times New Roman"/>
                <w:sz w:val="24"/>
              </w:rPr>
              <w:t>、</w:t>
            </w:r>
            <w:r>
              <w:rPr>
                <w:rFonts w:hint="eastAsia" w:ascii="Times New Roman" w:hAnsi="Times New Roman"/>
                <w:sz w:val="24"/>
              </w:rPr>
              <w:t>0.</w:t>
            </w:r>
            <w:r>
              <w:rPr>
                <w:rFonts w:hint="eastAsia" w:ascii="Times New Roman" w:hAnsi="Times New Roman"/>
                <w:sz w:val="24"/>
                <w:lang w:val="en-US" w:eastAsia="zh-CN"/>
              </w:rPr>
              <w:t>173</w:t>
            </w:r>
            <w:r>
              <w:rPr>
                <w:rFonts w:ascii="Times New Roman" w:hAnsi="Times New Roman"/>
                <w:sz w:val="24"/>
              </w:rPr>
              <w:t>t/a</w:t>
            </w:r>
            <w:r>
              <w:rPr>
                <w:rFonts w:ascii="Times New Roman"/>
                <w:sz w:val="24"/>
              </w:rPr>
              <w:t>、</w:t>
            </w:r>
            <w:r>
              <w:rPr>
                <w:rFonts w:hint="eastAsia" w:ascii="Times New Roman" w:hAnsi="Times New Roman"/>
                <w:sz w:val="24"/>
              </w:rPr>
              <w:t>0.0</w:t>
            </w:r>
            <w:r>
              <w:rPr>
                <w:rFonts w:hint="eastAsia" w:ascii="Times New Roman" w:hAnsi="Times New Roman"/>
                <w:sz w:val="24"/>
                <w:lang w:val="en-US" w:eastAsia="zh-CN"/>
              </w:rPr>
              <w:t>144</w:t>
            </w:r>
            <w:r>
              <w:rPr>
                <w:rFonts w:ascii="Times New Roman" w:hAnsi="Times New Roman"/>
                <w:sz w:val="24"/>
              </w:rPr>
              <w:t>t/a</w:t>
            </w:r>
            <w:r>
              <w:rPr>
                <w:rFonts w:ascii="Times New Roman"/>
                <w:sz w:val="24"/>
              </w:rPr>
              <w:t>、</w:t>
            </w:r>
            <w:r>
              <w:rPr>
                <w:rFonts w:ascii="Times New Roman" w:hAnsi="Times New Roman"/>
                <w:sz w:val="24"/>
              </w:rPr>
              <w:t>0.</w:t>
            </w:r>
            <w:r>
              <w:rPr>
                <w:rFonts w:hint="eastAsia" w:ascii="Times New Roman" w:hAnsi="Times New Roman"/>
                <w:sz w:val="24"/>
              </w:rPr>
              <w:t>0</w:t>
            </w:r>
            <w:r>
              <w:rPr>
                <w:rFonts w:ascii="Times New Roman" w:hAnsi="Times New Roman"/>
                <w:sz w:val="24"/>
              </w:rPr>
              <w:t>0</w:t>
            </w:r>
            <w:r>
              <w:rPr>
                <w:rFonts w:hint="eastAsia" w:ascii="Times New Roman" w:hAnsi="Times New Roman"/>
                <w:sz w:val="24"/>
                <w:lang w:val="en-US" w:eastAsia="zh-CN"/>
              </w:rPr>
              <w:t>288</w:t>
            </w:r>
            <w:r>
              <w:rPr>
                <w:rFonts w:ascii="Times New Roman" w:hAnsi="Times New Roman"/>
                <w:sz w:val="24"/>
              </w:rPr>
              <w:t>t/a</w:t>
            </w:r>
            <w:r>
              <w:rPr>
                <w:rFonts w:ascii="Times New Roman"/>
                <w:sz w:val="24"/>
              </w:rPr>
              <w:t>、</w:t>
            </w:r>
            <w:r>
              <w:rPr>
                <w:rFonts w:ascii="Times New Roman" w:hAnsi="Times New Roman"/>
                <w:sz w:val="24"/>
              </w:rPr>
              <w:t>0.</w:t>
            </w:r>
            <w:r>
              <w:rPr>
                <w:rFonts w:hint="eastAsia" w:ascii="Times New Roman" w:hAnsi="Times New Roman"/>
                <w:sz w:val="24"/>
              </w:rPr>
              <w:t>0</w:t>
            </w:r>
            <w:r>
              <w:rPr>
                <w:rFonts w:hint="eastAsia" w:ascii="Times New Roman" w:hAnsi="Times New Roman"/>
                <w:sz w:val="24"/>
                <w:lang w:val="en-US" w:eastAsia="zh-CN"/>
              </w:rPr>
              <w:t>288</w:t>
            </w:r>
            <w:r>
              <w:rPr>
                <w:rFonts w:ascii="Times New Roman" w:hAnsi="Times New Roman"/>
                <w:sz w:val="24"/>
              </w:rPr>
              <w:t>t/a</w:t>
            </w:r>
            <w:r>
              <w:rPr>
                <w:rFonts w:ascii="Times New Roman"/>
                <w:sz w:val="24"/>
              </w:rPr>
              <w:t>、动植物油</w:t>
            </w:r>
            <w:r>
              <w:rPr>
                <w:rFonts w:ascii="Times New Roman" w:hAnsi="Times New Roman"/>
                <w:sz w:val="24"/>
              </w:rPr>
              <w:t>0.0</w:t>
            </w:r>
            <w:r>
              <w:rPr>
                <w:rFonts w:hint="eastAsia" w:ascii="Times New Roman" w:hAnsi="Times New Roman"/>
                <w:sz w:val="24"/>
                <w:lang w:val="en-US" w:eastAsia="zh-CN"/>
              </w:rPr>
              <w:t>23</w:t>
            </w:r>
            <w:r>
              <w:rPr>
                <w:rFonts w:ascii="Times New Roman" w:hAnsi="Times New Roman"/>
                <w:sz w:val="24"/>
              </w:rPr>
              <w:t>t/a</w:t>
            </w:r>
            <w:r>
              <w:rPr>
                <w:rFonts w:ascii="Times New Roman"/>
                <w:sz w:val="24"/>
              </w:rPr>
              <w:t>。符合《污水排入城镇下水道水质标准》（</w:t>
            </w:r>
            <w:r>
              <w:rPr>
                <w:rFonts w:ascii="Times New Roman" w:hAnsi="Times New Roman"/>
                <w:sz w:val="24"/>
              </w:rPr>
              <w:t>GB/T 31962-2015</w:t>
            </w:r>
            <w:r>
              <w:rPr>
                <w:rFonts w:ascii="Times New Roman"/>
                <w:sz w:val="24"/>
              </w:rPr>
              <w:t>）表</w:t>
            </w:r>
            <w:r>
              <w:rPr>
                <w:rFonts w:ascii="Times New Roman" w:hAnsi="Times New Roman"/>
                <w:sz w:val="24"/>
              </w:rPr>
              <w:t>1B</w:t>
            </w:r>
            <w:r>
              <w:rPr>
                <w:rFonts w:ascii="Times New Roman"/>
                <w:sz w:val="24"/>
              </w:rPr>
              <w:t>等级标准，</w:t>
            </w:r>
            <w:r>
              <w:rPr>
                <w:rFonts w:hint="eastAsia" w:ascii="Times New Roman"/>
                <w:sz w:val="24"/>
              </w:rPr>
              <w:t>食堂废水经隔油池处理后与</w:t>
            </w:r>
            <w:r>
              <w:rPr>
                <w:rFonts w:ascii="Times New Roman"/>
                <w:sz w:val="24"/>
              </w:rPr>
              <w:t>生活污水接入污水管网经武南污水处理厂集中处理，达标尾</w:t>
            </w:r>
            <w:r>
              <w:rPr>
                <w:rFonts w:ascii="Times New Roman" w:hAnsi="Times New Roman"/>
                <w:sz w:val="24"/>
              </w:rPr>
              <w:t>水排放至武南河。</w:t>
            </w:r>
          </w:p>
          <w:p>
            <w:pPr>
              <w:pStyle w:val="5"/>
              <w:keepNext w:val="0"/>
              <w:keepLines w:val="0"/>
              <w:suppressLineNumbers w:val="0"/>
              <w:spacing w:before="0" w:beforeAutospacing="0" w:after="0" w:afterAutospacing="0" w:line="360" w:lineRule="auto"/>
              <w:ind w:left="0" w:right="0" w:firstLine="480" w:firstLineChars="200"/>
              <w:jc w:val="left"/>
            </w:pPr>
            <w:r>
              <w:rPr>
                <w:rFonts w:ascii="Times New Roman"/>
                <w:sz w:val="24"/>
              </w:rPr>
              <w:t>本项目建成后食堂废水和生活污水排放量为</w:t>
            </w:r>
            <w:r>
              <w:rPr>
                <w:rFonts w:hint="eastAsia" w:ascii="Times New Roman" w:hAnsi="Times New Roman"/>
                <w:sz w:val="24"/>
                <w:lang w:val="en-US" w:eastAsia="zh-CN"/>
              </w:rPr>
              <w:t>11.52</w:t>
            </w:r>
            <w:r>
              <w:rPr>
                <w:rFonts w:ascii="Times New Roman" w:hAnsi="Times New Roman"/>
                <w:sz w:val="24"/>
              </w:rPr>
              <w:t>t/d</w:t>
            </w:r>
            <w:r>
              <w:rPr>
                <w:rFonts w:ascii="Times New Roman"/>
                <w:sz w:val="24"/>
              </w:rPr>
              <w:t>，武南污水处理厂尚有能力接纳本项目废水，从接管量上接管可行。污水水质简单，废水中的污染物浓度低，可生化性好，经武南污水处理厂处理达标后排放，对受纳水体武南河影</w:t>
            </w:r>
            <w:r>
              <w:rPr>
                <w:sz w:val="24"/>
              </w:rPr>
              <w:t>响很小，水质功能可维持现状。</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本项目废水类别、污染物及污染治理设施信息表见下表。</w:t>
            </w: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p>
          <w:p>
            <w:pPr>
              <w:pStyle w:val="2"/>
              <w:keepNext w:val="0"/>
              <w:keepLines w:val="0"/>
              <w:suppressLineNumbers w:val="0"/>
              <w:spacing w:before="0" w:beforeAutospacing="0" w:after="0" w:afterAutospacing="0"/>
              <w:ind w:left="0" w:leftChars="0" w:right="0" w:rightChars="0"/>
              <w:jc w:val="center"/>
              <w:rPr>
                <w:rFonts w:ascii="Times New Roman"/>
                <w:b/>
                <w:sz w:val="24"/>
              </w:rPr>
            </w:pPr>
            <w:r>
              <w:rPr>
                <w:rFonts w:ascii="Times New Roman"/>
                <w:b/>
                <w:sz w:val="24"/>
              </w:rPr>
              <w:t>表</w:t>
            </w:r>
            <w:r>
              <w:rPr>
                <w:rFonts w:ascii="Times New Roman" w:hAnsi="Times New Roman"/>
                <w:b/>
                <w:sz w:val="24"/>
              </w:rPr>
              <w:t>4-1</w:t>
            </w:r>
            <w:r>
              <w:rPr>
                <w:rFonts w:hint="eastAsia" w:ascii="Times New Roman" w:hAnsi="Times New Roman"/>
                <w:b/>
                <w:sz w:val="24"/>
              </w:rPr>
              <w:t>3</w:t>
            </w:r>
            <w:r>
              <w:rPr>
                <w:rFonts w:ascii="Times New Roman" w:hAnsi="Times New Roman"/>
                <w:b/>
                <w:sz w:val="24"/>
              </w:rPr>
              <w:t xml:space="preserve"> </w:t>
            </w:r>
            <w:r>
              <w:rPr>
                <w:rFonts w:ascii="Times New Roman"/>
                <w:b/>
                <w:sz w:val="24"/>
              </w:rPr>
              <w:t>废水类别、污染物及污染治理设施信息表</w:t>
            </w:r>
          </w:p>
          <w:tbl>
            <w:tblPr>
              <w:tblStyle w:val="22"/>
              <w:tblW w:w="80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1" w:type="dxa"/>
                <w:bottom w:w="0" w:type="dxa"/>
                <w:right w:w="51" w:type="dxa"/>
              </w:tblCellMar>
            </w:tblPr>
            <w:tblGrid>
              <w:gridCol w:w="357"/>
              <w:gridCol w:w="638"/>
              <w:gridCol w:w="764"/>
              <w:gridCol w:w="654"/>
              <w:gridCol w:w="765"/>
              <w:gridCol w:w="605"/>
              <w:gridCol w:w="605"/>
              <w:gridCol w:w="606"/>
              <w:gridCol w:w="819"/>
              <w:gridCol w:w="684"/>
              <w:gridCol w:w="15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357"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序号</w:t>
                  </w:r>
                </w:p>
              </w:tc>
              <w:tc>
                <w:tcPr>
                  <w:tcW w:w="638"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废水类型</w:t>
                  </w:r>
                </w:p>
              </w:tc>
              <w:tc>
                <w:tcPr>
                  <w:tcW w:w="764"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污染物种类</w:t>
                  </w:r>
                </w:p>
              </w:tc>
              <w:tc>
                <w:tcPr>
                  <w:tcW w:w="654"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排放去向</w:t>
                  </w:r>
                </w:p>
              </w:tc>
              <w:tc>
                <w:tcPr>
                  <w:tcW w:w="765"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排放</w:t>
                  </w:r>
                </w:p>
                <w:p>
                  <w:pPr>
                    <w:keepNext w:val="0"/>
                    <w:keepLines w:val="0"/>
                    <w:suppressLineNumbers w:val="0"/>
                    <w:spacing w:before="0" w:beforeAutospacing="0" w:after="0" w:afterAutospacing="0" w:line="280" w:lineRule="exact"/>
                    <w:ind w:left="0" w:right="0"/>
                    <w:jc w:val="center"/>
                    <w:rPr>
                      <w:b/>
                      <w:bCs/>
                      <w:szCs w:val="21"/>
                    </w:rPr>
                  </w:pPr>
                  <w:r>
                    <w:rPr>
                      <w:b/>
                      <w:bCs/>
                      <w:szCs w:val="21"/>
                    </w:rPr>
                    <w:t>规律</w:t>
                  </w:r>
                </w:p>
              </w:tc>
              <w:tc>
                <w:tcPr>
                  <w:tcW w:w="1816" w:type="dxa"/>
                  <w:gridSpan w:val="3"/>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污染治理设施</w:t>
                  </w:r>
                </w:p>
              </w:tc>
              <w:tc>
                <w:tcPr>
                  <w:tcW w:w="819" w:type="dxa"/>
                  <w:vMerge w:val="restart"/>
                  <w:vAlign w:val="center"/>
                </w:tcPr>
                <w:p>
                  <w:pPr>
                    <w:keepNext w:val="0"/>
                    <w:keepLines w:val="0"/>
                    <w:suppressLineNumbers w:val="0"/>
                    <w:spacing w:before="120" w:beforeAutospacing="0" w:after="0" w:afterAutospacing="0" w:line="280" w:lineRule="exact"/>
                    <w:ind w:left="0" w:right="0"/>
                    <w:jc w:val="center"/>
                    <w:rPr>
                      <w:b/>
                      <w:bCs/>
                      <w:szCs w:val="21"/>
                    </w:rPr>
                  </w:pPr>
                  <w:r>
                    <w:rPr>
                      <w:b/>
                      <w:bCs/>
                      <w:szCs w:val="21"/>
                    </w:rPr>
                    <w:t>排放口编号</w:t>
                  </w:r>
                </w:p>
              </w:tc>
              <w:tc>
                <w:tcPr>
                  <w:tcW w:w="684" w:type="dxa"/>
                  <w:vMerge w:val="restart"/>
                  <w:vAlign w:val="center"/>
                </w:tcPr>
                <w:p>
                  <w:pPr>
                    <w:keepNext w:val="0"/>
                    <w:keepLines w:val="0"/>
                    <w:suppressLineNumbers w:val="0"/>
                    <w:spacing w:before="120" w:beforeAutospacing="0" w:after="0" w:afterAutospacing="0" w:line="280" w:lineRule="exact"/>
                    <w:ind w:left="0" w:right="0"/>
                    <w:jc w:val="center"/>
                    <w:rPr>
                      <w:b/>
                      <w:bCs/>
                      <w:szCs w:val="21"/>
                    </w:rPr>
                  </w:pPr>
                  <w:r>
                    <w:rPr>
                      <w:b/>
                      <w:bCs/>
                      <w:szCs w:val="21"/>
                    </w:rPr>
                    <w:t>排放口设置是否符合要求</w:t>
                  </w:r>
                </w:p>
              </w:tc>
              <w:tc>
                <w:tcPr>
                  <w:tcW w:w="1584" w:type="dxa"/>
                  <w:vMerge w:val="restart"/>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568" w:hRule="atLeast"/>
                <w:jc w:val="center"/>
              </w:trPr>
              <w:tc>
                <w:tcPr>
                  <w:tcW w:w="357" w:type="dxa"/>
                  <w:vMerge w:val="continue"/>
                  <w:vAlign w:val="center"/>
                </w:tcPr>
                <w:p>
                  <w:pPr>
                    <w:keepNext w:val="0"/>
                    <w:keepLines w:val="0"/>
                    <w:suppressLineNumbers w:val="0"/>
                    <w:spacing w:before="0" w:beforeAutospacing="0" w:after="0" w:afterAutospacing="0"/>
                    <w:ind w:left="0" w:right="0"/>
                    <w:rPr>
                      <w:b/>
                      <w:bCs/>
                      <w:sz w:val="20"/>
                    </w:rPr>
                  </w:pPr>
                </w:p>
              </w:tc>
              <w:tc>
                <w:tcPr>
                  <w:tcW w:w="638" w:type="dxa"/>
                  <w:vMerge w:val="continue"/>
                  <w:vAlign w:val="center"/>
                </w:tcPr>
                <w:p>
                  <w:pPr>
                    <w:keepNext w:val="0"/>
                    <w:keepLines w:val="0"/>
                    <w:suppressLineNumbers w:val="0"/>
                    <w:spacing w:before="0" w:beforeAutospacing="0" w:after="0" w:afterAutospacing="0"/>
                    <w:ind w:left="0" w:right="0"/>
                    <w:rPr>
                      <w:b/>
                      <w:bCs/>
                      <w:sz w:val="20"/>
                    </w:rPr>
                  </w:pPr>
                </w:p>
              </w:tc>
              <w:tc>
                <w:tcPr>
                  <w:tcW w:w="764" w:type="dxa"/>
                  <w:vMerge w:val="continue"/>
                  <w:vAlign w:val="center"/>
                </w:tcPr>
                <w:p>
                  <w:pPr>
                    <w:keepNext w:val="0"/>
                    <w:keepLines w:val="0"/>
                    <w:suppressLineNumbers w:val="0"/>
                    <w:spacing w:before="0" w:beforeAutospacing="0" w:after="0" w:afterAutospacing="0"/>
                    <w:ind w:left="0" w:right="0"/>
                    <w:rPr>
                      <w:b/>
                      <w:bCs/>
                      <w:sz w:val="20"/>
                    </w:rPr>
                  </w:pPr>
                </w:p>
              </w:tc>
              <w:tc>
                <w:tcPr>
                  <w:tcW w:w="654" w:type="dxa"/>
                  <w:vMerge w:val="continue"/>
                  <w:vAlign w:val="center"/>
                </w:tcPr>
                <w:p>
                  <w:pPr>
                    <w:keepNext w:val="0"/>
                    <w:keepLines w:val="0"/>
                    <w:suppressLineNumbers w:val="0"/>
                    <w:spacing w:before="0" w:beforeAutospacing="0" w:after="0" w:afterAutospacing="0"/>
                    <w:ind w:left="0" w:right="0"/>
                    <w:rPr>
                      <w:b/>
                      <w:bCs/>
                      <w:sz w:val="20"/>
                    </w:rPr>
                  </w:pPr>
                </w:p>
              </w:tc>
              <w:tc>
                <w:tcPr>
                  <w:tcW w:w="765" w:type="dxa"/>
                  <w:vMerge w:val="continue"/>
                  <w:vAlign w:val="center"/>
                </w:tcPr>
                <w:p>
                  <w:pPr>
                    <w:keepNext w:val="0"/>
                    <w:keepLines w:val="0"/>
                    <w:suppressLineNumbers w:val="0"/>
                    <w:spacing w:before="0" w:beforeAutospacing="0" w:after="0" w:afterAutospacing="0"/>
                    <w:ind w:left="0" w:right="0"/>
                    <w:rPr>
                      <w:b/>
                      <w:bCs/>
                      <w:sz w:val="20"/>
                    </w:rPr>
                  </w:pPr>
                </w:p>
              </w:tc>
              <w:tc>
                <w:tcPr>
                  <w:tcW w:w="605" w:type="dxa"/>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污染治理设施编号</w:t>
                  </w:r>
                </w:p>
              </w:tc>
              <w:tc>
                <w:tcPr>
                  <w:tcW w:w="605" w:type="dxa"/>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污染治理设施名称</w:t>
                  </w:r>
                </w:p>
              </w:tc>
              <w:tc>
                <w:tcPr>
                  <w:tcW w:w="606" w:type="dxa"/>
                  <w:vAlign w:val="center"/>
                </w:tcPr>
                <w:p>
                  <w:pPr>
                    <w:keepNext w:val="0"/>
                    <w:keepLines w:val="0"/>
                    <w:suppressLineNumbers w:val="0"/>
                    <w:spacing w:before="0" w:beforeAutospacing="0" w:after="0" w:afterAutospacing="0" w:line="280" w:lineRule="exact"/>
                    <w:ind w:left="0" w:right="0"/>
                    <w:jc w:val="center"/>
                    <w:rPr>
                      <w:b/>
                      <w:bCs/>
                      <w:szCs w:val="21"/>
                    </w:rPr>
                  </w:pPr>
                  <w:r>
                    <w:rPr>
                      <w:b/>
                      <w:bCs/>
                      <w:szCs w:val="21"/>
                    </w:rPr>
                    <w:t>污染治理设施工艺</w:t>
                  </w:r>
                </w:p>
              </w:tc>
              <w:tc>
                <w:tcPr>
                  <w:tcW w:w="819" w:type="dxa"/>
                  <w:vMerge w:val="continue"/>
                  <w:vAlign w:val="center"/>
                </w:tcPr>
                <w:p>
                  <w:pPr>
                    <w:keepNext w:val="0"/>
                    <w:keepLines w:val="0"/>
                    <w:suppressLineNumbers w:val="0"/>
                    <w:spacing w:before="0" w:beforeAutospacing="0" w:after="0" w:afterAutospacing="0"/>
                    <w:ind w:left="0" w:right="0"/>
                    <w:rPr>
                      <w:b/>
                      <w:bCs/>
                      <w:sz w:val="20"/>
                    </w:rPr>
                  </w:pPr>
                </w:p>
              </w:tc>
              <w:tc>
                <w:tcPr>
                  <w:tcW w:w="684" w:type="dxa"/>
                  <w:vMerge w:val="continue"/>
                  <w:vAlign w:val="center"/>
                </w:tcPr>
                <w:p>
                  <w:pPr>
                    <w:keepNext w:val="0"/>
                    <w:keepLines w:val="0"/>
                    <w:suppressLineNumbers w:val="0"/>
                    <w:spacing w:before="0" w:beforeAutospacing="0" w:after="0" w:afterAutospacing="0"/>
                    <w:ind w:left="0" w:right="0"/>
                    <w:rPr>
                      <w:b/>
                      <w:bCs/>
                      <w:sz w:val="20"/>
                    </w:rPr>
                  </w:pPr>
                </w:p>
              </w:tc>
              <w:tc>
                <w:tcPr>
                  <w:tcW w:w="1584" w:type="dxa"/>
                  <w:vMerge w:val="continue"/>
                  <w:vAlign w:val="center"/>
                </w:tcPr>
                <w:p>
                  <w:pPr>
                    <w:keepNext w:val="0"/>
                    <w:keepLines w:val="0"/>
                    <w:suppressLineNumbers w:val="0"/>
                    <w:spacing w:before="0" w:beforeAutospacing="0" w:after="0" w:afterAutospacing="0"/>
                    <w:ind w:left="0" w:right="0"/>
                    <w:rPr>
                      <w:b/>
                      <w:bCs/>
                      <w:sz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549" w:hRule="atLeast"/>
                <w:jc w:val="center"/>
              </w:trPr>
              <w:tc>
                <w:tcPr>
                  <w:tcW w:w="357"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1</w:t>
                  </w:r>
                </w:p>
              </w:tc>
              <w:tc>
                <w:tcPr>
                  <w:tcW w:w="638"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生活污水</w:t>
                  </w:r>
                </w:p>
              </w:tc>
              <w:tc>
                <w:tcPr>
                  <w:tcW w:w="76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COD、SS、氨氮、总磷</w:t>
                  </w:r>
                  <w:r>
                    <w:rPr>
                      <w:rFonts w:hint="eastAsia"/>
                      <w:szCs w:val="21"/>
                    </w:rPr>
                    <w:t>、动植物油</w:t>
                  </w:r>
                </w:p>
              </w:tc>
              <w:tc>
                <w:tcPr>
                  <w:tcW w:w="654"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城市污水处理厂</w:t>
                  </w:r>
                </w:p>
              </w:tc>
              <w:tc>
                <w:tcPr>
                  <w:tcW w:w="765"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间断排放，排放期间流量不稳定，但有周期性规律</w:t>
                  </w:r>
                </w:p>
              </w:tc>
              <w:tc>
                <w:tcPr>
                  <w:tcW w:w="605"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w:t>
                  </w:r>
                </w:p>
              </w:tc>
              <w:tc>
                <w:tcPr>
                  <w:tcW w:w="605"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w:t>
                  </w:r>
                </w:p>
              </w:tc>
              <w:tc>
                <w:tcPr>
                  <w:tcW w:w="606" w:type="dxa"/>
                  <w:vAlign w:val="center"/>
                </w:tcPr>
                <w:p>
                  <w:pPr>
                    <w:keepNext w:val="0"/>
                    <w:keepLines w:val="0"/>
                    <w:suppressLineNumbers w:val="0"/>
                    <w:spacing w:before="0" w:beforeAutospacing="0" w:after="0" w:afterAutospacing="0" w:line="280" w:lineRule="exact"/>
                    <w:ind w:left="0" w:right="0"/>
                    <w:jc w:val="center"/>
                    <w:rPr>
                      <w:szCs w:val="21"/>
                    </w:rPr>
                  </w:pPr>
                  <w:r>
                    <w:rPr>
                      <w:szCs w:val="21"/>
                    </w:rPr>
                    <w:t>/</w:t>
                  </w:r>
                </w:p>
              </w:tc>
              <w:tc>
                <w:tcPr>
                  <w:tcW w:w="819" w:type="dxa"/>
                  <w:vAlign w:val="center"/>
                </w:tcPr>
                <w:p>
                  <w:pPr>
                    <w:keepNext w:val="0"/>
                    <w:keepLines w:val="0"/>
                    <w:suppressLineNumbers w:val="0"/>
                    <w:spacing w:before="120" w:beforeAutospacing="0" w:after="0" w:afterAutospacing="0" w:line="280" w:lineRule="exact"/>
                    <w:ind w:left="0" w:right="0"/>
                    <w:jc w:val="center"/>
                    <w:rPr>
                      <w:szCs w:val="21"/>
                    </w:rPr>
                  </w:pPr>
                  <w:r>
                    <w:rPr>
                      <w:szCs w:val="21"/>
                    </w:rPr>
                    <w:t>DW001</w:t>
                  </w:r>
                </w:p>
              </w:tc>
              <w:tc>
                <w:tcPr>
                  <w:tcW w:w="684" w:type="dxa"/>
                  <w:vAlign w:val="center"/>
                </w:tcPr>
                <w:p>
                  <w:pPr>
                    <w:keepNext w:val="0"/>
                    <w:keepLines w:val="0"/>
                    <w:suppressLineNumbers w:val="0"/>
                    <w:spacing w:before="120" w:beforeAutospacing="0" w:after="0" w:afterAutospacing="0" w:line="280" w:lineRule="exact"/>
                    <w:ind w:left="0" w:right="0"/>
                    <w:jc w:val="center"/>
                    <w:rPr>
                      <w:szCs w:val="21"/>
                    </w:rPr>
                  </w:pPr>
                  <w:r>
                    <w:rPr>
                      <w:szCs w:val="21"/>
                    </w:rPr>
                    <w:t>√是</w:t>
                  </w:r>
                </w:p>
                <w:p>
                  <w:pPr>
                    <w:pStyle w:val="87"/>
                    <w:keepNext w:val="0"/>
                    <w:keepLines w:val="0"/>
                    <w:widowControl/>
                    <w:suppressLineNumbers w:val="0"/>
                    <w:spacing w:before="120" w:beforeAutospacing="0" w:after="0" w:afterAutospacing="0" w:line="280" w:lineRule="exact"/>
                    <w:ind w:left="0" w:right="0" w:firstLine="0" w:firstLineChars="0"/>
                    <w:jc w:val="center"/>
                    <w:rPr>
                      <w:szCs w:val="21"/>
                    </w:rPr>
                  </w:pPr>
                  <w:r>
                    <w:rPr>
                      <w:szCs w:val="21"/>
                    </w:rPr>
                    <w:t>□否</w:t>
                  </w:r>
                </w:p>
              </w:tc>
              <w:tc>
                <w:tcPr>
                  <w:tcW w:w="1584" w:type="dxa"/>
                  <w:vAlign w:val="center"/>
                </w:tcPr>
                <w:p>
                  <w:pPr>
                    <w:keepNext w:val="0"/>
                    <w:keepLines w:val="0"/>
                    <w:suppressLineNumbers w:val="0"/>
                    <w:spacing w:before="0" w:beforeAutospacing="0" w:after="0" w:afterAutospacing="0" w:line="280" w:lineRule="exact"/>
                    <w:ind w:left="199" w:right="0" w:hanging="199" w:hangingChars="95"/>
                    <w:jc w:val="left"/>
                    <w:rPr>
                      <w:szCs w:val="21"/>
                    </w:rPr>
                  </w:pPr>
                  <w:r>
                    <w:rPr>
                      <w:szCs w:val="21"/>
                    </w:rPr>
                    <w:t>√企业总排口</w:t>
                  </w:r>
                </w:p>
                <w:p>
                  <w:pPr>
                    <w:keepNext w:val="0"/>
                    <w:keepLines w:val="0"/>
                    <w:suppressLineNumbers w:val="0"/>
                    <w:spacing w:before="0" w:beforeAutospacing="0" w:after="0" w:afterAutospacing="0" w:line="280" w:lineRule="exact"/>
                    <w:ind w:left="199" w:right="0" w:hanging="199" w:hangingChars="95"/>
                    <w:jc w:val="left"/>
                    <w:rPr>
                      <w:szCs w:val="21"/>
                    </w:rPr>
                  </w:pPr>
                  <w:r>
                    <w:rPr>
                      <w:szCs w:val="21"/>
                    </w:rPr>
                    <w:t>□雨水排放口</w:t>
                  </w:r>
                </w:p>
                <w:p>
                  <w:pPr>
                    <w:keepNext w:val="0"/>
                    <w:keepLines w:val="0"/>
                    <w:suppressLineNumbers w:val="0"/>
                    <w:spacing w:before="0" w:beforeAutospacing="0" w:after="0" w:afterAutospacing="0" w:line="280" w:lineRule="exact"/>
                    <w:ind w:left="199" w:right="0" w:hanging="199" w:hangingChars="95"/>
                    <w:jc w:val="left"/>
                    <w:rPr>
                      <w:szCs w:val="21"/>
                    </w:rPr>
                  </w:pPr>
                  <w:r>
                    <w:rPr>
                      <w:szCs w:val="21"/>
                    </w:rPr>
                    <w:t>□清净下水排放口</w:t>
                  </w:r>
                </w:p>
                <w:p>
                  <w:pPr>
                    <w:keepNext w:val="0"/>
                    <w:keepLines w:val="0"/>
                    <w:suppressLineNumbers w:val="0"/>
                    <w:spacing w:before="0" w:beforeAutospacing="0" w:after="0" w:afterAutospacing="0" w:line="280" w:lineRule="exact"/>
                    <w:ind w:left="199" w:right="0" w:hanging="199" w:hangingChars="95"/>
                    <w:jc w:val="left"/>
                    <w:rPr>
                      <w:szCs w:val="21"/>
                    </w:rPr>
                  </w:pPr>
                  <w:r>
                    <w:rPr>
                      <w:szCs w:val="21"/>
                    </w:rPr>
                    <w:t>□温排水排放口</w:t>
                  </w:r>
                </w:p>
                <w:p>
                  <w:pPr>
                    <w:keepNext w:val="0"/>
                    <w:keepLines w:val="0"/>
                    <w:suppressLineNumbers w:val="0"/>
                    <w:spacing w:before="0" w:beforeAutospacing="0" w:after="0" w:afterAutospacing="0" w:line="280" w:lineRule="exact"/>
                    <w:ind w:left="199" w:right="0" w:hanging="199" w:hangingChars="95"/>
                    <w:jc w:val="left"/>
                    <w:rPr>
                      <w:szCs w:val="21"/>
                    </w:rPr>
                  </w:pPr>
                  <w:r>
                    <w:rPr>
                      <w:szCs w:val="21"/>
                    </w:rPr>
                    <w:t>□车间或车间处理设施排放口</w:t>
                  </w:r>
                </w:p>
              </w:tc>
            </w:tr>
          </w:tbl>
          <w:p>
            <w:pPr>
              <w:pStyle w:val="48"/>
              <w:keepNext w:val="0"/>
              <w:keepLines w:val="0"/>
              <w:suppressLineNumbers w:val="0"/>
              <w:spacing w:before="78" w:beforeAutospacing="0" w:after="0" w:afterAutospacing="0"/>
              <w:ind w:left="587" w:right="0"/>
            </w:pPr>
            <w:r>
              <w:t>本项目废水间接排放口基本情况表如下。</w:t>
            </w:r>
          </w:p>
          <w:p>
            <w:pPr>
              <w:pStyle w:val="2"/>
              <w:keepNext w:val="0"/>
              <w:keepLines w:val="0"/>
              <w:suppressLineNumbers w:val="0"/>
              <w:spacing w:before="0" w:beforeAutospacing="0" w:after="0" w:afterAutospacing="0"/>
              <w:ind w:left="0" w:leftChars="0" w:right="0" w:rightChars="0"/>
              <w:jc w:val="center"/>
              <w:rPr>
                <w:b/>
                <w:sz w:val="24"/>
              </w:rPr>
            </w:pPr>
            <w:r>
              <w:rPr>
                <w:rFonts w:ascii="Times New Roman"/>
                <w:b/>
                <w:sz w:val="24"/>
              </w:rPr>
              <w:t>表</w:t>
            </w:r>
            <w:r>
              <w:rPr>
                <w:rFonts w:ascii="Times New Roman" w:hAnsi="Times New Roman"/>
                <w:b/>
                <w:sz w:val="24"/>
              </w:rPr>
              <w:t>4-1</w:t>
            </w:r>
            <w:r>
              <w:rPr>
                <w:rFonts w:hint="eastAsia" w:ascii="Times New Roman" w:hAnsi="Times New Roman"/>
                <w:b/>
                <w:sz w:val="24"/>
              </w:rPr>
              <w:t>4</w:t>
            </w:r>
            <w:r>
              <w:rPr>
                <w:rFonts w:ascii="Times New Roman" w:hAnsi="Times New Roman"/>
                <w:b/>
                <w:sz w:val="24"/>
              </w:rPr>
              <w:t xml:space="preserve"> </w:t>
            </w:r>
            <w:r>
              <w:rPr>
                <w:rFonts w:ascii="Times New Roman"/>
                <w:b/>
                <w:sz w:val="24"/>
              </w:rPr>
              <w:t>废水间</w:t>
            </w:r>
            <w:r>
              <w:rPr>
                <w:b/>
                <w:sz w:val="24"/>
              </w:rPr>
              <w:t>接排放口基本情况表</w:t>
            </w:r>
          </w:p>
          <w:tbl>
            <w:tblPr>
              <w:tblStyle w:val="21"/>
              <w:tblW w:w="812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350"/>
              <w:gridCol w:w="725"/>
              <w:gridCol w:w="848"/>
              <w:gridCol w:w="752"/>
              <w:gridCol w:w="875"/>
              <w:gridCol w:w="687"/>
              <w:gridCol w:w="806"/>
              <w:gridCol w:w="700"/>
              <w:gridCol w:w="671"/>
              <w:gridCol w:w="682"/>
              <w:gridCol w:w="10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50"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序号</w:t>
                  </w:r>
                </w:p>
              </w:tc>
              <w:tc>
                <w:tcPr>
                  <w:tcW w:w="725"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排放口编号</w:t>
                  </w:r>
                </w:p>
              </w:tc>
              <w:tc>
                <w:tcPr>
                  <w:tcW w:w="1600" w:type="dxa"/>
                  <w:gridSpan w:val="2"/>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排放口地理坐标</w:t>
                  </w:r>
                </w:p>
              </w:tc>
              <w:tc>
                <w:tcPr>
                  <w:tcW w:w="875"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废水排放量/（万t/a）</w:t>
                  </w:r>
                </w:p>
              </w:tc>
              <w:tc>
                <w:tcPr>
                  <w:tcW w:w="687"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排放去向</w:t>
                  </w:r>
                </w:p>
              </w:tc>
              <w:tc>
                <w:tcPr>
                  <w:tcW w:w="806"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排放规律</w:t>
                  </w:r>
                </w:p>
              </w:tc>
              <w:tc>
                <w:tcPr>
                  <w:tcW w:w="700"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间歇排放时段</w:t>
                  </w:r>
                </w:p>
              </w:tc>
              <w:tc>
                <w:tcPr>
                  <w:tcW w:w="2380" w:type="dxa"/>
                  <w:gridSpan w:val="3"/>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1576"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848"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经度</w:t>
                  </w:r>
                </w:p>
              </w:tc>
              <w:tc>
                <w:tcPr>
                  <w:tcW w:w="752"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纬度</w:t>
                  </w:r>
                </w:p>
              </w:tc>
              <w:tc>
                <w:tcPr>
                  <w:tcW w:w="875"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jc w:val="center"/>
                    <w:rPr>
                      <w:b/>
                      <w:bCs/>
                      <w:szCs w:val="21"/>
                    </w:rPr>
                  </w:pPr>
                </w:p>
              </w:tc>
              <w:tc>
                <w:tcPr>
                  <w:tcW w:w="671"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名称</w:t>
                  </w:r>
                </w:p>
              </w:tc>
              <w:tc>
                <w:tcPr>
                  <w:tcW w:w="682"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污染物种类</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w:t>
                  </w:r>
                </w:p>
              </w:tc>
              <w:tc>
                <w:tcPr>
                  <w:tcW w:w="725"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DW001</w:t>
                  </w:r>
                </w:p>
              </w:tc>
              <w:tc>
                <w:tcPr>
                  <w:tcW w:w="848"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120.</w:t>
                  </w:r>
                  <w:r>
                    <w:rPr>
                      <w:rFonts w:hint="eastAsia"/>
                      <w:szCs w:val="21"/>
                    </w:rPr>
                    <w:t>06°</w:t>
                  </w:r>
                </w:p>
              </w:tc>
              <w:tc>
                <w:tcPr>
                  <w:tcW w:w="752"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31.6</w:t>
                  </w:r>
                  <w:r>
                    <w:rPr>
                      <w:rFonts w:hint="eastAsia"/>
                      <w:szCs w:val="21"/>
                    </w:rPr>
                    <w:t>5°</w:t>
                  </w:r>
                </w:p>
              </w:tc>
              <w:tc>
                <w:tcPr>
                  <w:tcW w:w="875" w:type="dxa"/>
                  <w:vMerge w:val="restar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szCs w:val="21"/>
                    </w:rPr>
                    <w:t>0.</w:t>
                  </w:r>
                  <w:r>
                    <w:rPr>
                      <w:rFonts w:hint="eastAsia"/>
                      <w:szCs w:val="21"/>
                    </w:rPr>
                    <w:t>3</w:t>
                  </w:r>
                  <w:r>
                    <w:rPr>
                      <w:rFonts w:hint="eastAsia"/>
                      <w:szCs w:val="21"/>
                      <w:lang w:val="en-US" w:eastAsia="zh-CN"/>
                    </w:rPr>
                    <w:t>456</w:t>
                  </w:r>
                </w:p>
              </w:tc>
              <w:tc>
                <w:tcPr>
                  <w:tcW w:w="687"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进入城市污水处理厂</w:t>
                  </w:r>
                </w:p>
              </w:tc>
              <w:tc>
                <w:tcPr>
                  <w:tcW w:w="806" w:type="dxa"/>
                  <w:vMerge w:val="restart"/>
                  <w:vAlign w:val="center"/>
                </w:tcPr>
                <w:p>
                  <w:pPr>
                    <w:keepNext w:val="0"/>
                    <w:keepLines w:val="0"/>
                    <w:suppressLineNumbers w:val="0"/>
                    <w:spacing w:before="0" w:beforeAutospacing="0" w:after="0" w:afterAutospacing="0" w:line="280" w:lineRule="exact"/>
                    <w:ind w:left="0" w:right="0"/>
                    <w:jc w:val="center"/>
                    <w:rPr>
                      <w:szCs w:val="21"/>
                    </w:rPr>
                  </w:pPr>
                  <w:r>
                    <w:rPr>
                      <w:szCs w:val="21"/>
                    </w:rPr>
                    <w:t>间断排放，排放期间流量不稳定，但有周期性规律</w:t>
                  </w:r>
                </w:p>
              </w:tc>
              <w:tc>
                <w:tcPr>
                  <w:tcW w:w="700"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上班时</w:t>
                  </w:r>
                </w:p>
              </w:tc>
              <w:tc>
                <w:tcPr>
                  <w:tcW w:w="671"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武南</w:t>
                  </w:r>
                  <w:r>
                    <w:rPr>
                      <w:szCs w:val="21"/>
                    </w:rPr>
                    <w:t>污水处理厂</w:t>
                  </w: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COD</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48"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52"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7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71"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SS</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48"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52"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7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71"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氨氮</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48"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52"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7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71"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总氮</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48"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52"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7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71"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总磷</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2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48"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52"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75"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87"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806"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700" w:type="dxa"/>
                  <w:vMerge w:val="continue"/>
                  <w:vAlign w:val="center"/>
                </w:tcPr>
                <w:p>
                  <w:pPr>
                    <w:keepNext w:val="0"/>
                    <w:keepLines w:val="0"/>
                    <w:suppressLineNumbers w:val="0"/>
                    <w:adjustRightInd w:val="0"/>
                    <w:snapToGrid w:val="0"/>
                    <w:spacing w:before="0" w:beforeAutospacing="0" w:after="0" w:afterAutospacing="0"/>
                    <w:ind w:left="0" w:right="0"/>
                    <w:rPr>
                      <w:szCs w:val="21"/>
                    </w:rPr>
                  </w:pPr>
                </w:p>
              </w:tc>
              <w:tc>
                <w:tcPr>
                  <w:tcW w:w="671"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682"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动植物油</w:t>
                  </w:r>
                </w:p>
              </w:tc>
              <w:tc>
                <w:tcPr>
                  <w:tcW w:w="102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w:t>
                  </w:r>
                </w:p>
              </w:tc>
            </w:tr>
          </w:tbl>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2"/>
              <w:keepNext w:val="0"/>
              <w:keepLines w:val="0"/>
              <w:suppressLineNumbers w:val="0"/>
              <w:spacing w:before="0" w:beforeAutospacing="0" w:after="0" w:afterAutospacing="0"/>
              <w:ind w:left="0" w:leftChars="0" w:right="0" w:rightChars="0"/>
              <w:jc w:val="center"/>
              <w:rPr>
                <w:b/>
                <w:sz w:val="24"/>
              </w:rPr>
            </w:pPr>
          </w:p>
          <w:p>
            <w:pPr>
              <w:pStyle w:val="48"/>
              <w:keepNext w:val="0"/>
              <w:keepLines w:val="0"/>
              <w:suppressLineNumbers w:val="0"/>
              <w:spacing w:before="76" w:beforeAutospacing="0" w:after="0" w:afterAutospacing="0"/>
              <w:ind w:left="587" w:right="0"/>
            </w:pPr>
            <w:r>
              <w:t>本项目废水污染物排放执行标准表如下。</w:t>
            </w:r>
          </w:p>
          <w:p>
            <w:pPr>
              <w:pStyle w:val="2"/>
              <w:keepNext w:val="0"/>
              <w:keepLines w:val="0"/>
              <w:suppressLineNumbers w:val="0"/>
              <w:spacing w:before="0" w:beforeAutospacing="0" w:after="0" w:afterAutospacing="0"/>
              <w:ind w:left="0" w:leftChars="0" w:right="0" w:rightChars="0"/>
              <w:jc w:val="center"/>
            </w:pPr>
            <w:r>
              <w:rPr>
                <w:rFonts w:ascii="Times New Roman"/>
                <w:b/>
                <w:sz w:val="24"/>
              </w:rPr>
              <w:t>表</w:t>
            </w:r>
            <w:r>
              <w:rPr>
                <w:rFonts w:ascii="Times New Roman" w:hAnsi="Times New Roman"/>
                <w:b/>
                <w:sz w:val="24"/>
              </w:rPr>
              <w:t>4-1</w:t>
            </w:r>
            <w:r>
              <w:rPr>
                <w:rFonts w:hint="eastAsia" w:ascii="Times New Roman" w:hAnsi="Times New Roman"/>
                <w:b/>
                <w:sz w:val="24"/>
              </w:rPr>
              <w:t>5</w:t>
            </w:r>
            <w:r>
              <w:rPr>
                <w:rFonts w:ascii="Times New Roman" w:hAnsi="Times New Roman"/>
                <w:b/>
                <w:sz w:val="24"/>
              </w:rPr>
              <w:t xml:space="preserve"> </w:t>
            </w:r>
            <w:r>
              <w:rPr>
                <w:rFonts w:ascii="Times New Roman"/>
                <w:b/>
                <w:sz w:val="24"/>
              </w:rPr>
              <w:t>废水污染物排放执</w:t>
            </w:r>
            <w:r>
              <w:rPr>
                <w:b/>
                <w:sz w:val="24"/>
              </w:rPr>
              <w:t>行标准表</w:t>
            </w:r>
          </w:p>
          <w:tbl>
            <w:tblPr>
              <w:tblStyle w:val="21"/>
              <w:tblW w:w="81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707"/>
              <w:gridCol w:w="1115"/>
              <w:gridCol w:w="1419"/>
              <w:gridCol w:w="3077"/>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576" w:hRule="atLeast"/>
                <w:jc w:val="center"/>
              </w:trPr>
              <w:tc>
                <w:tcPr>
                  <w:tcW w:w="707"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序号</w:t>
                  </w:r>
                </w:p>
              </w:tc>
              <w:tc>
                <w:tcPr>
                  <w:tcW w:w="1115"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排放口</w:t>
                  </w:r>
                </w:p>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编号</w:t>
                  </w:r>
                </w:p>
              </w:tc>
              <w:tc>
                <w:tcPr>
                  <w:tcW w:w="1419" w:type="dxa"/>
                  <w:vMerge w:val="restar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污染物种类</w:t>
                  </w:r>
                </w:p>
              </w:tc>
              <w:tc>
                <w:tcPr>
                  <w:tcW w:w="4897" w:type="dxa"/>
                  <w:gridSpan w:val="2"/>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Merge w:val="continue"/>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1419" w:type="dxa"/>
                  <w:vMerge w:val="continue"/>
                  <w:vAlign w:val="center"/>
                </w:tcPr>
                <w:p>
                  <w:pPr>
                    <w:keepNext w:val="0"/>
                    <w:keepLines w:val="0"/>
                    <w:suppressLineNumbers w:val="0"/>
                    <w:adjustRightInd w:val="0"/>
                    <w:snapToGrid w:val="0"/>
                    <w:spacing w:before="0" w:beforeAutospacing="0" w:after="0" w:afterAutospacing="0"/>
                    <w:ind w:left="0" w:right="0"/>
                    <w:jc w:val="center"/>
                    <w:rPr>
                      <w:b/>
                      <w:bCs/>
                    </w:rPr>
                  </w:pPr>
                </w:p>
              </w:tc>
              <w:tc>
                <w:tcPr>
                  <w:tcW w:w="3077"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名称</w:t>
                  </w:r>
                </w:p>
              </w:tc>
              <w:tc>
                <w:tcPr>
                  <w:tcW w:w="1820" w:type="dxa"/>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w:t>
                  </w:r>
                </w:p>
              </w:tc>
              <w:tc>
                <w:tcPr>
                  <w:tcW w:w="1115"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DW001</w:t>
                  </w: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COD</w:t>
                  </w:r>
                </w:p>
              </w:tc>
              <w:tc>
                <w:tcPr>
                  <w:tcW w:w="3077" w:type="dxa"/>
                  <w:vMerge w:val="restart"/>
                  <w:vAlign w:val="center"/>
                </w:tcPr>
                <w:p>
                  <w:pPr>
                    <w:keepNext w:val="0"/>
                    <w:keepLines w:val="0"/>
                    <w:suppressLineNumbers w:val="0"/>
                    <w:adjustRightInd w:val="0"/>
                    <w:snapToGrid w:val="0"/>
                    <w:spacing w:before="0" w:beforeAutospacing="0" w:after="0" w:afterAutospacing="0"/>
                    <w:ind w:left="0" w:right="0"/>
                    <w:rPr>
                      <w:szCs w:val="21"/>
                    </w:rPr>
                  </w:pPr>
                  <w:r>
                    <w:rPr>
                      <w:bCs/>
                      <w:szCs w:val="21"/>
                    </w:rPr>
                    <w:t>《污水排入城镇下水道水质标准》（GB/T31962-2015）</w:t>
                  </w: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2</w:t>
                  </w: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氨氮</w:t>
                  </w:r>
                </w:p>
              </w:tc>
              <w:tc>
                <w:tcPr>
                  <w:tcW w:w="3077"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3</w:t>
                  </w: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总磷</w:t>
                  </w:r>
                </w:p>
              </w:tc>
              <w:tc>
                <w:tcPr>
                  <w:tcW w:w="3077"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4</w:t>
                  </w: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总氮</w:t>
                  </w:r>
                </w:p>
              </w:tc>
              <w:tc>
                <w:tcPr>
                  <w:tcW w:w="3077"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5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5</w:t>
                  </w: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SS</w:t>
                  </w:r>
                </w:p>
              </w:tc>
              <w:tc>
                <w:tcPr>
                  <w:tcW w:w="3077"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81" w:hRule="atLeast"/>
                <w:jc w:val="center"/>
              </w:trPr>
              <w:tc>
                <w:tcPr>
                  <w:tcW w:w="70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6</w:t>
                  </w:r>
                </w:p>
              </w:tc>
              <w:tc>
                <w:tcPr>
                  <w:tcW w:w="1115"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动植物油</w:t>
                  </w:r>
                </w:p>
              </w:tc>
              <w:tc>
                <w:tcPr>
                  <w:tcW w:w="3077"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820"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100</w:t>
                  </w:r>
                </w:p>
              </w:tc>
            </w:tr>
          </w:tbl>
          <w:p>
            <w:pPr>
              <w:keepNext w:val="0"/>
              <w:keepLines w:val="0"/>
              <w:suppressLineNumbers w:val="0"/>
              <w:spacing w:before="0" w:beforeAutospacing="0" w:after="0" w:afterAutospacing="0" w:line="360" w:lineRule="auto"/>
              <w:ind w:left="0" w:right="0" w:firstLine="480" w:firstLineChars="200"/>
              <w:rPr>
                <w:bCs/>
                <w:sz w:val="24"/>
              </w:rPr>
            </w:pPr>
            <w:r>
              <w:rPr>
                <w:sz w:val="24"/>
              </w:rPr>
              <w:t>综上，本项目所产生的废水对周围环境无直接影响。</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（4）废水监测计划</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监测点位：本项目生活污水排放口。</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监测频次：按照</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 xml:space="preserve">排污单位自行监测技术指南 </w:t>
            </w:r>
            <w:r>
              <w:rPr>
                <w:rFonts w:hint="eastAsia" w:ascii="宋体" w:hAnsi="宋体"/>
                <w:sz w:val="24"/>
                <w:lang w:eastAsia="zh-CN"/>
              </w:rPr>
              <w:t>总则</w:t>
            </w:r>
            <w:r>
              <w:rPr>
                <w:rFonts w:hint="eastAsia" w:ascii="宋体" w:hAnsi="宋体"/>
                <w:sz w:val="24"/>
              </w:rPr>
              <w:t>》</w:t>
            </w:r>
            <w:r>
              <w:rPr>
                <w:rFonts w:hAnsi="宋体"/>
                <w:sz w:val="24"/>
              </w:rPr>
              <w:t>（</w:t>
            </w:r>
            <w:r>
              <w:rPr>
                <w:sz w:val="24"/>
              </w:rPr>
              <w:t xml:space="preserve">HJ </w:t>
            </w:r>
            <w:r>
              <w:rPr>
                <w:rFonts w:hint="eastAsia"/>
                <w:sz w:val="24"/>
                <w:lang w:val="en-US" w:eastAsia="zh-CN"/>
              </w:rPr>
              <w:t>819</w:t>
            </w:r>
            <w:r>
              <w:rPr>
                <w:sz w:val="24"/>
              </w:rPr>
              <w:t>—20</w:t>
            </w:r>
            <w:r>
              <w:rPr>
                <w:rFonts w:hint="eastAsia"/>
                <w:sz w:val="24"/>
                <w:lang w:val="en-US" w:eastAsia="zh-CN"/>
              </w:rPr>
              <w:t>17</w:t>
            </w:r>
            <w:r>
              <w:rPr>
                <w:rFonts w:hAnsi="宋体"/>
                <w:sz w:val="24"/>
              </w:rPr>
              <w:t>）</w:t>
            </w:r>
            <w:r>
              <w:rPr>
                <w:rFonts w:hAnsi="宋体"/>
                <w:sz w:val="24"/>
              </w:rPr>
              <w:fldChar w:fldCharType="end"/>
            </w:r>
            <w:r>
              <w:rPr>
                <w:rFonts w:hint="eastAsia" w:hAnsi="宋体"/>
                <w:sz w:val="24"/>
                <w:lang w:eastAsia="zh-CN"/>
              </w:rPr>
              <w:t>、</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排污单位自行监测技术指南 涂装》</w:t>
            </w:r>
            <w:r>
              <w:rPr>
                <w:rFonts w:hAnsi="宋体"/>
                <w:sz w:val="24"/>
              </w:rPr>
              <w:t>（</w:t>
            </w:r>
            <w:r>
              <w:rPr>
                <w:sz w:val="24"/>
              </w:rPr>
              <w:t>HJ 1086—2020</w:t>
            </w:r>
            <w:r>
              <w:rPr>
                <w:rFonts w:hAnsi="宋体"/>
                <w:sz w:val="24"/>
              </w:rPr>
              <w:t>）</w:t>
            </w:r>
            <w:r>
              <w:rPr>
                <w:rFonts w:hAnsi="宋体"/>
                <w:sz w:val="24"/>
              </w:rPr>
              <w:fldChar w:fldCharType="end"/>
            </w:r>
            <w:r>
              <w:rPr>
                <w:rFonts w:hAnsi="宋体"/>
                <w:sz w:val="24"/>
              </w:rPr>
              <w:t>中相关要求。</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监测因子：</w:t>
            </w:r>
            <w:r>
              <w:rPr>
                <w:sz w:val="24"/>
              </w:rPr>
              <w:t>COD</w:t>
            </w:r>
            <w:r>
              <w:rPr>
                <w:rFonts w:hAnsi="宋体"/>
                <w:sz w:val="24"/>
              </w:rPr>
              <w:t>、</w:t>
            </w:r>
            <w:r>
              <w:rPr>
                <w:sz w:val="24"/>
              </w:rPr>
              <w:t>SS</w:t>
            </w:r>
            <w:r>
              <w:rPr>
                <w:rFonts w:hAnsi="宋体"/>
                <w:sz w:val="24"/>
              </w:rPr>
              <w:t>、氨氮、总磷、总氮</w:t>
            </w:r>
            <w:r>
              <w:rPr>
                <w:rFonts w:hint="eastAsia" w:hAnsi="宋体"/>
                <w:sz w:val="24"/>
              </w:rPr>
              <w:t>、动植物油</w:t>
            </w:r>
            <w:r>
              <w:rPr>
                <w:rFonts w:hAnsi="宋体"/>
                <w:sz w:val="24"/>
              </w:rPr>
              <w:t>。</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废水监测位置、监测因子、频率等详见</w:t>
            </w:r>
            <w:r>
              <w:rPr>
                <w:rFonts w:hint="eastAsia" w:hAnsi="宋体"/>
                <w:sz w:val="24"/>
              </w:rPr>
              <w:t>下</w:t>
            </w:r>
            <w:r>
              <w:rPr>
                <w:rFonts w:hAnsi="宋体"/>
                <w:sz w:val="24"/>
              </w:rPr>
              <w:t>表。</w:t>
            </w:r>
          </w:p>
          <w:p>
            <w:pPr>
              <w:pStyle w:val="77"/>
              <w:keepNext w:val="0"/>
              <w:keepLines w:val="0"/>
              <w:suppressLineNumbers w:val="0"/>
              <w:spacing w:before="0" w:beforeLines="0" w:beforeAutospacing="0" w:after="0" w:afterAutospacing="0" w:line="240" w:lineRule="auto"/>
              <w:ind w:left="0" w:right="0" w:firstLine="0" w:firstLineChars="0"/>
              <w:jc w:val="center"/>
              <w:rPr>
                <w:rFonts w:cs="Times New Roman"/>
                <w:b/>
              </w:rPr>
            </w:pPr>
            <w:r>
              <w:rPr>
                <w:rFonts w:hAnsi="宋体" w:cs="Times New Roman"/>
                <w:b/>
              </w:rPr>
              <w:t>表</w:t>
            </w:r>
            <w:r>
              <w:rPr>
                <w:rFonts w:hint="eastAsia" w:cs="Times New Roman"/>
                <w:b/>
              </w:rPr>
              <w:t>4-16</w:t>
            </w:r>
            <w:r>
              <w:rPr>
                <w:rFonts w:cs="Times New Roman"/>
                <w:b/>
              </w:rPr>
              <w:t xml:space="preserve"> </w:t>
            </w:r>
            <w:r>
              <w:rPr>
                <w:rFonts w:hAnsi="宋体" w:cs="Times New Roman"/>
                <w:b/>
              </w:rPr>
              <w:t>废水监测因子及频次表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790"/>
              <w:gridCol w:w="3484"/>
              <w:gridCol w:w="1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污染种类</w:t>
                  </w:r>
                </w:p>
              </w:tc>
              <w:tc>
                <w:tcPr>
                  <w:tcW w:w="1094"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监测点位</w:t>
                  </w:r>
                </w:p>
              </w:tc>
              <w:tc>
                <w:tcPr>
                  <w:tcW w:w="2129"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监测项目</w:t>
                  </w:r>
                </w:p>
              </w:tc>
              <w:tc>
                <w:tcPr>
                  <w:tcW w:w="1046"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1"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生活污</w:t>
                  </w:r>
                  <w:r>
                    <w:t>水</w:t>
                  </w:r>
                </w:p>
              </w:tc>
              <w:tc>
                <w:tcPr>
                  <w:tcW w:w="1094" w:type="pct"/>
                  <w:vAlign w:val="center"/>
                </w:tcPr>
                <w:p>
                  <w:pPr>
                    <w:keepNext w:val="0"/>
                    <w:keepLines w:val="0"/>
                    <w:suppressLineNumbers w:val="0"/>
                    <w:adjustRightInd w:val="0"/>
                    <w:snapToGrid w:val="0"/>
                    <w:spacing w:before="0" w:beforeAutospacing="0" w:after="0" w:afterAutospacing="0"/>
                    <w:ind w:left="0" w:right="0"/>
                    <w:jc w:val="center"/>
                    <w:rPr>
                      <w:szCs w:val="21"/>
                    </w:rPr>
                  </w:pPr>
                  <w:r>
                    <w:t>污水排放口</w:t>
                  </w:r>
                </w:p>
              </w:tc>
              <w:tc>
                <w:tcPr>
                  <w:tcW w:w="2129" w:type="pct"/>
                  <w:vAlign w:val="center"/>
                </w:tcPr>
                <w:p>
                  <w:pPr>
                    <w:keepNext w:val="0"/>
                    <w:keepLines w:val="0"/>
                    <w:suppressLineNumbers w:val="0"/>
                    <w:adjustRightInd w:val="0"/>
                    <w:snapToGrid w:val="0"/>
                    <w:spacing w:before="0" w:beforeAutospacing="0" w:after="0" w:afterAutospacing="0"/>
                    <w:ind w:left="0" w:right="0"/>
                    <w:jc w:val="center"/>
                    <w:rPr>
                      <w:szCs w:val="21"/>
                    </w:rPr>
                  </w:pPr>
                  <w:r>
                    <w:t>COD、SS、氨氮、TP、TN</w:t>
                  </w:r>
                  <w:r>
                    <w:rPr>
                      <w:rFonts w:hint="eastAsia"/>
                    </w:rPr>
                    <w:t>、动植物油</w:t>
                  </w:r>
                </w:p>
              </w:tc>
              <w:tc>
                <w:tcPr>
                  <w:tcW w:w="1046" w:type="pct"/>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highlight w:val="none"/>
                      <w:lang w:eastAsia="zh-CN"/>
                    </w:rPr>
                    <w:t>一年一次</w:t>
                  </w:r>
                </w:p>
              </w:tc>
            </w:tr>
          </w:tbl>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int="eastAsia"/>
                <w:b/>
                <w:bCs/>
                <w:sz w:val="24"/>
              </w:rPr>
              <w:t>（5）小结</w:t>
            </w:r>
          </w:p>
          <w:p>
            <w:pPr>
              <w:keepNext w:val="0"/>
              <w:keepLines w:val="0"/>
              <w:suppressLineNumbers w:val="0"/>
              <w:autoSpaceDE w:val="0"/>
              <w:snapToGrid w:val="0"/>
              <w:spacing w:before="0" w:beforeAutospacing="0" w:after="0" w:afterAutospacing="0" w:line="360" w:lineRule="auto"/>
              <w:ind w:left="0" w:right="0" w:firstLine="480" w:firstLineChars="200"/>
              <w:rPr>
                <w:rFonts w:ascii="宋体" w:hAnsi="宋体"/>
                <w:bCs/>
                <w:sz w:val="24"/>
              </w:rPr>
            </w:pPr>
            <w:r>
              <w:rPr>
                <w:rFonts w:hint="eastAsia" w:ascii="宋体" w:hAnsi="宋体"/>
                <w:bCs/>
                <w:sz w:val="24"/>
              </w:rPr>
              <w:t>综上，本项目废水产生量较小，</w:t>
            </w:r>
            <w:r>
              <w:rPr>
                <w:rFonts w:hint="eastAsia"/>
                <w:bCs/>
                <w:sz w:val="24"/>
                <w:szCs w:val="22"/>
              </w:rPr>
              <w:t>食堂废水经隔油池处理后与</w:t>
            </w:r>
            <w:r>
              <w:rPr>
                <w:bCs/>
                <w:sz w:val="24"/>
                <w:szCs w:val="22"/>
              </w:rPr>
              <w:t>生活污水</w:t>
            </w:r>
            <w:r>
              <w:rPr>
                <w:rFonts w:hint="eastAsia"/>
                <w:bCs/>
                <w:sz w:val="24"/>
                <w:szCs w:val="22"/>
              </w:rPr>
              <w:t>一并</w:t>
            </w:r>
            <w:r>
              <w:rPr>
                <w:bCs/>
                <w:sz w:val="24"/>
                <w:szCs w:val="22"/>
              </w:rPr>
              <w:t>接入武南污水处理厂</w:t>
            </w:r>
            <w:r>
              <w:rPr>
                <w:rFonts w:hint="eastAsia" w:ascii="宋体" w:hAnsi="宋体"/>
                <w:bCs/>
                <w:sz w:val="24"/>
              </w:rPr>
              <w:t>，处理达标后排放，尾水达标排入武南河。因此，本项目废水对周围环境影响较小。</w:t>
            </w:r>
          </w:p>
          <w:p>
            <w:pPr>
              <w:keepNext w:val="0"/>
              <w:keepLines w:val="0"/>
              <w:suppressLineNumbers w:val="0"/>
              <w:adjustRightInd w:val="0"/>
              <w:snapToGrid w:val="0"/>
              <w:spacing w:before="0" w:beforeAutospacing="0" w:after="0" w:afterAutospacing="0" w:line="360" w:lineRule="auto"/>
              <w:ind w:left="0" w:right="0"/>
              <w:rPr>
                <w:b/>
                <w:bCs/>
                <w:sz w:val="24"/>
              </w:rPr>
            </w:pPr>
            <w:r>
              <w:rPr>
                <w:rFonts w:hint="eastAsia"/>
                <w:b/>
                <w:sz w:val="24"/>
              </w:rPr>
              <w:t>3</w:t>
            </w:r>
            <w:r>
              <w:rPr>
                <w:b/>
                <w:sz w:val="24"/>
              </w:rPr>
              <w:t>、噪声</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Ansi="宋体"/>
                <w:b/>
                <w:bCs/>
                <w:sz w:val="24"/>
              </w:rPr>
              <w:t>（</w:t>
            </w:r>
            <w:r>
              <w:rPr>
                <w:b/>
                <w:bCs/>
                <w:sz w:val="24"/>
              </w:rPr>
              <w:t>1</w:t>
            </w:r>
            <w:r>
              <w:rPr>
                <w:rFonts w:hAnsi="宋体"/>
                <w:b/>
                <w:bCs/>
                <w:sz w:val="24"/>
              </w:rPr>
              <w:t>）源强分析</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bCs/>
                <w:sz w:val="24"/>
              </w:rPr>
            </w:pPr>
            <w:r>
              <w:rPr>
                <w:rFonts w:hint="eastAsia" w:ascii="宋体" w:hAnsi="宋体"/>
                <w:bCs/>
                <w:sz w:val="24"/>
              </w:rPr>
              <w:t>本项目主要为设备运行时产生的机械噪声，噪声源强</w:t>
            </w:r>
            <w:r>
              <w:rPr>
                <w:bCs/>
                <w:sz w:val="24"/>
              </w:rPr>
              <w:t>约为</w:t>
            </w:r>
            <w:r>
              <w:rPr>
                <w:rFonts w:hint="eastAsia"/>
                <w:bCs/>
                <w:sz w:val="24"/>
              </w:rPr>
              <w:t>75</w:t>
            </w:r>
            <w:r>
              <w:rPr>
                <w:bCs/>
                <w:sz w:val="24"/>
              </w:rPr>
              <w:t>-85</w:t>
            </w:r>
            <w:r>
              <w:rPr>
                <w:rFonts w:hint="eastAsia"/>
                <w:bCs/>
                <w:sz w:val="24"/>
              </w:rPr>
              <w:t>dB</w:t>
            </w:r>
            <w:r>
              <w:rPr>
                <w:rFonts w:hint="eastAsia" w:ascii="宋体" w:hAnsi="宋体"/>
                <w:bCs/>
                <w:sz w:val="24"/>
              </w:rPr>
              <w:t>(</w:t>
            </w:r>
            <w:r>
              <w:rPr>
                <w:rFonts w:hint="eastAsia"/>
                <w:bCs/>
                <w:sz w:val="24"/>
              </w:rPr>
              <w:t>A</w:t>
            </w:r>
            <w:r>
              <w:rPr>
                <w:rFonts w:hint="eastAsia" w:ascii="宋体" w:hAnsi="宋体"/>
                <w:bCs/>
                <w:sz w:val="24"/>
              </w:rPr>
              <w:t>)。项目主要噪声污染源强见下表。</w:t>
            </w:r>
          </w:p>
          <w:p>
            <w:pPr>
              <w:keepNext w:val="0"/>
              <w:keepLines w:val="0"/>
              <w:suppressLineNumbers w:val="0"/>
              <w:adjustRightInd w:val="0"/>
              <w:snapToGrid w:val="0"/>
              <w:spacing w:before="0" w:beforeAutospacing="0" w:after="0" w:afterAutospacing="0"/>
              <w:ind w:left="0" w:right="0"/>
              <w:jc w:val="center"/>
              <w:rPr>
                <w:rFonts w:hint="eastAsia" w:ascii="宋体" w:hAnsi="宋体"/>
                <w:b/>
                <w:sz w:val="24"/>
              </w:rPr>
            </w:pPr>
          </w:p>
          <w:p>
            <w:pPr>
              <w:keepNext w:val="0"/>
              <w:keepLines w:val="0"/>
              <w:suppressLineNumbers w:val="0"/>
              <w:adjustRightInd w:val="0"/>
              <w:snapToGrid w:val="0"/>
              <w:spacing w:before="0" w:beforeAutospacing="0" w:after="0" w:afterAutospacing="0"/>
              <w:ind w:left="0" w:right="0"/>
              <w:jc w:val="center"/>
              <w:rPr>
                <w:rFonts w:hint="eastAsia" w:ascii="宋体" w:hAnsi="宋体"/>
                <w:b/>
                <w:sz w:val="24"/>
              </w:rPr>
            </w:pPr>
          </w:p>
          <w:p>
            <w:pPr>
              <w:keepNext w:val="0"/>
              <w:keepLines w:val="0"/>
              <w:suppressLineNumbers w:val="0"/>
              <w:adjustRightInd w:val="0"/>
              <w:snapToGrid w:val="0"/>
              <w:spacing w:before="0" w:beforeAutospacing="0" w:after="0" w:afterAutospacing="0"/>
              <w:ind w:left="0" w:right="0"/>
              <w:jc w:val="center"/>
              <w:rPr>
                <w:rFonts w:ascii="宋体"/>
                <w:b/>
                <w:sz w:val="24"/>
              </w:rPr>
            </w:pPr>
            <w:r>
              <w:rPr>
                <w:rFonts w:hint="eastAsia" w:ascii="宋体" w:hAnsi="宋体"/>
                <w:b/>
                <w:sz w:val="24"/>
              </w:rPr>
              <w:t>表</w:t>
            </w:r>
            <w:r>
              <w:rPr>
                <w:rFonts w:hint="eastAsia"/>
                <w:b/>
                <w:sz w:val="24"/>
              </w:rPr>
              <w:t xml:space="preserve">4-17 </w:t>
            </w:r>
            <w:r>
              <w:rPr>
                <w:rFonts w:hint="eastAsia" w:ascii="宋体"/>
                <w:b/>
                <w:sz w:val="24"/>
              </w:rPr>
              <w:t>主要噪声污染源强一览表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491"/>
              <w:gridCol w:w="1548"/>
              <w:gridCol w:w="1072"/>
              <w:gridCol w:w="1011"/>
              <w:gridCol w:w="1208"/>
              <w:gridCol w:w="774"/>
              <w:gridCol w:w="1006"/>
              <w:gridCol w:w="10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592"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b/>
                      <w:bCs/>
                      <w:szCs w:val="21"/>
                    </w:rPr>
                  </w:pPr>
                  <w:r>
                    <w:rPr>
                      <w:b/>
                      <w:bCs/>
                      <w:szCs w:val="21"/>
                    </w:rPr>
                    <w:t>序号</w:t>
                  </w:r>
                </w:p>
              </w:tc>
              <w:tc>
                <w:tcPr>
                  <w:tcW w:w="945" w:type="pct"/>
                  <w:vAlign w:val="center"/>
                </w:tcPr>
                <w:p>
                  <w:pPr>
                    <w:keepNext w:val="0"/>
                    <w:keepLines w:val="0"/>
                    <w:suppressLineNumbers w:val="0"/>
                    <w:snapToGrid w:val="0"/>
                    <w:spacing w:before="0" w:beforeAutospacing="0" w:after="0" w:afterAutospacing="0"/>
                    <w:ind w:left="0" w:right="0"/>
                    <w:jc w:val="center"/>
                    <w:rPr>
                      <w:b/>
                      <w:bCs/>
                      <w:szCs w:val="21"/>
                    </w:rPr>
                  </w:pPr>
                  <w:r>
                    <w:rPr>
                      <w:b/>
                      <w:bCs/>
                      <w:szCs w:val="21"/>
                    </w:rPr>
                    <w:t>名称</w:t>
                  </w:r>
                </w:p>
              </w:tc>
              <w:tc>
                <w:tcPr>
                  <w:tcW w:w="655" w:type="pct"/>
                  <w:vAlign w:val="center"/>
                </w:tcPr>
                <w:p>
                  <w:pPr>
                    <w:keepNext w:val="0"/>
                    <w:keepLines w:val="0"/>
                    <w:suppressLineNumbers w:val="0"/>
                    <w:snapToGrid w:val="0"/>
                    <w:spacing w:before="0" w:beforeAutospacing="0" w:after="0" w:afterAutospacing="0"/>
                    <w:ind w:left="0" w:right="0"/>
                    <w:jc w:val="center"/>
                    <w:rPr>
                      <w:b/>
                      <w:bCs/>
                      <w:szCs w:val="21"/>
                    </w:rPr>
                  </w:pPr>
                  <w:r>
                    <w:rPr>
                      <w:b/>
                      <w:bCs/>
                      <w:szCs w:val="21"/>
                    </w:rPr>
                    <w:t>数量</w:t>
                  </w:r>
                </w:p>
                <w:p>
                  <w:pPr>
                    <w:keepNext w:val="0"/>
                    <w:keepLines w:val="0"/>
                    <w:suppressLineNumbers w:val="0"/>
                    <w:snapToGrid w:val="0"/>
                    <w:spacing w:before="0" w:beforeAutospacing="0" w:after="0" w:afterAutospacing="0"/>
                    <w:ind w:left="0" w:right="0"/>
                    <w:jc w:val="center"/>
                    <w:rPr>
                      <w:b/>
                      <w:bCs/>
                      <w:szCs w:val="21"/>
                    </w:rPr>
                  </w:pPr>
                  <w:r>
                    <w:rPr>
                      <w:b/>
                      <w:bCs/>
                      <w:szCs w:val="21"/>
                    </w:rPr>
                    <w:t>（台/套）</w:t>
                  </w:r>
                </w:p>
              </w:tc>
              <w:tc>
                <w:tcPr>
                  <w:tcW w:w="617" w:type="pct"/>
                  <w:vAlign w:val="center"/>
                </w:tcPr>
                <w:p>
                  <w:pPr>
                    <w:keepNext w:val="0"/>
                    <w:keepLines w:val="0"/>
                    <w:suppressLineNumbers w:val="0"/>
                    <w:snapToGrid w:val="0"/>
                    <w:spacing w:before="0" w:beforeAutospacing="0" w:after="0" w:afterAutospacing="0"/>
                    <w:ind w:left="0" w:right="0"/>
                    <w:jc w:val="center"/>
                    <w:rPr>
                      <w:b/>
                      <w:bCs/>
                    </w:rPr>
                  </w:pPr>
                  <w:r>
                    <w:rPr>
                      <w:b/>
                      <w:bCs/>
                    </w:rPr>
                    <w:t>产生源强dB(A)</w:t>
                  </w:r>
                </w:p>
              </w:tc>
              <w:tc>
                <w:tcPr>
                  <w:tcW w:w="738" w:type="pct"/>
                  <w:vAlign w:val="center"/>
                </w:tcPr>
                <w:p>
                  <w:pPr>
                    <w:keepNext w:val="0"/>
                    <w:keepLines w:val="0"/>
                    <w:suppressLineNumbers w:val="0"/>
                    <w:snapToGrid w:val="0"/>
                    <w:spacing w:before="0" w:beforeAutospacing="0" w:after="0" w:afterAutospacing="0"/>
                    <w:ind w:left="0" w:right="0"/>
                    <w:jc w:val="center"/>
                    <w:rPr>
                      <w:b/>
                      <w:bCs/>
                    </w:rPr>
                  </w:pPr>
                  <w:r>
                    <w:rPr>
                      <w:rFonts w:hint="eastAsia"/>
                      <w:b/>
                      <w:bCs/>
                    </w:rPr>
                    <w:t>距最近厂界距离（m）</w:t>
                  </w:r>
                </w:p>
              </w:tc>
              <w:tc>
                <w:tcPr>
                  <w:tcW w:w="472" w:type="pct"/>
                  <w:vAlign w:val="center"/>
                </w:tcPr>
                <w:p>
                  <w:pPr>
                    <w:keepNext w:val="0"/>
                    <w:keepLines w:val="0"/>
                    <w:suppressLineNumbers w:val="0"/>
                    <w:snapToGrid w:val="0"/>
                    <w:spacing w:before="0" w:beforeAutospacing="0" w:after="0" w:afterAutospacing="0"/>
                    <w:ind w:left="0" w:right="0"/>
                    <w:jc w:val="center"/>
                    <w:rPr>
                      <w:b/>
                      <w:bCs/>
                    </w:rPr>
                  </w:pPr>
                  <w:r>
                    <w:rPr>
                      <w:b/>
                      <w:bCs/>
                    </w:rPr>
                    <w:t>治理措施</w:t>
                  </w:r>
                </w:p>
              </w:tc>
              <w:tc>
                <w:tcPr>
                  <w:tcW w:w="614" w:type="pct"/>
                  <w:vAlign w:val="center"/>
                </w:tcPr>
                <w:p>
                  <w:pPr>
                    <w:keepNext w:val="0"/>
                    <w:keepLines w:val="0"/>
                    <w:suppressLineNumbers w:val="0"/>
                    <w:adjustRightInd w:val="0"/>
                    <w:snapToGrid w:val="0"/>
                    <w:spacing w:before="0" w:beforeAutospacing="0" w:after="0" w:afterAutospacing="0"/>
                    <w:ind w:left="0" w:right="0"/>
                    <w:jc w:val="center"/>
                    <w:rPr>
                      <w:b/>
                      <w:bCs/>
                    </w:rPr>
                  </w:pPr>
                  <w:r>
                    <w:rPr>
                      <w:rFonts w:hint="eastAsia"/>
                      <w:b/>
                      <w:bCs/>
                    </w:rPr>
                    <w:t>降噪效果</w:t>
                  </w:r>
                  <w:r>
                    <w:rPr>
                      <w:b/>
                      <w:bCs/>
                    </w:rPr>
                    <w:t>dB(A)</w:t>
                  </w:r>
                </w:p>
              </w:tc>
              <w:tc>
                <w:tcPr>
                  <w:tcW w:w="655" w:type="pct"/>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szCs w:val="21"/>
                    </w:rPr>
                    <w:t>1</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高速冲床</w:t>
                  </w:r>
                </w:p>
              </w:tc>
              <w:tc>
                <w:tcPr>
                  <w:tcW w:w="655" w:type="pct"/>
                  <w:vAlign w:val="center"/>
                </w:tcPr>
                <w:p>
                  <w:pPr>
                    <w:keepNext w:val="0"/>
                    <w:keepLines w:val="0"/>
                    <w:widowControl/>
                    <w:suppressLineNumbers w:val="0"/>
                    <w:spacing w:before="0" w:beforeAutospacing="0" w:after="0" w:afterAutospacing="0"/>
                    <w:ind w:left="0" w:right="0"/>
                    <w:jc w:val="center"/>
                    <w:rPr>
                      <w:szCs w:val="21"/>
                      <w:highlight w:val="yellow"/>
                    </w:rPr>
                  </w:pPr>
                  <w:r>
                    <w:rPr>
                      <w:rFonts w:hint="eastAsia"/>
                      <w:szCs w:val="21"/>
                    </w:rPr>
                    <w:t>15</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kern w:val="0"/>
                      <w:szCs w:val="21"/>
                    </w:rPr>
                  </w:pPr>
                  <w:r>
                    <w:rPr>
                      <w:rFonts w:hint="eastAsia"/>
                      <w:szCs w:val="21"/>
                    </w:rPr>
                    <w:t>85</w:t>
                  </w:r>
                </w:p>
              </w:tc>
              <w:tc>
                <w:tcPr>
                  <w:tcW w:w="738"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W，10</w:t>
                  </w:r>
                </w:p>
              </w:tc>
              <w:tc>
                <w:tcPr>
                  <w:tcW w:w="472" w:type="pct"/>
                  <w:vMerge w:val="restart"/>
                  <w:vAlign w:val="center"/>
                </w:tcPr>
                <w:p>
                  <w:pPr>
                    <w:keepNext w:val="0"/>
                    <w:keepLines w:val="0"/>
                    <w:suppressLineNumbers w:val="0"/>
                    <w:snapToGrid w:val="0"/>
                    <w:spacing w:before="0" w:beforeAutospacing="0" w:after="0" w:afterAutospacing="0"/>
                    <w:ind w:left="0" w:right="0"/>
                    <w:jc w:val="center"/>
                  </w:pPr>
                  <w:r>
                    <w:rPr>
                      <w:szCs w:val="21"/>
                    </w:rPr>
                    <w:t>减振</w:t>
                  </w:r>
                  <w:r>
                    <w:rPr>
                      <w:rFonts w:hint="eastAsia"/>
                      <w:szCs w:val="21"/>
                    </w:rPr>
                    <w:t>、</w:t>
                  </w:r>
                  <w:r>
                    <w:rPr>
                      <w:szCs w:val="21"/>
                    </w:rPr>
                    <w:t>隔声</w:t>
                  </w:r>
                </w:p>
              </w:tc>
              <w:tc>
                <w:tcPr>
                  <w:tcW w:w="614" w:type="pct"/>
                  <w:vAlign w:val="center"/>
                </w:tcPr>
                <w:p>
                  <w:pPr>
                    <w:keepNext w:val="0"/>
                    <w:keepLines w:val="0"/>
                    <w:suppressLineNumbers w:val="0"/>
                    <w:adjustRightInd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szCs w:val="21"/>
                    </w:rPr>
                    <w:t>2</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普通冲床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27</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W，10</w:t>
                  </w:r>
                </w:p>
              </w:tc>
              <w:tc>
                <w:tcPr>
                  <w:tcW w:w="472" w:type="pct"/>
                  <w:vMerge w:val="continue"/>
                  <w:vAlign w:val="center"/>
                </w:tcPr>
                <w:p>
                  <w:pPr>
                    <w:keepNext w:val="0"/>
                    <w:keepLines w:val="0"/>
                    <w:suppressLineNumbers w:val="0"/>
                    <w:snapToGrid w:val="0"/>
                    <w:spacing w:before="0" w:beforeAutospacing="0" w:after="0" w:afterAutospacing="0"/>
                    <w:ind w:left="0" w:right="0"/>
                    <w:jc w:val="center"/>
                    <w:rPr>
                      <w:b/>
                      <w:bCs/>
                    </w:rPr>
                  </w:pPr>
                </w:p>
              </w:tc>
              <w:tc>
                <w:tcPr>
                  <w:tcW w:w="614" w:type="pct"/>
                  <w:vAlign w:val="center"/>
                </w:tcPr>
                <w:p>
                  <w:pPr>
                    <w:keepNext w:val="0"/>
                    <w:keepLines w:val="0"/>
                    <w:suppressLineNumbers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szCs w:val="21"/>
                    </w:rPr>
                    <w:t>3</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机壳精冲机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W，10</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szCs w:val="21"/>
                    </w:rPr>
                    <w:t>4</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定子迭压焊机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pPr>
                  <w:r>
                    <w:rPr>
                      <w:rFonts w:hint="eastAsia"/>
                      <w:szCs w:val="21"/>
                    </w:rPr>
                    <w:t>W，16</w:t>
                  </w:r>
                </w:p>
              </w:tc>
              <w:tc>
                <w:tcPr>
                  <w:tcW w:w="472" w:type="pct"/>
                  <w:vMerge w:val="continue"/>
                  <w:vAlign w:val="center"/>
                </w:tcPr>
                <w:p>
                  <w:pPr>
                    <w:keepNext w:val="0"/>
                    <w:keepLines w:val="0"/>
                    <w:suppressLineNumbers w:val="0"/>
                    <w:snapToGrid w:val="0"/>
                    <w:spacing w:before="0" w:beforeAutospacing="0" w:after="0" w:afterAutospacing="0"/>
                    <w:ind w:left="0" w:right="0"/>
                    <w:jc w:val="center"/>
                    <w:rPr>
                      <w:szCs w:val="21"/>
                    </w:rP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3</w:t>
                  </w:r>
                  <w:r>
                    <w:rPr>
                      <w:rFonts w:hint="eastAsia"/>
                      <w:szCs w:val="21"/>
                      <w:lang w:val="en-US" w:eastAsia="zh-CN"/>
                    </w:rPr>
                    <w:t>0</w:t>
                  </w:r>
                  <w:r>
                    <w:rPr>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szCs w:val="21"/>
                    </w:rPr>
                    <w:t>5</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氩弧焊机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W，16</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3</w:t>
                  </w:r>
                  <w:r>
                    <w:rPr>
                      <w:rFonts w:hint="eastAsia"/>
                      <w:szCs w:val="21"/>
                      <w:lang w:val="en-US" w:eastAsia="zh-CN"/>
                    </w:rPr>
                    <w:t>0</w:t>
                  </w:r>
                  <w:r>
                    <w:rPr>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6</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金属纵剪机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E，25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adjustRightInd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7</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攻丝机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N，30</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8</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铣床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9</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液压机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42</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10</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磨床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4</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11</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摇臂钻床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adjustRightInd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12</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台式钻床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13</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车床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2</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14</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仪表车床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15</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砂轮机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16</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数控机床</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10</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N，15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adjustRightInd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17</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入轴机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75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szCs w:val="21"/>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18</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注塑机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5</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W，23</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3</w:t>
                  </w:r>
                  <w:r>
                    <w:rPr>
                      <w:rFonts w:hint="eastAsia"/>
                      <w:szCs w:val="21"/>
                      <w:lang w:val="en-US" w:eastAsia="zh-CN"/>
                    </w:rPr>
                    <w:t>0</w:t>
                  </w:r>
                  <w:r>
                    <w:rPr>
                      <w:rFonts w:hint="eastAsia"/>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19</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烘箱</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15</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W，25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3</w:t>
                  </w:r>
                  <w:r>
                    <w:rPr>
                      <w:rFonts w:hint="eastAsia"/>
                      <w:szCs w:val="21"/>
                      <w:lang w:val="en-US" w:eastAsia="zh-CN"/>
                    </w:rPr>
                    <w:t>0</w:t>
                  </w:r>
                  <w:r>
                    <w:rPr>
                      <w:rFonts w:hint="eastAsia"/>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20</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涂敷机</w:t>
                  </w:r>
                </w:p>
              </w:tc>
              <w:tc>
                <w:tcPr>
                  <w:tcW w:w="65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30</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80</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W，25</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snapToGrid w:val="0"/>
                    <w:spacing w:before="0" w:beforeAutospacing="0" w:after="0" w:afterAutospacing="0"/>
                    <w:ind w:left="0" w:right="0"/>
                    <w:jc w:val="cente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3</w:t>
                  </w:r>
                  <w:r>
                    <w:rPr>
                      <w:rFonts w:hint="eastAsia"/>
                      <w:szCs w:val="21"/>
                      <w:lang w:val="en-US" w:eastAsia="zh-CN"/>
                    </w:rPr>
                    <w:t>0</w:t>
                  </w:r>
                  <w:r>
                    <w:rPr>
                      <w:rFonts w:hint="eastAsia"/>
                      <w:szCs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00"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21</w:t>
                  </w:r>
                </w:p>
              </w:tc>
              <w:tc>
                <w:tcPr>
                  <w:tcW w:w="945" w:type="pct"/>
                  <w:vAlign w:val="center"/>
                </w:tcPr>
                <w:p>
                  <w:pPr>
                    <w:keepNext w:val="0"/>
                    <w:keepLines w:val="0"/>
                    <w:widowControl/>
                    <w:suppressLineNumbers w:val="0"/>
                    <w:spacing w:before="0" w:beforeAutospacing="0" w:after="0" w:afterAutospacing="0"/>
                    <w:ind w:left="0" w:right="0"/>
                    <w:jc w:val="center"/>
                    <w:rPr>
                      <w:szCs w:val="21"/>
                    </w:rPr>
                  </w:pPr>
                  <w:r>
                    <w:rPr>
                      <w:rFonts w:hint="eastAsia"/>
                      <w:szCs w:val="21"/>
                    </w:rPr>
                    <w:t>空压机</w:t>
                  </w:r>
                </w:p>
              </w:tc>
              <w:tc>
                <w:tcPr>
                  <w:tcW w:w="655" w:type="pct"/>
                  <w:vAlign w:val="center"/>
                </w:tcPr>
                <w:p>
                  <w:pPr>
                    <w:keepNext w:val="0"/>
                    <w:keepLines w:val="0"/>
                    <w:widowControl/>
                    <w:suppressLineNumbers w:val="0"/>
                    <w:spacing w:before="0" w:beforeAutospacing="0" w:after="0" w:afterAutospacing="0"/>
                    <w:ind w:left="0" w:right="0"/>
                    <w:jc w:val="center"/>
                    <w:textAlignment w:val="center"/>
                    <w:rPr>
                      <w:szCs w:val="21"/>
                    </w:rPr>
                  </w:pPr>
                  <w:r>
                    <w:rPr>
                      <w:rFonts w:hint="eastAsia"/>
                      <w:szCs w:val="21"/>
                    </w:rPr>
                    <w:t>3</w:t>
                  </w:r>
                </w:p>
              </w:tc>
              <w:tc>
                <w:tcPr>
                  <w:tcW w:w="617"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85</w:t>
                  </w:r>
                </w:p>
              </w:tc>
              <w:tc>
                <w:tcPr>
                  <w:tcW w:w="738"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W，20</w:t>
                  </w:r>
                </w:p>
              </w:tc>
              <w:tc>
                <w:tcPr>
                  <w:tcW w:w="472" w:type="pct"/>
                  <w:vMerge w:val="continue"/>
                  <w:vAlign w:val="center"/>
                </w:tcPr>
                <w:p>
                  <w:pPr>
                    <w:keepNext w:val="0"/>
                    <w:keepLines w:val="0"/>
                    <w:suppressLineNumbers w:val="0"/>
                    <w:snapToGrid w:val="0"/>
                    <w:spacing w:before="0" w:beforeAutospacing="0" w:after="0" w:afterAutospacing="0"/>
                    <w:ind w:left="0" w:right="0"/>
                    <w:jc w:val="center"/>
                  </w:pPr>
                </w:p>
              </w:tc>
              <w:tc>
                <w:tcPr>
                  <w:tcW w:w="614" w:type="pct"/>
                  <w:vAlign w:val="center"/>
                </w:tcPr>
                <w:p>
                  <w:pPr>
                    <w:keepNext w:val="0"/>
                    <w:keepLines w:val="0"/>
                    <w:suppressLineNumbers w:val="0"/>
                    <w:adjustRightInd w:val="0"/>
                    <w:snapToGrid w:val="0"/>
                    <w:spacing w:before="0" w:beforeAutospacing="0" w:after="0" w:afterAutospacing="0"/>
                    <w:ind w:left="0" w:right="0"/>
                    <w:jc w:val="center"/>
                    <w:rPr>
                      <w:szCs w:val="22"/>
                    </w:rPr>
                  </w:pPr>
                  <w:r>
                    <w:rPr>
                      <w:rFonts w:hint="eastAsia"/>
                      <w:szCs w:val="22"/>
                    </w:rPr>
                    <w:t>25</w:t>
                  </w:r>
                </w:p>
              </w:tc>
              <w:tc>
                <w:tcPr>
                  <w:tcW w:w="655" w:type="pct"/>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lang w:eastAsia="zh-CN"/>
                    </w:rPr>
                    <w:t>4800</w:t>
                  </w:r>
                  <w:r>
                    <w:rPr>
                      <w:rFonts w:hint="eastAsia"/>
                      <w:szCs w:val="21"/>
                    </w:rPr>
                    <w:t>h</w:t>
                  </w:r>
                </w:p>
              </w:tc>
            </w:tr>
          </w:tbl>
          <w:p>
            <w:pPr>
              <w:pStyle w:val="5"/>
              <w:keepNext w:val="0"/>
              <w:keepLines w:val="0"/>
              <w:suppressLineNumbers w:val="0"/>
              <w:adjustRightInd w:val="0"/>
              <w:spacing w:before="0" w:beforeAutospacing="0" w:after="0" w:afterAutospacing="0" w:line="360" w:lineRule="auto"/>
              <w:ind w:left="0" w:right="0" w:firstLine="508" w:firstLineChars="211"/>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防治措施</w:t>
            </w:r>
          </w:p>
          <w:p>
            <w:pPr>
              <w:pStyle w:val="5"/>
              <w:keepNext w:val="0"/>
              <w:keepLines w:val="0"/>
              <w:suppressLineNumbers w:val="0"/>
              <w:adjustRightInd w:val="0"/>
              <w:spacing w:before="0" w:beforeAutospacing="0" w:after="0" w:afterAutospacing="0" w:line="360" w:lineRule="auto"/>
              <w:ind w:left="0" w:right="0" w:firstLine="506" w:firstLineChars="211"/>
              <w:rPr>
                <w:rFonts w:ascii="Times New Roman" w:hAnsi="Times New Roman"/>
                <w:sz w:val="24"/>
                <w:szCs w:val="24"/>
              </w:rPr>
            </w:pPr>
            <w:r>
              <w:rPr>
                <w:rFonts w:ascii="Times New Roman" w:hAnsi="Times New Roman"/>
                <w:sz w:val="24"/>
                <w:szCs w:val="24"/>
              </w:rPr>
              <w:t>本项目对各噪声源拟采取减振、厂房隔声的措施，并利用车间的厂房对噪声进行隔声。采取的具体噪声措施如下：</w:t>
            </w:r>
          </w:p>
          <w:p>
            <w:pPr>
              <w:pStyle w:val="5"/>
              <w:keepNext w:val="0"/>
              <w:keepLines w:val="0"/>
              <w:suppressLineNumbers w:val="0"/>
              <w:adjustRightInd w:val="0"/>
              <w:spacing w:before="0" w:beforeAutospacing="0" w:after="0" w:afterAutospacing="0" w:line="360" w:lineRule="auto"/>
              <w:ind w:left="0" w:right="0" w:firstLine="506" w:firstLineChars="211"/>
              <w:rPr>
                <w:rFonts w:ascii="Times New Roman" w:hAnsi="Times New Roman"/>
                <w:sz w:val="24"/>
                <w:szCs w:val="24"/>
              </w:rPr>
            </w:pPr>
            <w:r>
              <w:rPr>
                <w:rFonts w:hint="eastAsia" w:ascii="宋体" w:hAnsi="宋体" w:cs="宋体"/>
                <w:sz w:val="24"/>
                <w:szCs w:val="24"/>
              </w:rPr>
              <w:t>①</w:t>
            </w:r>
            <w:r>
              <w:rPr>
                <w:rFonts w:ascii="Times New Roman" w:hAnsi="Times New Roman"/>
                <w:sz w:val="24"/>
                <w:szCs w:val="24"/>
              </w:rPr>
              <w:t>充分利用厂区建筑物隔声、降噪，有利于减少生产噪声对厂外声环境的影响。</w:t>
            </w:r>
          </w:p>
          <w:p>
            <w:pPr>
              <w:pStyle w:val="5"/>
              <w:keepNext w:val="0"/>
              <w:keepLines w:val="0"/>
              <w:suppressLineNumbers w:val="0"/>
              <w:adjustRightInd w:val="0"/>
              <w:spacing w:before="0" w:beforeAutospacing="0" w:after="0" w:afterAutospacing="0" w:line="360" w:lineRule="auto"/>
              <w:ind w:left="0" w:right="0" w:firstLine="506" w:firstLineChars="211"/>
              <w:rPr>
                <w:rFonts w:ascii="Times New Roman" w:hAnsi="Times New Roman"/>
                <w:sz w:val="24"/>
                <w:szCs w:val="24"/>
              </w:rPr>
            </w:pPr>
            <w:r>
              <w:rPr>
                <w:rFonts w:hint="eastAsia" w:ascii="宋体" w:hAnsi="宋体" w:cs="宋体"/>
                <w:sz w:val="24"/>
                <w:szCs w:val="24"/>
              </w:rPr>
              <w:t>②</w:t>
            </w:r>
            <w:r>
              <w:rPr>
                <w:rFonts w:ascii="Times New Roman" w:hAnsi="Times New Roman"/>
                <w:sz w:val="24"/>
                <w:szCs w:val="24"/>
              </w:rPr>
              <w:t>合理布局，闹静分开，使高噪声设备尽量远离敏感点。</w:t>
            </w:r>
          </w:p>
          <w:p>
            <w:pPr>
              <w:pStyle w:val="5"/>
              <w:keepNext w:val="0"/>
              <w:keepLines w:val="0"/>
              <w:suppressLineNumbers w:val="0"/>
              <w:adjustRightInd w:val="0"/>
              <w:spacing w:before="0" w:beforeAutospacing="0" w:after="0" w:afterAutospacing="0" w:line="360" w:lineRule="auto"/>
              <w:ind w:left="0" w:right="0" w:firstLine="506" w:firstLineChars="211"/>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3 \* GB3 \* MERGEFORMAT </w:instrText>
            </w:r>
            <w:r>
              <w:rPr>
                <w:rFonts w:ascii="Times New Roman" w:hAnsi="Times New Roman"/>
                <w:sz w:val="24"/>
                <w:szCs w:val="24"/>
              </w:rPr>
              <w:fldChar w:fldCharType="separate"/>
            </w:r>
            <w:r>
              <w:rPr>
                <w:rFonts w:hint="eastAsia" w:ascii="宋体" w:hAnsi="宋体" w:cs="宋体"/>
                <w:sz w:val="24"/>
                <w:szCs w:val="24"/>
              </w:rPr>
              <w:t>③</w:t>
            </w:r>
            <w:r>
              <w:rPr>
                <w:rFonts w:ascii="Times New Roman" w:hAnsi="Times New Roman"/>
                <w:sz w:val="24"/>
                <w:szCs w:val="24"/>
              </w:rPr>
              <w:fldChar w:fldCharType="end"/>
            </w:r>
            <w:r>
              <w:rPr>
                <w:rFonts w:ascii="Times New Roman" w:hAnsi="Times New Roman"/>
                <w:sz w:val="24"/>
                <w:szCs w:val="24"/>
              </w:rPr>
              <w:t>项目设备应加强日常的维护，确保设备的正常运行，避免产生异常噪声。</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（3）达标情况分析</w:t>
            </w:r>
          </w:p>
          <w:p>
            <w:pPr>
              <w:pStyle w:val="5"/>
              <w:keepNext w:val="0"/>
              <w:keepLines w:val="0"/>
              <w:suppressLineNumbers w:val="0"/>
              <w:spacing w:before="0" w:beforeAutospacing="0" w:after="0" w:afterAutospacing="0" w:line="360" w:lineRule="auto"/>
              <w:ind w:left="0" w:right="0" w:firstLine="480" w:firstLineChars="200"/>
              <w:rPr>
                <w:rFonts w:ascii="Times New Roman" w:hAnsi="Times New Roman"/>
                <w:b/>
                <w:bCs/>
                <w:sz w:val="24"/>
              </w:rPr>
            </w:pPr>
            <w:r>
              <w:rPr>
                <w:rFonts w:ascii="Times New Roman" w:hAnsi="Times New Roman"/>
                <w:sz w:val="24"/>
              </w:rPr>
              <w:t>经合理布局、减振、厂房隔声、距离衰减后，项目各厂界噪声预测情况见下表：</w:t>
            </w:r>
          </w:p>
          <w:p>
            <w:pPr>
              <w:keepNext w:val="0"/>
              <w:keepLines w:val="0"/>
              <w:suppressLineNumbers w:val="0"/>
              <w:snapToGrid w:val="0"/>
              <w:spacing w:before="0" w:beforeAutospacing="0" w:after="0" w:afterAutospacing="0"/>
              <w:ind w:left="0" w:right="0"/>
              <w:jc w:val="center"/>
              <w:rPr>
                <w:b/>
                <w:bCs/>
                <w:sz w:val="24"/>
              </w:rPr>
            </w:pPr>
            <w:r>
              <w:rPr>
                <w:b/>
                <w:bCs/>
                <w:sz w:val="24"/>
              </w:rPr>
              <w:t>表4-</w:t>
            </w:r>
            <w:r>
              <w:rPr>
                <w:rFonts w:hint="eastAsia"/>
                <w:b/>
                <w:bCs/>
                <w:sz w:val="24"/>
              </w:rPr>
              <w:t>18</w:t>
            </w:r>
            <w:r>
              <w:rPr>
                <w:b/>
                <w:bCs/>
                <w:sz w:val="24"/>
              </w:rPr>
              <w:t xml:space="preserve"> 本项目各厂界噪声预测结果</w:t>
            </w:r>
            <w:r>
              <w:rPr>
                <w:b/>
                <w:sz w:val="24"/>
              </w:rPr>
              <w:t xml:space="preserve">  dB(A)</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12"/>
              <w:gridCol w:w="997"/>
              <w:gridCol w:w="710"/>
              <w:gridCol w:w="864"/>
              <w:gridCol w:w="746"/>
              <w:gridCol w:w="673"/>
              <w:gridCol w:w="746"/>
              <w:gridCol w:w="673"/>
              <w:gridCol w:w="746"/>
              <w:gridCol w:w="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517" w:type="pct"/>
                  <w:vMerge w:val="restar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目标</w:t>
                  </w:r>
                </w:p>
              </w:tc>
              <w:tc>
                <w:tcPr>
                  <w:tcW w:w="313" w:type="pct"/>
                  <w:vMerge w:val="restar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混合噪声源强</w:t>
                  </w:r>
                </w:p>
              </w:tc>
              <w:tc>
                <w:tcPr>
                  <w:tcW w:w="609" w:type="pct"/>
                  <w:vMerge w:val="restar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声源到评价点距离（m）</w:t>
                  </w:r>
                </w:p>
              </w:tc>
              <w:tc>
                <w:tcPr>
                  <w:tcW w:w="434" w:type="pct"/>
                  <w:vMerge w:val="restar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几何发散衰减</w:t>
                  </w:r>
                </w:p>
              </w:tc>
              <w:tc>
                <w:tcPr>
                  <w:tcW w:w="528" w:type="pct"/>
                  <w:vMerge w:val="restar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车间噪声贡献值</w:t>
                  </w:r>
                </w:p>
              </w:tc>
              <w:tc>
                <w:tcPr>
                  <w:tcW w:w="866" w:type="pct"/>
                  <w:gridSpan w:val="2"/>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本底值</w:t>
                  </w:r>
                </w:p>
              </w:tc>
              <w:tc>
                <w:tcPr>
                  <w:tcW w:w="866" w:type="pct"/>
                  <w:gridSpan w:val="2"/>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预测值</w:t>
                  </w:r>
                </w:p>
              </w:tc>
              <w:tc>
                <w:tcPr>
                  <w:tcW w:w="866" w:type="pct"/>
                  <w:gridSpan w:val="2"/>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517" w:type="pct"/>
                  <w:vMerge w:val="continue"/>
                  <w:tcMar>
                    <w:left w:w="0" w:type="dxa"/>
                    <w:right w:w="0" w:type="dxa"/>
                  </w:tcMar>
                  <w:vAlign w:val="center"/>
                </w:tcPr>
                <w:p>
                  <w:pPr>
                    <w:keepNext w:val="0"/>
                    <w:keepLines w:val="0"/>
                    <w:suppressLineNumbers w:val="0"/>
                    <w:spacing w:before="0" w:beforeAutospacing="0" w:after="0" w:afterAutospacing="0"/>
                    <w:ind w:left="0" w:right="0"/>
                    <w:jc w:val="center"/>
                    <w:rPr>
                      <w:b/>
                      <w:szCs w:val="21"/>
                      <w:highlight w:val="yellow"/>
                    </w:rPr>
                  </w:pPr>
                </w:p>
              </w:tc>
              <w:tc>
                <w:tcPr>
                  <w:tcW w:w="313" w:type="pct"/>
                  <w:vMerge w:val="continue"/>
                  <w:tcMar>
                    <w:left w:w="0" w:type="dxa"/>
                    <w:right w:w="0" w:type="dxa"/>
                  </w:tcMar>
                  <w:vAlign w:val="center"/>
                </w:tcPr>
                <w:p>
                  <w:pPr>
                    <w:keepNext w:val="0"/>
                    <w:keepLines w:val="0"/>
                    <w:suppressLineNumbers w:val="0"/>
                    <w:spacing w:before="0" w:beforeAutospacing="0" w:after="0" w:afterAutospacing="0"/>
                    <w:ind w:left="0" w:right="0"/>
                    <w:jc w:val="center"/>
                    <w:rPr>
                      <w:b/>
                      <w:szCs w:val="21"/>
                      <w:highlight w:val="yellow"/>
                    </w:rPr>
                  </w:pPr>
                </w:p>
              </w:tc>
              <w:tc>
                <w:tcPr>
                  <w:tcW w:w="609" w:type="pct"/>
                  <w:vMerge w:val="continue"/>
                  <w:tcMar>
                    <w:left w:w="0" w:type="dxa"/>
                    <w:right w:w="0" w:type="dxa"/>
                  </w:tcMar>
                  <w:vAlign w:val="center"/>
                </w:tcPr>
                <w:p>
                  <w:pPr>
                    <w:keepNext w:val="0"/>
                    <w:keepLines w:val="0"/>
                    <w:suppressLineNumbers w:val="0"/>
                    <w:spacing w:before="0" w:beforeAutospacing="0" w:after="0" w:afterAutospacing="0"/>
                    <w:ind w:left="0" w:right="0"/>
                    <w:jc w:val="center"/>
                    <w:rPr>
                      <w:b/>
                      <w:szCs w:val="21"/>
                      <w:highlight w:val="yellow"/>
                    </w:rPr>
                  </w:pPr>
                </w:p>
              </w:tc>
              <w:tc>
                <w:tcPr>
                  <w:tcW w:w="434" w:type="pct"/>
                  <w:vMerge w:val="continue"/>
                  <w:tcMar>
                    <w:left w:w="0" w:type="dxa"/>
                    <w:right w:w="0" w:type="dxa"/>
                  </w:tcMar>
                  <w:vAlign w:val="center"/>
                </w:tcPr>
                <w:p>
                  <w:pPr>
                    <w:keepNext w:val="0"/>
                    <w:keepLines w:val="0"/>
                    <w:suppressLineNumbers w:val="0"/>
                    <w:spacing w:before="0" w:beforeAutospacing="0" w:after="0" w:afterAutospacing="0"/>
                    <w:ind w:left="0" w:right="0"/>
                    <w:jc w:val="center"/>
                    <w:rPr>
                      <w:b/>
                      <w:szCs w:val="21"/>
                      <w:highlight w:val="yellow"/>
                    </w:rPr>
                  </w:pPr>
                </w:p>
              </w:tc>
              <w:tc>
                <w:tcPr>
                  <w:tcW w:w="528" w:type="pct"/>
                  <w:vMerge w:val="continue"/>
                  <w:tcMar>
                    <w:left w:w="0" w:type="dxa"/>
                    <w:right w:w="0" w:type="dxa"/>
                  </w:tcMar>
                  <w:vAlign w:val="center"/>
                </w:tcPr>
                <w:p>
                  <w:pPr>
                    <w:keepNext w:val="0"/>
                    <w:keepLines w:val="0"/>
                    <w:suppressLineNumbers w:val="0"/>
                    <w:spacing w:before="0" w:beforeAutospacing="0" w:after="0" w:afterAutospacing="0"/>
                    <w:ind w:left="0" w:right="0"/>
                    <w:jc w:val="center"/>
                    <w:rPr>
                      <w:b/>
                      <w:szCs w:val="21"/>
                      <w:highlight w:val="yellow"/>
                    </w:rPr>
                  </w:pPr>
                </w:p>
              </w:tc>
              <w:tc>
                <w:tcPr>
                  <w:tcW w:w="456"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昼间</w:t>
                  </w:r>
                </w:p>
              </w:tc>
              <w:tc>
                <w:tcPr>
                  <w:tcW w:w="411"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夜间</w:t>
                  </w:r>
                </w:p>
              </w:tc>
              <w:tc>
                <w:tcPr>
                  <w:tcW w:w="456"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昼间</w:t>
                  </w:r>
                </w:p>
              </w:tc>
              <w:tc>
                <w:tcPr>
                  <w:tcW w:w="411"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夜间</w:t>
                  </w:r>
                </w:p>
              </w:tc>
              <w:tc>
                <w:tcPr>
                  <w:tcW w:w="456"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昼间</w:t>
                  </w:r>
                </w:p>
              </w:tc>
              <w:tc>
                <w:tcPr>
                  <w:tcW w:w="411" w:type="pct"/>
                  <w:tcMar>
                    <w:left w:w="0" w:type="dxa"/>
                    <w:right w:w="0" w:type="dxa"/>
                  </w:tcMar>
                  <w:vAlign w:val="center"/>
                </w:tcPr>
                <w:p>
                  <w:pPr>
                    <w:keepNext w:val="0"/>
                    <w:keepLines w:val="0"/>
                    <w:suppressLineNumbers w:val="0"/>
                    <w:spacing w:before="0" w:beforeAutospacing="0" w:after="0" w:afterAutospacing="0"/>
                    <w:ind w:left="0" w:right="0"/>
                    <w:jc w:val="center"/>
                    <w:rPr>
                      <w:b/>
                      <w:szCs w:val="21"/>
                    </w:rPr>
                  </w:pPr>
                  <w:r>
                    <w:rPr>
                      <w:b/>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r>
                    <w:rPr>
                      <w:bCs/>
                      <w:szCs w:val="21"/>
                    </w:rPr>
                    <w:t>东厂界</w:t>
                  </w:r>
                </w:p>
              </w:tc>
              <w:tc>
                <w:tcPr>
                  <w:tcW w:w="313" w:type="pct"/>
                  <w:vMerge w:val="restart"/>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r>
                    <w:rPr>
                      <w:rFonts w:hint="eastAsia"/>
                      <w:bCs/>
                      <w:szCs w:val="21"/>
                    </w:rPr>
                    <w:t>106.3</w:t>
                  </w:r>
                </w:p>
              </w:tc>
              <w:tc>
                <w:tcPr>
                  <w:tcW w:w="609"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110</w:t>
                  </w:r>
                </w:p>
              </w:tc>
              <w:tc>
                <w:tcPr>
                  <w:tcW w:w="434" w:type="pct"/>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40.8</w:t>
                  </w:r>
                </w:p>
              </w:tc>
              <w:tc>
                <w:tcPr>
                  <w:tcW w:w="528"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40.5</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57</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45</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57.10</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46.32</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60</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r>
                    <w:rPr>
                      <w:bCs/>
                      <w:szCs w:val="21"/>
                    </w:rPr>
                    <w:t>南厂界</w:t>
                  </w:r>
                </w:p>
              </w:tc>
              <w:tc>
                <w:tcPr>
                  <w:tcW w:w="313" w:type="pct"/>
                  <w:vMerge w:val="continue"/>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p>
              </w:tc>
              <w:tc>
                <w:tcPr>
                  <w:tcW w:w="609"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100</w:t>
                  </w:r>
                </w:p>
              </w:tc>
              <w:tc>
                <w:tcPr>
                  <w:tcW w:w="434" w:type="pct"/>
                  <w:tcMar>
                    <w:left w:w="28" w:type="dxa"/>
                    <w:right w:w="28"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40.0</w:t>
                  </w:r>
                </w:p>
              </w:tc>
              <w:tc>
                <w:tcPr>
                  <w:tcW w:w="528"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41.3</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57</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45</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57.12</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46.54</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60</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r>
                    <w:rPr>
                      <w:bCs/>
                      <w:szCs w:val="21"/>
                    </w:rPr>
                    <w:t>西厂界</w:t>
                  </w:r>
                </w:p>
              </w:tc>
              <w:tc>
                <w:tcPr>
                  <w:tcW w:w="313" w:type="pct"/>
                  <w:vMerge w:val="continue"/>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pacing w:val="10"/>
                      <w:szCs w:val="21"/>
                    </w:rPr>
                  </w:pPr>
                </w:p>
              </w:tc>
              <w:tc>
                <w:tcPr>
                  <w:tcW w:w="609"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90</w:t>
                  </w:r>
                </w:p>
              </w:tc>
              <w:tc>
                <w:tcPr>
                  <w:tcW w:w="434" w:type="pct"/>
                  <w:tcMar>
                    <w:left w:w="28" w:type="dxa"/>
                    <w:right w:w="28"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39.1</w:t>
                  </w:r>
                </w:p>
              </w:tc>
              <w:tc>
                <w:tcPr>
                  <w:tcW w:w="528"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42.2</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56</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44</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56.18</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46.20</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60</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zCs w:val="21"/>
                    </w:rPr>
                  </w:pPr>
                  <w:r>
                    <w:rPr>
                      <w:bCs/>
                      <w:szCs w:val="21"/>
                    </w:rPr>
                    <w:t>北厂界</w:t>
                  </w:r>
                </w:p>
              </w:tc>
              <w:tc>
                <w:tcPr>
                  <w:tcW w:w="313" w:type="pct"/>
                  <w:vMerge w:val="continue"/>
                  <w:tcMar>
                    <w:left w:w="0" w:type="dxa"/>
                    <w:right w:w="0" w:type="dxa"/>
                  </w:tcMar>
                  <w:vAlign w:val="center"/>
                </w:tcPr>
                <w:p>
                  <w:pPr>
                    <w:keepNext w:val="0"/>
                    <w:keepLines w:val="0"/>
                    <w:suppressLineNumbers w:val="0"/>
                    <w:spacing w:before="0" w:beforeAutospacing="0" w:after="0" w:afterAutospacing="0" w:line="300" w:lineRule="exact"/>
                    <w:ind w:left="0" w:right="0"/>
                    <w:jc w:val="center"/>
                    <w:rPr>
                      <w:bCs/>
                      <w:spacing w:val="10"/>
                      <w:szCs w:val="21"/>
                    </w:rPr>
                  </w:pPr>
                </w:p>
              </w:tc>
              <w:tc>
                <w:tcPr>
                  <w:tcW w:w="609"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65</w:t>
                  </w:r>
                </w:p>
              </w:tc>
              <w:tc>
                <w:tcPr>
                  <w:tcW w:w="434" w:type="pct"/>
                  <w:tcMar>
                    <w:left w:w="28" w:type="dxa"/>
                    <w:right w:w="28"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36.3</w:t>
                  </w:r>
                </w:p>
              </w:tc>
              <w:tc>
                <w:tcPr>
                  <w:tcW w:w="528"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45</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56</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44</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56.33</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rFonts w:hint="eastAsia"/>
                      <w:bCs/>
                      <w:sz w:val="21"/>
                      <w:szCs w:val="21"/>
                    </w:rPr>
                    <w:t>47.54</w:t>
                  </w:r>
                </w:p>
              </w:tc>
              <w:tc>
                <w:tcPr>
                  <w:tcW w:w="456"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60</w:t>
                  </w:r>
                </w:p>
              </w:tc>
              <w:tc>
                <w:tcPr>
                  <w:tcW w:w="411" w:type="pct"/>
                  <w:tcMar>
                    <w:left w:w="0" w:type="dxa"/>
                    <w:right w:w="0" w:type="dxa"/>
                  </w:tcMar>
                  <w:vAlign w:val="center"/>
                </w:tcPr>
                <w:p>
                  <w:pPr>
                    <w:pStyle w:val="15"/>
                    <w:keepNext w:val="0"/>
                    <w:keepLines w:val="0"/>
                    <w:suppressLineNumbers w:val="0"/>
                    <w:tabs>
                      <w:tab w:val="clear" w:pos="4153"/>
                      <w:tab w:val="clear" w:pos="8306"/>
                    </w:tabs>
                    <w:snapToGrid/>
                    <w:spacing w:before="0" w:beforeAutospacing="0" w:after="0" w:afterAutospacing="0" w:line="300" w:lineRule="exact"/>
                    <w:ind w:left="0" w:right="0"/>
                    <w:rPr>
                      <w:bCs/>
                      <w:sz w:val="21"/>
                      <w:szCs w:val="21"/>
                    </w:rPr>
                  </w:pPr>
                  <w:r>
                    <w:rPr>
                      <w:bCs/>
                      <w:sz w:val="21"/>
                      <w:szCs w:val="21"/>
                    </w:rPr>
                    <w:t>50</w:t>
                  </w:r>
                </w:p>
              </w:tc>
            </w:tr>
          </w:tbl>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根据上述</w:t>
            </w:r>
            <w:r>
              <w:rPr>
                <w:rFonts w:hint="eastAsia"/>
                <w:sz w:val="24"/>
              </w:rPr>
              <w:t>预测可知</w:t>
            </w:r>
            <w:r>
              <w:rPr>
                <w:sz w:val="24"/>
              </w:rPr>
              <w:t>，本项目厂界噪声满足《</w:t>
            </w:r>
            <w:r>
              <w:rPr>
                <w:bCs/>
                <w:sz w:val="24"/>
              </w:rPr>
              <w:t>工业企业厂界环境噪声排放标准》</w:t>
            </w:r>
            <w:r>
              <w:rPr>
                <w:rFonts w:hint="eastAsia"/>
                <w:bCs/>
                <w:sz w:val="24"/>
                <w:lang w:eastAsia="zh-CN"/>
              </w:rPr>
              <w:t>（</w:t>
            </w:r>
            <w:r>
              <w:rPr>
                <w:bCs/>
                <w:sz w:val="24"/>
              </w:rPr>
              <w:t>GB12348-2008</w:t>
            </w:r>
            <w:r>
              <w:rPr>
                <w:rFonts w:hint="eastAsia"/>
                <w:bCs/>
                <w:sz w:val="24"/>
                <w:lang w:eastAsia="zh-CN"/>
              </w:rPr>
              <w:t>）</w:t>
            </w:r>
            <w:r>
              <w:rPr>
                <w:sz w:val="24"/>
              </w:rPr>
              <w:t>的</w:t>
            </w:r>
            <w:r>
              <w:rPr>
                <w:rFonts w:hint="eastAsia"/>
                <w:sz w:val="24"/>
              </w:rPr>
              <w:t>2</w:t>
            </w:r>
            <w:r>
              <w:rPr>
                <w:sz w:val="24"/>
              </w:rPr>
              <w:t>类区域标准</w:t>
            </w:r>
            <w:r>
              <w:rPr>
                <w:rFonts w:hint="eastAsia"/>
                <w:sz w:val="24"/>
              </w:rPr>
              <w:t>，</w:t>
            </w:r>
            <w:r>
              <w:rPr>
                <w:sz w:val="24"/>
              </w:rPr>
              <w:t>项目正常生产过程中产生的噪声对周边环境影响</w:t>
            </w:r>
            <w:r>
              <w:rPr>
                <w:rFonts w:hint="eastAsia"/>
                <w:sz w:val="24"/>
              </w:rPr>
              <w:t>较</w:t>
            </w:r>
            <w:r>
              <w:rPr>
                <w:sz w:val="24"/>
              </w:rPr>
              <w:t>小，</w:t>
            </w:r>
            <w:r>
              <w:rPr>
                <w:rFonts w:hint="eastAsia"/>
                <w:sz w:val="24"/>
              </w:rPr>
              <w:t>并且距离居民点（本项目最近敏感点为涂</w:t>
            </w:r>
            <w:r>
              <w:rPr>
                <w:rFonts w:hint="eastAsia"/>
                <w:sz w:val="24"/>
                <w:lang w:eastAsia="zh-CN"/>
              </w:rPr>
              <w:t>敷</w:t>
            </w:r>
            <w:r>
              <w:rPr>
                <w:rFonts w:hint="eastAsia"/>
                <w:sz w:val="24"/>
              </w:rPr>
              <w:t>注塑车间东北侧108米处支家头）较远，</w:t>
            </w:r>
            <w:r>
              <w:rPr>
                <w:sz w:val="24"/>
              </w:rPr>
              <w:t>不会造成噪声扰民现象。</w:t>
            </w:r>
          </w:p>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（4）噪声监测计划</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Ansi="宋体"/>
                <w:sz w:val="24"/>
              </w:rPr>
              <w:t>监测点位：厂界四周布设</w:t>
            </w:r>
            <w:r>
              <w:rPr>
                <w:sz w:val="24"/>
              </w:rPr>
              <w:t>4</w:t>
            </w:r>
            <w:r>
              <w:rPr>
                <w:rFonts w:hAnsi="宋体"/>
                <w:sz w:val="24"/>
              </w:rPr>
              <w:t>个点位；</w:t>
            </w:r>
          </w:p>
          <w:p>
            <w:pPr>
              <w:keepNext w:val="0"/>
              <w:keepLines w:val="0"/>
              <w:suppressLineNumbers w:val="0"/>
              <w:adjustRightInd w:val="0"/>
              <w:snapToGrid w:val="0"/>
              <w:spacing w:before="0" w:beforeAutospacing="0" w:after="0" w:afterAutospacing="0" w:line="360" w:lineRule="auto"/>
              <w:ind w:left="0" w:right="0" w:firstLine="480" w:firstLineChars="200"/>
              <w:rPr>
                <w:rFonts w:ascii="宋体" w:hAnsi="宋体" w:cs="宋体"/>
                <w:sz w:val="24"/>
              </w:rPr>
            </w:pPr>
            <w:r>
              <w:rPr>
                <w:rFonts w:hAnsi="宋体"/>
                <w:sz w:val="24"/>
              </w:rPr>
              <w:t>监测频次：按照</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 xml:space="preserve">排污单位自行监测技术指南 </w:t>
            </w:r>
            <w:r>
              <w:rPr>
                <w:rFonts w:hint="eastAsia" w:ascii="宋体" w:hAnsi="宋体"/>
                <w:sz w:val="24"/>
                <w:lang w:eastAsia="zh-CN"/>
              </w:rPr>
              <w:t>总则</w:t>
            </w:r>
            <w:r>
              <w:rPr>
                <w:rFonts w:hint="eastAsia" w:ascii="宋体" w:hAnsi="宋体"/>
                <w:sz w:val="24"/>
              </w:rPr>
              <w:t>》</w:t>
            </w:r>
            <w:r>
              <w:rPr>
                <w:rFonts w:hAnsi="宋体"/>
                <w:sz w:val="24"/>
              </w:rPr>
              <w:t>（</w:t>
            </w:r>
            <w:r>
              <w:rPr>
                <w:sz w:val="24"/>
              </w:rPr>
              <w:t xml:space="preserve">HJ </w:t>
            </w:r>
            <w:r>
              <w:rPr>
                <w:rFonts w:hint="eastAsia"/>
                <w:sz w:val="24"/>
                <w:lang w:val="en-US" w:eastAsia="zh-CN"/>
              </w:rPr>
              <w:t>819</w:t>
            </w:r>
            <w:r>
              <w:rPr>
                <w:sz w:val="24"/>
              </w:rPr>
              <w:t>—20</w:t>
            </w:r>
            <w:r>
              <w:rPr>
                <w:rFonts w:hint="eastAsia"/>
                <w:sz w:val="24"/>
                <w:lang w:val="en-US" w:eastAsia="zh-CN"/>
              </w:rPr>
              <w:t>17</w:t>
            </w:r>
            <w:r>
              <w:rPr>
                <w:rFonts w:hAnsi="宋体"/>
                <w:sz w:val="24"/>
              </w:rPr>
              <w:t>）</w:t>
            </w:r>
            <w:r>
              <w:rPr>
                <w:rFonts w:hAnsi="宋体"/>
                <w:sz w:val="24"/>
              </w:rPr>
              <w:fldChar w:fldCharType="end"/>
            </w:r>
            <w:r>
              <w:rPr>
                <w:rFonts w:hint="eastAsia" w:hAnsi="宋体"/>
                <w:sz w:val="24"/>
                <w:lang w:eastAsia="zh-CN"/>
              </w:rPr>
              <w:t>、</w:t>
            </w:r>
            <w:r>
              <w:rPr>
                <w:rFonts w:hint="eastAsia" w:ascii="宋体" w:hAnsi="宋体"/>
                <w:sz w:val="24"/>
              </w:rPr>
              <w:t>《</w:t>
            </w:r>
            <w:r>
              <w:fldChar w:fldCharType="begin"/>
            </w:r>
            <w:r>
              <w:instrText xml:space="preserve"> HYPERLINK "https://www.mee.gov.cn/ywgz/fgbz/bz/bzwb/jcffbz/202001/W020200113417476489912.pdf" </w:instrText>
            </w:r>
            <w:r>
              <w:fldChar w:fldCharType="separate"/>
            </w:r>
            <w:r>
              <w:rPr>
                <w:rFonts w:hint="eastAsia" w:ascii="宋体" w:hAnsi="宋体"/>
                <w:sz w:val="24"/>
              </w:rPr>
              <w:t>排污单位自行监测技术指南 涂装》</w:t>
            </w:r>
            <w:r>
              <w:rPr>
                <w:rFonts w:hAnsi="宋体"/>
                <w:sz w:val="24"/>
              </w:rPr>
              <w:t>（</w:t>
            </w:r>
            <w:r>
              <w:rPr>
                <w:sz w:val="24"/>
              </w:rPr>
              <w:t>HJ 1086—2020</w:t>
            </w:r>
            <w:r>
              <w:rPr>
                <w:rFonts w:hAnsi="宋体"/>
                <w:sz w:val="24"/>
              </w:rPr>
              <w:t>）</w:t>
            </w:r>
            <w:r>
              <w:rPr>
                <w:rFonts w:hAnsi="宋体"/>
                <w:sz w:val="24"/>
              </w:rPr>
              <w:fldChar w:fldCharType="end"/>
            </w:r>
            <w:r>
              <w:rPr>
                <w:rFonts w:hAnsi="宋体"/>
                <w:sz w:val="24"/>
              </w:rPr>
              <w:t>中相关要求</w:t>
            </w:r>
            <w:r>
              <w:rPr>
                <w:rFonts w:hint="eastAsia" w:ascii="宋体" w:hAnsi="宋体" w:cs="宋体"/>
                <w:sz w:val="24"/>
              </w:rPr>
              <w:t>；</w:t>
            </w:r>
          </w:p>
          <w:p>
            <w:pPr>
              <w:keepNext w:val="0"/>
              <w:keepLines w:val="0"/>
              <w:suppressLineNumbers w:val="0"/>
              <w:spacing w:before="0" w:beforeAutospacing="0" w:after="0" w:afterAutospacing="0" w:line="360" w:lineRule="auto"/>
              <w:ind w:left="0" w:right="0" w:firstLine="480" w:firstLineChars="200"/>
              <w:rPr>
                <w:sz w:val="24"/>
              </w:rPr>
            </w:pPr>
            <w:r>
              <w:rPr>
                <w:rFonts w:hAnsi="宋体"/>
                <w:sz w:val="24"/>
              </w:rPr>
              <w:t>监测因子：</w:t>
            </w:r>
            <w:r>
              <w:rPr>
                <w:rFonts w:hAnsi="宋体"/>
                <w:bCs/>
                <w:sz w:val="24"/>
              </w:rPr>
              <w:t>厂界噪声</w:t>
            </w:r>
            <w:r>
              <w:rPr>
                <w:rFonts w:hAnsi="宋体"/>
                <w:sz w:val="24"/>
              </w:rPr>
              <w:t>昼间</w:t>
            </w:r>
            <w:r>
              <w:rPr>
                <w:rFonts w:hAnsi="宋体"/>
                <w:bCs/>
                <w:sz w:val="24"/>
              </w:rPr>
              <w:t>等效连续</w:t>
            </w:r>
            <w:r>
              <w:rPr>
                <w:bCs/>
                <w:sz w:val="24"/>
              </w:rPr>
              <w:t>A</w:t>
            </w:r>
            <w:r>
              <w:rPr>
                <w:rFonts w:hAnsi="宋体"/>
                <w:bCs/>
                <w:sz w:val="24"/>
              </w:rPr>
              <w:t>声级</w:t>
            </w:r>
            <w:r>
              <w:rPr>
                <w:sz w:val="24"/>
              </w:rPr>
              <w:t>Leq(A)</w:t>
            </w:r>
            <w:r>
              <w:rPr>
                <w:rFonts w:hAnsi="宋体"/>
                <w:sz w:val="24"/>
              </w:rPr>
              <w:t>。</w:t>
            </w:r>
          </w:p>
          <w:p>
            <w:pPr>
              <w:keepNext w:val="0"/>
              <w:keepLines w:val="0"/>
              <w:suppressLineNumbers w:val="0"/>
              <w:spacing w:before="0" w:beforeAutospacing="0" w:after="0" w:afterAutospacing="0" w:line="360" w:lineRule="auto"/>
              <w:ind w:left="0" w:right="0" w:firstLine="480" w:firstLineChars="200"/>
              <w:rPr>
                <w:sz w:val="24"/>
              </w:rPr>
            </w:pPr>
            <w:r>
              <w:rPr>
                <w:rFonts w:hAnsi="宋体"/>
                <w:sz w:val="24"/>
              </w:rPr>
              <w:t>噪声监测位置、监测因子、频率等详见</w:t>
            </w:r>
            <w:r>
              <w:rPr>
                <w:rFonts w:hint="eastAsia" w:hAnsi="宋体"/>
                <w:sz w:val="24"/>
              </w:rPr>
              <w:t>下</w:t>
            </w:r>
            <w:r>
              <w:rPr>
                <w:rFonts w:hAnsi="宋体"/>
                <w:sz w:val="24"/>
              </w:rPr>
              <w:t>表。</w:t>
            </w:r>
          </w:p>
          <w:p>
            <w:pPr>
              <w:pStyle w:val="77"/>
              <w:keepNext w:val="0"/>
              <w:keepLines w:val="0"/>
              <w:suppressLineNumbers w:val="0"/>
              <w:spacing w:before="0" w:beforeLines="0" w:beforeAutospacing="0" w:after="0" w:afterAutospacing="0" w:line="240" w:lineRule="auto"/>
              <w:ind w:left="0" w:right="0" w:firstLine="0" w:firstLineChars="0"/>
              <w:jc w:val="center"/>
              <w:rPr>
                <w:rFonts w:ascii="宋体" w:hAnsi="宋体"/>
                <w:b/>
              </w:rPr>
            </w:pPr>
            <w:r>
              <w:rPr>
                <w:rFonts w:hAnsi="宋体" w:cs="Times New Roman"/>
                <w:b/>
              </w:rPr>
              <w:t>表</w:t>
            </w:r>
            <w:r>
              <w:rPr>
                <w:rFonts w:hint="eastAsia" w:cs="Times New Roman"/>
                <w:b/>
              </w:rPr>
              <w:t>4-19</w:t>
            </w:r>
            <w:r>
              <w:rPr>
                <w:rFonts w:cs="Times New Roman"/>
                <w:b/>
              </w:rPr>
              <w:t xml:space="preserve"> </w:t>
            </w:r>
            <w:r>
              <w:rPr>
                <w:rFonts w:hAnsi="宋体" w:cs="Times New Roman"/>
                <w:b/>
              </w:rPr>
              <w:t>噪声监</w:t>
            </w:r>
            <w:r>
              <w:rPr>
                <w:rFonts w:hint="eastAsia" w:ascii="宋体" w:hAnsi="宋体"/>
                <w:b/>
              </w:rPr>
              <w:t>测因子及频次表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954"/>
              <w:gridCol w:w="3037"/>
              <w:gridCol w:w="1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污染种类</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监测点位</w:t>
                  </w:r>
                </w:p>
              </w:tc>
              <w:tc>
                <w:tcPr>
                  <w:tcW w:w="1856"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监测项目</w:t>
                  </w:r>
                </w:p>
              </w:tc>
              <w:tc>
                <w:tcPr>
                  <w:tcW w:w="1046" w:type="pct"/>
                  <w:vAlign w:val="center"/>
                </w:tcPr>
                <w:p>
                  <w:pPr>
                    <w:keepNext w:val="0"/>
                    <w:keepLines w:val="0"/>
                    <w:suppressLineNumbers w:val="0"/>
                    <w:adjustRightInd w:val="0"/>
                    <w:snapToGrid w:val="0"/>
                    <w:spacing w:before="0" w:beforeAutospacing="0" w:after="0" w:afterAutospacing="0"/>
                    <w:ind w:left="0" w:right="0"/>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噪声</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厂界四周边界</w:t>
                  </w:r>
                </w:p>
              </w:tc>
              <w:tc>
                <w:tcPr>
                  <w:tcW w:w="185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连续等效A声级</w:t>
                  </w:r>
                </w:p>
              </w:tc>
              <w:tc>
                <w:tcPr>
                  <w:tcW w:w="104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每季度监测</w:t>
                  </w:r>
                  <w:r>
                    <w:rPr>
                      <w:szCs w:val="21"/>
                    </w:rPr>
                    <w:t>1</w:t>
                  </w:r>
                  <w:r>
                    <w:rPr>
                      <w:rFonts w:hAnsi="宋体"/>
                      <w:szCs w:val="21"/>
                    </w:rPr>
                    <w:t>次（</w:t>
                  </w:r>
                  <w:r>
                    <w:rPr>
                      <w:szCs w:val="21"/>
                    </w:rPr>
                    <w:t>昼夜间）</w:t>
                  </w:r>
                </w:p>
              </w:tc>
            </w:tr>
          </w:tbl>
          <w:p>
            <w:pPr>
              <w:keepNext w:val="0"/>
              <w:keepLines w:val="0"/>
              <w:suppressLineNumbers w:val="0"/>
              <w:adjustRightInd w:val="0"/>
              <w:snapToGrid w:val="0"/>
              <w:spacing w:before="0" w:beforeAutospacing="0" w:after="0" w:afterAutospacing="0" w:line="360" w:lineRule="auto"/>
              <w:ind w:left="0" w:right="0"/>
              <w:rPr>
                <w:b/>
                <w:bCs/>
                <w:sz w:val="24"/>
              </w:rPr>
            </w:pPr>
            <w:r>
              <w:rPr>
                <w:rFonts w:hint="eastAsia"/>
                <w:b/>
                <w:sz w:val="24"/>
              </w:rPr>
              <w:t>4</w:t>
            </w:r>
            <w:r>
              <w:rPr>
                <w:b/>
                <w:sz w:val="24"/>
              </w:rPr>
              <w:t>、固体废物</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b/>
                <w:bCs/>
                <w:sz w:val="24"/>
              </w:rPr>
              <w:t>（</w:t>
            </w:r>
            <w:r>
              <w:rPr>
                <w:rFonts w:hint="eastAsia"/>
                <w:b/>
                <w:bCs/>
                <w:sz w:val="24"/>
              </w:rPr>
              <w:t>1</w:t>
            </w:r>
            <w:r>
              <w:rPr>
                <w:b/>
                <w:bCs/>
                <w:sz w:val="24"/>
              </w:rPr>
              <w:t>）项目固体废物产生情况</w:t>
            </w:r>
          </w:p>
          <w:p>
            <w:pPr>
              <w:pStyle w:val="5"/>
              <w:keepNext w:val="0"/>
              <w:keepLines w:val="0"/>
              <w:suppressLineNumbers w:val="0"/>
              <w:adjustRightInd w:val="0"/>
              <w:snapToGrid w:val="0"/>
              <w:spacing w:before="0" w:beforeAutospacing="0" w:after="0" w:afterAutospacing="0" w:line="360" w:lineRule="auto"/>
              <w:ind w:left="0" w:right="0" w:firstLine="482" w:firstLineChars="200"/>
              <w:rPr>
                <w:rFonts w:ascii="Times New Roman" w:hAnsi="Times New Roman"/>
                <w:b/>
                <w:sz w:val="24"/>
                <w:szCs w:val="24"/>
              </w:rPr>
            </w:pPr>
            <w:r>
              <w:rPr>
                <w:rFonts w:ascii="Times New Roman" w:hAnsi="Times New Roman"/>
                <w:b/>
                <w:sz w:val="24"/>
                <w:szCs w:val="24"/>
              </w:rPr>
              <w:t>1）一般固废</w:t>
            </w:r>
          </w:p>
          <w:p>
            <w:pPr>
              <w:keepNext w:val="0"/>
              <w:keepLines w:val="0"/>
              <w:suppressLineNumbers w:val="0"/>
              <w:spacing w:before="0" w:beforeAutospacing="0" w:after="0" w:afterAutospacing="0" w:line="360" w:lineRule="auto"/>
              <w:ind w:left="0" w:right="0" w:firstLine="482" w:firstLineChars="200"/>
              <w:rPr>
                <w:sz w:val="24"/>
              </w:rPr>
            </w:pPr>
            <w:r>
              <w:rPr>
                <w:b/>
                <w:sz w:val="24"/>
              </w:rPr>
              <w:t>废包装袋：</w:t>
            </w:r>
            <w:r>
              <w:rPr>
                <w:sz w:val="24"/>
              </w:rPr>
              <w:t>项目</w:t>
            </w:r>
            <w:r>
              <w:rPr>
                <w:rFonts w:hint="eastAsia"/>
                <w:sz w:val="24"/>
              </w:rPr>
              <w:t>聚丙烯、环氧树脂粉</w:t>
            </w:r>
            <w:r>
              <w:rPr>
                <w:sz w:val="24"/>
              </w:rPr>
              <w:t>为袋装，废包装袋的产生量约为</w:t>
            </w:r>
            <w:r>
              <w:rPr>
                <w:rFonts w:hint="eastAsia"/>
                <w:sz w:val="24"/>
              </w:rPr>
              <w:t>60</w:t>
            </w:r>
            <w:r>
              <w:rPr>
                <w:sz w:val="24"/>
              </w:rPr>
              <w:t>00个，产生量约为</w:t>
            </w:r>
            <w:r>
              <w:rPr>
                <w:rFonts w:hint="eastAsia"/>
                <w:sz w:val="24"/>
              </w:rPr>
              <w:t>0.6</w:t>
            </w:r>
            <w:r>
              <w:rPr>
                <w:sz w:val="24"/>
              </w:rPr>
              <w:t>t/a</w:t>
            </w:r>
            <w:r>
              <w:rPr>
                <w:rFonts w:hint="eastAsia"/>
                <w:sz w:val="24"/>
                <w:lang w:eastAsia="zh-CN"/>
              </w:rPr>
              <w:t>，收集后外售综合利用</w:t>
            </w:r>
            <w:r>
              <w:rPr>
                <w:sz w:val="24"/>
              </w:rPr>
              <w:t>。</w:t>
            </w:r>
          </w:p>
          <w:p>
            <w:pPr>
              <w:keepNext w:val="0"/>
              <w:keepLines w:val="0"/>
              <w:suppressLineNumbers w:val="0"/>
              <w:spacing w:before="0" w:beforeAutospacing="0" w:after="0" w:afterAutospacing="0" w:line="360" w:lineRule="auto"/>
              <w:ind w:left="0" w:right="0" w:firstLine="482" w:firstLineChars="200"/>
              <w:rPr>
                <w:rFonts w:hint="eastAsia" w:eastAsia="宋体"/>
                <w:sz w:val="24"/>
                <w:lang w:val="en-US" w:eastAsia="zh-CN"/>
              </w:rPr>
            </w:pPr>
            <w:r>
              <w:rPr>
                <w:rFonts w:hint="eastAsia"/>
                <w:b/>
                <w:sz w:val="24"/>
              </w:rPr>
              <w:t>不合格品：</w:t>
            </w:r>
            <w:r>
              <w:rPr>
                <w:rFonts w:hint="eastAsia"/>
                <w:sz w:val="24"/>
              </w:rPr>
              <w:t>项目产品检验</w:t>
            </w:r>
            <w:r>
              <w:rPr>
                <w:rFonts w:hint="eastAsia"/>
                <w:sz w:val="24"/>
                <w:lang w:eastAsia="zh-CN"/>
              </w:rPr>
              <w:t>过程中会</w:t>
            </w:r>
            <w:r>
              <w:rPr>
                <w:rFonts w:hint="eastAsia"/>
                <w:sz w:val="24"/>
              </w:rPr>
              <w:t>产生不合格品，根据企业提供资料，产生量</w:t>
            </w:r>
            <w:r>
              <w:rPr>
                <w:rFonts w:hint="eastAsia"/>
                <w:sz w:val="24"/>
                <w:lang w:eastAsia="zh-CN"/>
              </w:rPr>
              <w:t>约</w:t>
            </w:r>
            <w:r>
              <w:rPr>
                <w:rFonts w:hint="eastAsia"/>
                <w:sz w:val="24"/>
              </w:rPr>
              <w:t>为0.02%，则产生量约为</w:t>
            </w:r>
            <w:r>
              <w:rPr>
                <w:rFonts w:hint="eastAsia"/>
                <w:sz w:val="24"/>
                <w:lang w:val="en-US" w:eastAsia="zh-CN"/>
              </w:rPr>
              <w:t>12</w:t>
            </w:r>
            <w:r>
              <w:rPr>
                <w:rFonts w:hint="eastAsia"/>
                <w:sz w:val="24"/>
              </w:rPr>
              <w:t>t/a</w:t>
            </w:r>
            <w:r>
              <w:rPr>
                <w:rFonts w:hint="eastAsia"/>
                <w:sz w:val="24"/>
                <w:lang w:eastAsia="zh-CN"/>
              </w:rPr>
              <w:t>，收集后外售综合利用</w:t>
            </w:r>
            <w:r>
              <w:rPr>
                <w:rFonts w:hint="eastAsia"/>
                <w:sz w:val="24"/>
              </w:rPr>
              <w:t>。</w:t>
            </w:r>
          </w:p>
          <w:p>
            <w:pPr>
              <w:keepNext w:val="0"/>
              <w:keepLines w:val="0"/>
              <w:suppressLineNumbers w:val="0"/>
              <w:spacing w:before="0" w:beforeAutospacing="0" w:after="0" w:afterAutospacing="0" w:line="360" w:lineRule="auto"/>
              <w:ind w:left="0" w:right="0" w:firstLine="482" w:firstLineChars="200"/>
              <w:rPr>
                <w:sz w:val="24"/>
              </w:rPr>
            </w:pPr>
            <w:r>
              <w:rPr>
                <w:rFonts w:hint="eastAsia"/>
                <w:b/>
                <w:sz w:val="24"/>
              </w:rPr>
              <w:t>边角料：</w:t>
            </w:r>
            <w:r>
              <w:rPr>
                <w:rFonts w:hint="eastAsia"/>
                <w:sz w:val="24"/>
              </w:rPr>
              <w:t>项目纵剪、冲压、机加工、攻丝加工过程会产生边角料，根据企业提供资料，产生量</w:t>
            </w:r>
            <w:r>
              <w:rPr>
                <w:rFonts w:hint="eastAsia"/>
                <w:sz w:val="24"/>
                <w:lang w:eastAsia="zh-CN"/>
              </w:rPr>
              <w:t>约</w:t>
            </w:r>
            <w:r>
              <w:rPr>
                <w:rFonts w:hint="eastAsia"/>
                <w:sz w:val="24"/>
              </w:rPr>
              <w:t>为2%，</w:t>
            </w:r>
            <w:r>
              <w:rPr>
                <w:rFonts w:hint="eastAsia"/>
                <w:sz w:val="24"/>
                <w:lang w:eastAsia="zh-CN"/>
              </w:rPr>
              <w:t>则</w:t>
            </w:r>
            <w:r>
              <w:rPr>
                <w:rFonts w:hint="eastAsia"/>
                <w:sz w:val="24"/>
              </w:rPr>
              <w:t>边角料产生量约为1200t/a</w:t>
            </w:r>
            <w:r>
              <w:rPr>
                <w:rFonts w:hint="eastAsia"/>
                <w:sz w:val="24"/>
                <w:lang w:eastAsia="zh-CN"/>
              </w:rPr>
              <w:t>，收集后外售综合利用</w:t>
            </w:r>
            <w:r>
              <w:rPr>
                <w:rFonts w:hint="eastAsia"/>
                <w:sz w:val="24"/>
              </w:rPr>
              <w:t>。</w:t>
            </w:r>
          </w:p>
          <w:p>
            <w:pPr>
              <w:keepNext w:val="0"/>
              <w:keepLines w:val="0"/>
              <w:suppressLineNumbers w:val="0"/>
              <w:spacing w:before="0" w:beforeAutospacing="0" w:after="0" w:afterAutospacing="0" w:line="360" w:lineRule="auto"/>
              <w:ind w:left="0" w:right="0" w:firstLine="482" w:firstLineChars="200"/>
              <w:rPr>
                <w:rFonts w:hint="eastAsia" w:hAnsi="宋体"/>
                <w:sz w:val="24"/>
              </w:rPr>
            </w:pPr>
            <w:r>
              <w:rPr>
                <w:rFonts w:hint="eastAsia"/>
                <w:b/>
                <w:sz w:val="24"/>
                <w:lang w:eastAsia="zh-CN"/>
              </w:rPr>
              <w:t>收集</w:t>
            </w:r>
            <w:r>
              <w:rPr>
                <w:b/>
                <w:sz w:val="24"/>
              </w:rPr>
              <w:t>粉尘</w:t>
            </w:r>
            <w:r>
              <w:rPr>
                <w:rFonts w:hint="eastAsia"/>
                <w:b/>
                <w:sz w:val="24"/>
                <w:lang w:eastAsia="zh-CN"/>
              </w:rPr>
              <w:t>（涂敷）</w:t>
            </w:r>
            <w:r>
              <w:rPr>
                <w:b/>
                <w:sz w:val="24"/>
              </w:rPr>
              <w:t>：</w:t>
            </w:r>
            <w:r>
              <w:rPr>
                <w:rFonts w:hint="eastAsia" w:hAnsi="宋体"/>
                <w:sz w:val="24"/>
              </w:rPr>
              <w:t>项目涂敷过程中</w:t>
            </w:r>
            <w:r>
              <w:rPr>
                <w:rFonts w:hint="eastAsia" w:hAnsi="宋体"/>
                <w:sz w:val="24"/>
                <w:lang w:eastAsia="zh-CN"/>
              </w:rPr>
              <w:t>有</w:t>
            </w:r>
            <w:r>
              <w:rPr>
                <w:rFonts w:hint="eastAsia" w:hAnsi="宋体"/>
                <w:sz w:val="24"/>
                <w:lang w:val="en-US" w:eastAsia="zh-CN"/>
              </w:rPr>
              <w:t>5%的粉尘</w:t>
            </w:r>
            <w:r>
              <w:rPr>
                <w:rFonts w:hint="eastAsia" w:ascii="宋体" w:hAnsi="宋体" w:eastAsia="宋体" w:cs="Times New Roman"/>
                <w:sz w:val="24"/>
                <w:szCs w:val="24"/>
                <w:lang w:val="en-US" w:eastAsia="zh-CN" w:bidi="ar"/>
              </w:rPr>
              <w:t>在涂敷室内自然沉降</w:t>
            </w:r>
            <w:r>
              <w:rPr>
                <w:rFonts w:hint="default" w:ascii="Times New Roman" w:hAnsi="Times New Roman" w:cs="Times New Roman"/>
                <w:sz w:val="24"/>
                <w:szCs w:val="24"/>
                <w:lang w:val="en-US" w:eastAsia="zh-CN" w:bidi="ar"/>
              </w:rPr>
              <w:t>，5%</w:t>
            </w:r>
            <w:r>
              <w:rPr>
                <w:rFonts w:hint="eastAsia" w:hAnsi="宋体"/>
                <w:sz w:val="24"/>
                <w:lang w:val="en-US" w:eastAsia="zh-CN"/>
              </w:rPr>
              <w:t>的粉尘</w:t>
            </w:r>
            <w:r>
              <w:rPr>
                <w:rFonts w:hint="eastAsia" w:hAnsi="宋体"/>
                <w:sz w:val="24"/>
              </w:rPr>
              <w:t>经</w:t>
            </w:r>
            <w:r>
              <w:rPr>
                <w:rFonts w:hint="eastAsia"/>
                <w:sz w:val="24"/>
              </w:rPr>
              <w:t>旋风分离塔+二级滤芯除尘器</w:t>
            </w:r>
            <w:r>
              <w:rPr>
                <w:rFonts w:hint="eastAsia" w:hAnsi="宋体"/>
                <w:sz w:val="24"/>
              </w:rPr>
              <w:t>处理，该过程会产生</w:t>
            </w:r>
            <w:r>
              <w:rPr>
                <w:rFonts w:hint="eastAsia" w:hAnsi="宋体"/>
                <w:sz w:val="24"/>
                <w:lang w:eastAsia="zh-CN"/>
              </w:rPr>
              <w:t>收集</w:t>
            </w:r>
            <w:r>
              <w:rPr>
                <w:rFonts w:hint="eastAsia" w:hAnsi="宋体"/>
                <w:sz w:val="24"/>
              </w:rPr>
              <w:t>粉尘</w:t>
            </w:r>
            <w:r>
              <w:rPr>
                <w:rFonts w:hint="eastAsia" w:hAnsi="宋体"/>
                <w:sz w:val="24"/>
                <w:lang w:eastAsia="zh-CN"/>
              </w:rPr>
              <w:t>（涂敷）</w:t>
            </w:r>
            <w:r>
              <w:rPr>
                <w:rFonts w:hint="eastAsia" w:hAnsi="宋体"/>
                <w:sz w:val="24"/>
              </w:rPr>
              <w:t>，产生量</w:t>
            </w:r>
            <w:r>
              <w:rPr>
                <w:rFonts w:hint="eastAsia" w:hAnsi="宋体"/>
                <w:sz w:val="24"/>
                <w:lang w:eastAsia="zh-CN"/>
              </w:rPr>
              <w:t>约</w:t>
            </w:r>
            <w:r>
              <w:rPr>
                <w:rFonts w:hint="eastAsia" w:hAnsi="宋体"/>
                <w:sz w:val="24"/>
              </w:rPr>
              <w:t>为</w:t>
            </w:r>
            <w:r>
              <w:rPr>
                <w:rFonts w:hint="eastAsia" w:hAnsi="宋体"/>
                <w:sz w:val="24"/>
                <w:lang w:val="en-US" w:eastAsia="zh-CN"/>
              </w:rPr>
              <w:t>9.802</w:t>
            </w:r>
            <w:r>
              <w:rPr>
                <w:rFonts w:hint="eastAsia" w:hAnsi="宋体"/>
                <w:sz w:val="24"/>
              </w:rPr>
              <w:t>t/a</w:t>
            </w:r>
            <w:r>
              <w:rPr>
                <w:rFonts w:hint="eastAsia"/>
                <w:sz w:val="24"/>
                <w:lang w:eastAsia="zh-CN"/>
              </w:rPr>
              <w:t>，收集后回用于生产</w:t>
            </w:r>
            <w:r>
              <w:rPr>
                <w:rFonts w:hint="eastAsia" w:hAnsi="宋体"/>
                <w:sz w:val="24"/>
              </w:rPr>
              <w:t>。</w:t>
            </w:r>
          </w:p>
          <w:p>
            <w:pPr>
              <w:keepNext w:val="0"/>
              <w:keepLines w:val="0"/>
              <w:suppressLineNumbers w:val="0"/>
              <w:spacing w:before="0" w:beforeAutospacing="0" w:after="0" w:afterAutospacing="0" w:line="360" w:lineRule="auto"/>
              <w:ind w:left="0" w:right="0" w:firstLine="482" w:firstLineChars="200"/>
              <w:rPr>
                <w:rFonts w:hint="default" w:eastAsia="宋体"/>
                <w:lang w:val="en-US" w:eastAsia="zh-CN"/>
              </w:rPr>
            </w:pPr>
            <w:r>
              <w:rPr>
                <w:rFonts w:hint="eastAsia"/>
                <w:b/>
                <w:sz w:val="24"/>
                <w:lang w:eastAsia="zh-CN"/>
              </w:rPr>
              <w:t>收集</w:t>
            </w:r>
            <w:r>
              <w:rPr>
                <w:b/>
                <w:sz w:val="24"/>
              </w:rPr>
              <w:t>粉尘</w:t>
            </w:r>
            <w:r>
              <w:rPr>
                <w:rFonts w:hint="eastAsia"/>
                <w:b/>
                <w:sz w:val="24"/>
                <w:lang w:eastAsia="zh-CN"/>
              </w:rPr>
              <w:t>（焊接）：</w:t>
            </w:r>
            <w:r>
              <w:rPr>
                <w:rFonts w:hint="eastAsia"/>
                <w:b w:val="0"/>
                <w:bCs/>
                <w:sz w:val="24"/>
                <w:lang w:eastAsia="zh-CN"/>
              </w:rPr>
              <w:t>项目焊接烟尘经移动式滤芯除尘器处理，该过程会产生收集粉尘（焊接），产生量约为</w:t>
            </w:r>
            <w:r>
              <w:rPr>
                <w:rFonts w:hint="eastAsia"/>
                <w:b w:val="0"/>
                <w:bCs/>
                <w:sz w:val="24"/>
                <w:lang w:val="en-US" w:eastAsia="zh-CN"/>
              </w:rPr>
              <w:t>0.0014t/a</w:t>
            </w:r>
            <w:r>
              <w:rPr>
                <w:rFonts w:hint="eastAsia"/>
                <w:sz w:val="24"/>
                <w:lang w:eastAsia="zh-CN"/>
              </w:rPr>
              <w:t>，收集后外售综合利用</w:t>
            </w:r>
            <w:r>
              <w:rPr>
                <w:rFonts w:hint="eastAsia"/>
                <w:b w:val="0"/>
                <w:bCs/>
                <w:sz w:val="24"/>
                <w:lang w:val="en-US" w:eastAsia="zh-CN"/>
              </w:rPr>
              <w:t>。</w:t>
            </w:r>
          </w:p>
          <w:p>
            <w:pPr>
              <w:keepNext w:val="0"/>
              <w:keepLines w:val="0"/>
              <w:suppressLineNumbers w:val="0"/>
              <w:spacing w:before="0" w:beforeAutospacing="0" w:after="0" w:afterAutospacing="0" w:line="360" w:lineRule="auto"/>
              <w:ind w:left="0" w:right="0" w:firstLine="482" w:firstLineChars="200"/>
              <w:rPr>
                <w:sz w:val="24"/>
              </w:rPr>
            </w:pPr>
            <w:r>
              <w:rPr>
                <w:rFonts w:hint="eastAsia" w:hAnsi="宋体"/>
                <w:b/>
                <w:sz w:val="24"/>
              </w:rPr>
              <w:t>废滤芯：</w:t>
            </w:r>
            <w:r>
              <w:rPr>
                <w:rFonts w:hint="eastAsia" w:hAnsi="宋体"/>
                <w:sz w:val="24"/>
              </w:rPr>
              <w:t>企业二级滤芯除尘器内滤芯每4个月更换一次，移动式滤芯除尘器内滤芯每年更换一次。企业共设1个移动式滤芯除尘器、30套</w:t>
            </w:r>
            <w:r>
              <w:rPr>
                <w:rFonts w:hint="eastAsia"/>
                <w:sz w:val="24"/>
              </w:rPr>
              <w:t>旋风分离塔+二级滤芯除尘器，每套二级滤芯除尘器包含6个滤芯，移动式滤芯除尘器包含1个滤芯，一年共更换滤芯181个，则</w:t>
            </w:r>
            <w:r>
              <w:rPr>
                <w:rFonts w:hint="eastAsia" w:hAnsi="宋体"/>
                <w:sz w:val="24"/>
              </w:rPr>
              <w:t>废滤芯产生量</w:t>
            </w:r>
            <w:r>
              <w:rPr>
                <w:rFonts w:hint="eastAsia" w:hAnsi="宋体"/>
                <w:sz w:val="24"/>
                <w:lang w:eastAsia="zh-CN"/>
              </w:rPr>
              <w:t>约</w:t>
            </w:r>
            <w:r>
              <w:rPr>
                <w:rFonts w:hint="eastAsia" w:hAnsi="宋体"/>
                <w:sz w:val="24"/>
              </w:rPr>
              <w:t>为0.18t/a</w:t>
            </w:r>
            <w:r>
              <w:rPr>
                <w:rFonts w:hint="eastAsia"/>
                <w:sz w:val="24"/>
                <w:lang w:eastAsia="zh-CN"/>
              </w:rPr>
              <w:t>，收集后外售综合利用</w:t>
            </w:r>
            <w:r>
              <w:rPr>
                <w:sz w:val="24"/>
              </w:rPr>
              <w:t>。</w:t>
            </w:r>
          </w:p>
          <w:p>
            <w:pPr>
              <w:keepNext w:val="0"/>
              <w:keepLines w:val="0"/>
              <w:suppressLineNumbers w:val="0"/>
              <w:spacing w:before="0" w:beforeAutospacing="0" w:after="0" w:afterAutospacing="0" w:line="360" w:lineRule="auto"/>
              <w:ind w:left="0" w:right="0" w:firstLine="482" w:firstLineChars="200"/>
              <w:rPr>
                <w:rFonts w:hint="default" w:eastAsia="宋体"/>
                <w:lang w:val="en-US" w:eastAsia="zh-CN"/>
              </w:rPr>
            </w:pPr>
            <w:r>
              <w:rPr>
                <w:rFonts w:hint="eastAsia" w:hAnsi="宋体"/>
                <w:b/>
                <w:sz w:val="24"/>
                <w:lang w:eastAsia="zh-CN"/>
              </w:rPr>
              <w:t>塑料边角料</w:t>
            </w:r>
            <w:r>
              <w:rPr>
                <w:rFonts w:hint="eastAsia" w:hAnsi="宋体"/>
                <w:b/>
                <w:sz w:val="24"/>
              </w:rPr>
              <w:t>：</w:t>
            </w:r>
            <w:r>
              <w:rPr>
                <w:rFonts w:hint="eastAsia" w:hAnsi="宋体"/>
                <w:sz w:val="24"/>
              </w:rPr>
              <w:t>企</w:t>
            </w:r>
            <w:r>
              <w:rPr>
                <w:rFonts w:hint="eastAsia" w:hAnsi="宋体"/>
                <w:sz w:val="24"/>
                <w:lang w:eastAsia="zh-CN"/>
              </w:rPr>
              <w:t>业注塑成型过程中会产生塑料边角料，</w:t>
            </w:r>
            <w:r>
              <w:rPr>
                <w:rFonts w:hint="eastAsia"/>
                <w:sz w:val="24"/>
              </w:rPr>
              <w:t>根据企业提供资料，产生量</w:t>
            </w:r>
            <w:r>
              <w:rPr>
                <w:rFonts w:hint="eastAsia"/>
                <w:sz w:val="24"/>
                <w:lang w:eastAsia="zh-CN"/>
              </w:rPr>
              <w:t>约占原料量的</w:t>
            </w:r>
            <w:r>
              <w:rPr>
                <w:rFonts w:hint="eastAsia"/>
                <w:sz w:val="24"/>
                <w:lang w:val="en-US" w:eastAsia="zh-CN"/>
              </w:rPr>
              <w:t>5</w:t>
            </w:r>
            <w:r>
              <w:rPr>
                <w:rFonts w:hint="eastAsia"/>
                <w:sz w:val="24"/>
              </w:rPr>
              <w:t>%</w:t>
            </w:r>
            <w:r>
              <w:rPr>
                <w:rFonts w:hint="eastAsia"/>
                <w:sz w:val="24"/>
                <w:lang w:eastAsia="zh-CN"/>
              </w:rPr>
              <w:t>，则塑料边角料产生量约为</w:t>
            </w:r>
            <w:r>
              <w:rPr>
                <w:rFonts w:hint="eastAsia"/>
                <w:sz w:val="24"/>
                <w:lang w:val="en-US" w:eastAsia="zh-CN"/>
              </w:rPr>
              <w:t>2.5t/a</w:t>
            </w:r>
            <w:r>
              <w:rPr>
                <w:rFonts w:hint="eastAsia"/>
                <w:sz w:val="24"/>
                <w:lang w:eastAsia="zh-CN"/>
              </w:rPr>
              <w:t>，收集后外售综合利用。</w:t>
            </w:r>
          </w:p>
          <w:p>
            <w:pPr>
              <w:keepNext w:val="0"/>
              <w:keepLines w:val="0"/>
              <w:suppressLineNumbers w:val="0"/>
              <w:spacing w:before="0" w:beforeAutospacing="0" w:after="0" w:afterAutospacing="0" w:line="360" w:lineRule="auto"/>
              <w:ind w:left="0" w:right="0" w:firstLine="482" w:firstLineChars="200"/>
              <w:rPr>
                <w:sz w:val="24"/>
              </w:rPr>
            </w:pPr>
            <w:r>
              <w:rPr>
                <w:rFonts w:hint="eastAsia" w:ascii="宋体" w:hAnsi="宋体" w:cs="宋体"/>
                <w:b/>
                <w:bCs/>
                <w:sz w:val="24"/>
              </w:rPr>
              <w:t>餐</w:t>
            </w:r>
            <w:r>
              <w:rPr>
                <w:rFonts w:hAnsi="宋体"/>
                <w:b/>
                <w:bCs/>
                <w:sz w:val="24"/>
              </w:rPr>
              <w:t>厨垃圾：</w:t>
            </w:r>
            <w:r>
              <w:rPr>
                <w:rFonts w:hAnsi="宋体"/>
                <w:bCs/>
                <w:sz w:val="24"/>
              </w:rPr>
              <w:t>本项目食堂运行过程中会产生餐厨垃圾，产生量约为</w:t>
            </w:r>
            <w:r>
              <w:rPr>
                <w:bCs/>
                <w:sz w:val="24"/>
              </w:rPr>
              <w:t>50kg/</w:t>
            </w:r>
            <w:r>
              <w:rPr>
                <w:rFonts w:hAnsi="宋体"/>
                <w:bCs/>
                <w:sz w:val="24"/>
              </w:rPr>
              <w:t>天，年运行</w:t>
            </w:r>
            <w:r>
              <w:rPr>
                <w:bCs/>
                <w:sz w:val="24"/>
              </w:rPr>
              <w:t>300</w:t>
            </w:r>
            <w:r>
              <w:rPr>
                <w:rFonts w:hAnsi="宋体"/>
                <w:bCs/>
                <w:sz w:val="24"/>
              </w:rPr>
              <w:t>天，则产生餐厨垃圾（含食堂隔油池废液）</w:t>
            </w:r>
            <w:r>
              <w:rPr>
                <w:bCs/>
                <w:sz w:val="24"/>
              </w:rPr>
              <w:t>15t/a</w:t>
            </w:r>
            <w:r>
              <w:rPr>
                <w:rFonts w:hAnsi="宋体"/>
                <w:bCs/>
                <w:sz w:val="24"/>
              </w:rPr>
              <w:t>，作为一般固废，委托</w:t>
            </w:r>
            <w:r>
              <w:rPr>
                <w:rFonts w:hint="eastAsia" w:hAnsi="宋体"/>
                <w:bCs/>
                <w:sz w:val="24"/>
                <w:lang w:eastAsia="zh-CN"/>
              </w:rPr>
              <w:t>专业</w:t>
            </w:r>
            <w:r>
              <w:rPr>
                <w:rFonts w:hAnsi="宋体"/>
                <w:bCs/>
                <w:sz w:val="24"/>
              </w:rPr>
              <w:t>单位集中处理。</w:t>
            </w:r>
          </w:p>
          <w:p>
            <w:pPr>
              <w:keepNext w:val="0"/>
              <w:keepLines w:val="0"/>
              <w:suppressLineNumbers w:val="0"/>
              <w:spacing w:before="0" w:beforeAutospacing="0" w:after="0" w:afterAutospacing="0" w:line="360" w:lineRule="auto"/>
              <w:ind w:left="0" w:right="0" w:firstLine="482" w:firstLineChars="200"/>
              <w:rPr>
                <w:rFonts w:eastAsia="FangSong_GB2312"/>
                <w:b/>
                <w:sz w:val="24"/>
              </w:rPr>
            </w:pPr>
            <w:r>
              <w:rPr>
                <w:b/>
                <w:sz w:val="24"/>
              </w:rPr>
              <w:t>2</w:t>
            </w:r>
            <w:r>
              <w:rPr>
                <w:rFonts w:ascii="宋体" w:hAnsi="宋体"/>
                <w:b/>
                <w:sz w:val="24"/>
              </w:rPr>
              <w:t>）危险固废</w:t>
            </w:r>
          </w:p>
          <w:p>
            <w:pPr>
              <w:keepNext w:val="0"/>
              <w:keepLines w:val="0"/>
              <w:suppressLineNumbers w:val="0"/>
              <w:spacing w:before="0" w:beforeAutospacing="0" w:after="0" w:afterAutospacing="0" w:line="360" w:lineRule="auto"/>
              <w:ind w:left="0" w:right="0" w:firstLine="482" w:firstLineChars="200"/>
              <w:rPr>
                <w:rFonts w:cs="宋体"/>
                <w:sz w:val="24"/>
              </w:rPr>
            </w:pPr>
            <w:r>
              <w:rPr>
                <w:rFonts w:ascii="宋体" w:hAnsi="宋体"/>
                <w:b/>
                <w:sz w:val="24"/>
              </w:rPr>
              <w:t>废活性炭：</w:t>
            </w:r>
            <w:r>
              <w:rPr>
                <w:rFonts w:hint="eastAsia" w:cs="宋体"/>
                <w:bCs/>
                <w:sz w:val="24"/>
              </w:rPr>
              <w:t>本项目使用二级活性炭吸附处理有机废气，会产生废活性炭。</w:t>
            </w:r>
            <w:r>
              <w:rPr>
                <w:rFonts w:hint="eastAsia" w:cs="宋体"/>
                <w:sz w:val="24"/>
              </w:rPr>
              <w:t>根据省生态环境厅关于将排污单位活性炭使用更换纳入排污许可管理的通知中附件涉活性炭吸附排污单位的排污许可管理要求内的相关公式：</w:t>
            </w:r>
          </w:p>
          <w:p>
            <w:pPr>
              <w:keepNext w:val="0"/>
              <w:keepLines w:val="0"/>
              <w:suppressLineNumbers w:val="0"/>
              <w:spacing w:before="0" w:beforeAutospacing="0" w:after="0" w:afterAutospacing="0" w:line="360" w:lineRule="auto"/>
              <w:ind w:left="0" w:right="0"/>
              <w:jc w:val="center"/>
              <w:rPr>
                <w:rFonts w:cs="宋体"/>
                <w:sz w:val="24"/>
              </w:rPr>
            </w:pPr>
            <w:r>
              <w:rPr>
                <w:rFonts w:cs="宋体"/>
                <w:sz w:val="24"/>
              </w:rPr>
              <w:t>T=m×s÷（c×10</w:t>
            </w:r>
            <w:r>
              <w:rPr>
                <w:rFonts w:cs="宋体"/>
                <w:sz w:val="24"/>
                <w:vertAlign w:val="superscript"/>
              </w:rPr>
              <w:t>-6</w:t>
            </w:r>
            <w:r>
              <w:rPr>
                <w:rFonts w:cs="宋体"/>
                <w:sz w:val="24"/>
              </w:rPr>
              <w:t>×Q×t）</w:t>
            </w:r>
          </w:p>
          <w:p>
            <w:pPr>
              <w:keepNext w:val="0"/>
              <w:keepLines w:val="0"/>
              <w:suppressLineNumbers w:val="0"/>
              <w:spacing w:before="0" w:beforeAutospacing="0" w:after="0" w:afterAutospacing="0" w:line="360" w:lineRule="auto"/>
              <w:ind w:left="0" w:right="0" w:firstLine="2880" w:firstLineChars="1200"/>
              <w:jc w:val="left"/>
              <w:rPr>
                <w:rFonts w:cs="宋体"/>
                <w:sz w:val="24"/>
              </w:rPr>
            </w:pPr>
            <w:r>
              <w:rPr>
                <w:rFonts w:hint="eastAsia" w:cs="宋体"/>
                <w:sz w:val="24"/>
              </w:rPr>
              <w:t>T—更换周期，天；</w:t>
            </w:r>
          </w:p>
          <w:p>
            <w:pPr>
              <w:keepNext w:val="0"/>
              <w:keepLines w:val="0"/>
              <w:suppressLineNumbers w:val="0"/>
              <w:spacing w:before="0" w:beforeAutospacing="0" w:after="0" w:afterAutospacing="0" w:line="360" w:lineRule="auto"/>
              <w:ind w:left="0" w:right="0" w:firstLine="2880" w:firstLineChars="1200"/>
              <w:jc w:val="left"/>
              <w:rPr>
                <w:rFonts w:cs="宋体"/>
                <w:sz w:val="24"/>
              </w:rPr>
            </w:pPr>
            <w:r>
              <w:rPr>
                <w:rFonts w:hint="eastAsia" w:cs="宋体"/>
                <w:sz w:val="24"/>
              </w:rPr>
              <w:t>m—活性炭的用量，kg；</w:t>
            </w:r>
          </w:p>
          <w:p>
            <w:pPr>
              <w:keepNext w:val="0"/>
              <w:keepLines w:val="0"/>
              <w:suppressLineNumbers w:val="0"/>
              <w:spacing w:before="0" w:beforeAutospacing="0" w:after="0" w:afterAutospacing="0" w:line="360" w:lineRule="auto"/>
              <w:ind w:left="0" w:right="0" w:firstLine="2880" w:firstLineChars="1200"/>
              <w:jc w:val="left"/>
              <w:rPr>
                <w:rFonts w:cs="宋体"/>
                <w:sz w:val="24"/>
              </w:rPr>
            </w:pPr>
            <w:r>
              <w:rPr>
                <w:rFonts w:hint="eastAsia" w:cs="宋体"/>
                <w:sz w:val="24"/>
              </w:rPr>
              <w:t>s—动态吸附量，%；</w:t>
            </w:r>
          </w:p>
          <w:p>
            <w:pPr>
              <w:keepNext w:val="0"/>
              <w:keepLines w:val="0"/>
              <w:suppressLineNumbers w:val="0"/>
              <w:spacing w:before="0" w:beforeAutospacing="0" w:after="0" w:afterAutospacing="0" w:line="360" w:lineRule="auto"/>
              <w:ind w:left="0" w:right="0" w:firstLine="2880" w:firstLineChars="1200"/>
              <w:jc w:val="left"/>
              <w:rPr>
                <w:rFonts w:cs="宋体"/>
                <w:sz w:val="24"/>
              </w:rPr>
            </w:pPr>
            <w:r>
              <w:rPr>
                <w:rFonts w:hint="eastAsia" w:cs="宋体"/>
                <w:sz w:val="24"/>
              </w:rPr>
              <w:t>c—活性炭削减VOCs浓度，mg/m</w:t>
            </w:r>
            <w:r>
              <w:rPr>
                <w:rFonts w:hint="eastAsia" w:cs="宋体"/>
                <w:sz w:val="24"/>
                <w:vertAlign w:val="superscript"/>
              </w:rPr>
              <w:t>3</w:t>
            </w:r>
            <w:r>
              <w:rPr>
                <w:rFonts w:hint="eastAsia" w:cs="宋体"/>
                <w:sz w:val="24"/>
              </w:rPr>
              <w:t>；</w:t>
            </w:r>
          </w:p>
          <w:p>
            <w:pPr>
              <w:keepNext w:val="0"/>
              <w:keepLines w:val="0"/>
              <w:suppressLineNumbers w:val="0"/>
              <w:spacing w:before="0" w:beforeAutospacing="0" w:after="0" w:afterAutospacing="0" w:line="360" w:lineRule="auto"/>
              <w:ind w:left="0" w:right="0" w:firstLine="2880" w:firstLineChars="1200"/>
              <w:jc w:val="left"/>
              <w:rPr>
                <w:rFonts w:cs="宋体"/>
                <w:sz w:val="24"/>
              </w:rPr>
            </w:pPr>
            <w:r>
              <w:rPr>
                <w:rFonts w:hint="eastAsia" w:cs="宋体"/>
                <w:sz w:val="24"/>
              </w:rPr>
              <w:t>Q—风量，单位m</w:t>
            </w:r>
            <w:r>
              <w:rPr>
                <w:rFonts w:hint="eastAsia" w:cs="宋体"/>
                <w:sz w:val="24"/>
                <w:vertAlign w:val="superscript"/>
              </w:rPr>
              <w:t>3</w:t>
            </w:r>
            <w:r>
              <w:rPr>
                <w:rFonts w:hint="eastAsia" w:cs="宋体"/>
                <w:sz w:val="24"/>
              </w:rPr>
              <w:t>/h；</w:t>
            </w:r>
          </w:p>
          <w:p>
            <w:pPr>
              <w:keepNext w:val="0"/>
              <w:keepLines w:val="0"/>
              <w:suppressLineNumbers w:val="0"/>
              <w:adjustRightInd w:val="0"/>
              <w:snapToGrid w:val="0"/>
              <w:spacing w:before="0" w:beforeAutospacing="0" w:after="0" w:afterAutospacing="0" w:line="360" w:lineRule="auto"/>
              <w:ind w:left="0" w:right="0" w:firstLine="2880" w:firstLineChars="1200"/>
              <w:rPr>
                <w:rFonts w:cs="宋体"/>
                <w:sz w:val="24"/>
              </w:rPr>
            </w:pPr>
            <w:r>
              <w:rPr>
                <w:rFonts w:hint="eastAsia" w:cs="宋体"/>
                <w:sz w:val="24"/>
              </w:rPr>
              <w:t>t—运行时间，单位h/d。</w:t>
            </w:r>
          </w:p>
          <w:p>
            <w:pPr>
              <w:keepNext w:val="0"/>
              <w:keepLines w:val="0"/>
              <w:suppressLineNumbers w:val="0"/>
              <w:spacing w:before="0" w:beforeAutospacing="0" w:after="0" w:afterAutospacing="0" w:line="360" w:lineRule="auto"/>
              <w:ind w:left="0" w:right="0" w:firstLine="480" w:firstLineChars="200"/>
              <w:jc w:val="both"/>
              <w:rPr>
                <w:bCs/>
                <w:sz w:val="24"/>
              </w:rPr>
            </w:pPr>
            <w:r>
              <w:rPr>
                <w:rFonts w:hint="eastAsia" w:cs="宋体"/>
                <w:sz w:val="24"/>
              </w:rPr>
              <w:t>本项目动态吸附量取10%，则</w:t>
            </w:r>
            <w:r>
              <w:rPr>
                <w:rFonts w:hint="eastAsia" w:cs="宋体"/>
                <w:bCs/>
                <w:sz w:val="24"/>
              </w:rPr>
              <w:t>1kg活性炭可吸附0.1kg有机废气，本项目有机废气处理量共0.</w:t>
            </w:r>
            <w:r>
              <w:rPr>
                <w:rFonts w:hint="eastAsia" w:cs="宋体"/>
                <w:bCs/>
                <w:sz w:val="24"/>
                <w:lang w:val="en-US" w:eastAsia="zh-CN"/>
              </w:rPr>
              <w:t>4452</w:t>
            </w:r>
            <w:r>
              <w:rPr>
                <w:rFonts w:hint="eastAsia" w:cs="宋体"/>
                <w:bCs/>
                <w:sz w:val="24"/>
              </w:rPr>
              <w:t>t/a，通过二级活性炭吸附设备处理，则产生废活性炭约为</w:t>
            </w:r>
            <w:r>
              <w:rPr>
                <w:rFonts w:hint="eastAsia" w:cs="宋体"/>
                <w:bCs/>
                <w:sz w:val="24"/>
                <w:lang w:val="en-US" w:eastAsia="zh-CN"/>
              </w:rPr>
              <w:t>4.9</w:t>
            </w:r>
            <w:r>
              <w:rPr>
                <w:rFonts w:hint="eastAsia" w:cs="宋体"/>
                <w:bCs/>
                <w:sz w:val="24"/>
              </w:rPr>
              <w:t>t/a（含吸附的有机废气）。根据设备商提供资料，二级活性炭吸附装置最大填充量m=400kg，活性炭削减VOCs浓度c=</w:t>
            </w:r>
            <w:r>
              <w:rPr>
                <w:rFonts w:hint="eastAsia" w:cs="宋体"/>
                <w:bCs/>
                <w:sz w:val="24"/>
                <w:lang w:val="en-US" w:eastAsia="zh-CN"/>
              </w:rPr>
              <w:t>4.23</w:t>
            </w:r>
            <w:r>
              <w:rPr>
                <w:rFonts w:hint="eastAsia" w:cs="宋体"/>
                <w:bCs/>
                <w:sz w:val="24"/>
              </w:rPr>
              <w:t>mg/m</w:t>
            </w:r>
            <w:r>
              <w:rPr>
                <w:rFonts w:hint="eastAsia" w:cs="宋体"/>
                <w:bCs/>
                <w:sz w:val="24"/>
                <w:vertAlign w:val="superscript"/>
              </w:rPr>
              <w:t>3</w:t>
            </w:r>
            <w:r>
              <w:rPr>
                <w:rFonts w:hint="eastAsia" w:cs="宋体"/>
                <w:bCs/>
                <w:sz w:val="24"/>
              </w:rPr>
              <w:t>，风量Q=</w:t>
            </w:r>
            <w:r>
              <w:rPr>
                <w:rFonts w:hint="eastAsia" w:cs="宋体"/>
                <w:bCs/>
                <w:sz w:val="24"/>
                <w:lang w:val="en-US" w:eastAsia="zh-CN"/>
              </w:rPr>
              <w:t>35</w:t>
            </w:r>
            <w:r>
              <w:rPr>
                <w:rFonts w:hint="eastAsia" w:cs="宋体"/>
                <w:bCs/>
                <w:sz w:val="24"/>
              </w:rPr>
              <w:t>000m</w:t>
            </w:r>
            <w:r>
              <w:rPr>
                <w:rFonts w:hint="eastAsia" w:cs="宋体"/>
                <w:bCs/>
                <w:sz w:val="24"/>
                <w:vertAlign w:val="superscript"/>
              </w:rPr>
              <w:t>3</w:t>
            </w:r>
            <w:r>
              <w:rPr>
                <w:rFonts w:hint="eastAsia" w:cs="宋体"/>
                <w:bCs/>
                <w:sz w:val="24"/>
              </w:rPr>
              <w:t>/h，运行时间t=</w:t>
            </w:r>
            <w:r>
              <w:rPr>
                <w:rFonts w:hint="eastAsia" w:cs="宋体"/>
                <w:bCs/>
                <w:sz w:val="24"/>
                <w:lang w:val="en-US" w:eastAsia="zh-CN"/>
              </w:rPr>
              <w:t>10</w:t>
            </w:r>
            <w:r>
              <w:rPr>
                <w:rFonts w:hint="eastAsia" w:cs="宋体"/>
                <w:bCs/>
                <w:sz w:val="24"/>
              </w:rPr>
              <w:t>h/d，则更换周期T=400</w:t>
            </w:r>
            <w:r>
              <w:rPr>
                <w:rFonts w:cs="宋体"/>
                <w:sz w:val="24"/>
              </w:rPr>
              <w:t>×</w:t>
            </w:r>
            <w:r>
              <w:rPr>
                <w:rFonts w:hint="eastAsia" w:cs="宋体"/>
                <w:bCs/>
                <w:sz w:val="24"/>
              </w:rPr>
              <w:t>10%÷（</w:t>
            </w:r>
            <w:r>
              <w:rPr>
                <w:rFonts w:hint="eastAsia" w:cs="宋体"/>
                <w:bCs/>
                <w:sz w:val="24"/>
                <w:lang w:val="en-US" w:eastAsia="zh-CN"/>
              </w:rPr>
              <w:t>4.23</w:t>
            </w:r>
            <w:r>
              <w:rPr>
                <w:rFonts w:cs="宋体"/>
                <w:sz w:val="24"/>
              </w:rPr>
              <w:t>×</w:t>
            </w:r>
            <w:r>
              <w:rPr>
                <w:rFonts w:hint="eastAsia" w:cs="宋体"/>
                <w:bCs/>
                <w:sz w:val="24"/>
              </w:rPr>
              <w:t>10</w:t>
            </w:r>
            <w:r>
              <w:rPr>
                <w:rFonts w:hint="eastAsia" w:cs="宋体"/>
                <w:bCs/>
                <w:sz w:val="24"/>
                <w:vertAlign w:val="superscript"/>
              </w:rPr>
              <w:t>-6</w:t>
            </w:r>
            <w:r>
              <w:rPr>
                <w:rFonts w:cs="宋体"/>
                <w:sz w:val="24"/>
              </w:rPr>
              <w:t>×</w:t>
            </w:r>
            <w:r>
              <w:rPr>
                <w:rFonts w:hint="eastAsia" w:cs="宋体"/>
                <w:bCs/>
                <w:sz w:val="24"/>
                <w:lang w:val="en-US" w:eastAsia="zh-CN"/>
              </w:rPr>
              <w:t>35</w:t>
            </w:r>
            <w:r>
              <w:rPr>
                <w:rFonts w:hint="eastAsia" w:cs="宋体"/>
                <w:bCs/>
                <w:sz w:val="24"/>
              </w:rPr>
              <w:t>000</w:t>
            </w:r>
            <w:r>
              <w:rPr>
                <w:rFonts w:cs="宋体"/>
                <w:sz w:val="24"/>
              </w:rPr>
              <w:t>×</w:t>
            </w:r>
            <w:r>
              <w:rPr>
                <w:rFonts w:hint="eastAsia" w:cs="宋体"/>
                <w:sz w:val="24"/>
              </w:rPr>
              <w:t>1</w:t>
            </w:r>
            <w:r>
              <w:rPr>
                <w:rFonts w:hint="eastAsia" w:cs="宋体"/>
                <w:sz w:val="24"/>
                <w:lang w:val="en-US" w:eastAsia="zh-CN"/>
              </w:rPr>
              <w:t>0</w:t>
            </w:r>
            <w:r>
              <w:rPr>
                <w:rFonts w:hint="eastAsia" w:cs="宋体"/>
                <w:bCs/>
                <w:sz w:val="24"/>
              </w:rPr>
              <w:t>）≈</w:t>
            </w:r>
            <w:r>
              <w:rPr>
                <w:rFonts w:hint="eastAsia" w:cs="宋体"/>
                <w:bCs/>
                <w:sz w:val="24"/>
                <w:lang w:val="en-US" w:eastAsia="zh-CN"/>
              </w:rPr>
              <w:t>28</w:t>
            </w:r>
            <w:r>
              <w:rPr>
                <w:rFonts w:hint="eastAsia" w:cs="宋体"/>
                <w:bCs/>
                <w:sz w:val="24"/>
              </w:rPr>
              <w:t>天，经查《国家危险废物名录》</w:t>
            </w:r>
            <w:r>
              <w:rPr>
                <w:rFonts w:hint="eastAsia" w:cs="宋体"/>
                <w:sz w:val="24"/>
              </w:rPr>
              <w:t>（2021），</w:t>
            </w:r>
            <w:r>
              <w:rPr>
                <w:bCs/>
                <w:sz w:val="24"/>
              </w:rPr>
              <w:t>为危险固废，废物类别HW49，废物代码900-039-49，</w:t>
            </w:r>
            <w:r>
              <w:rPr>
                <w:sz w:val="24"/>
              </w:rPr>
              <w:t>存放于厂内危险废物仓库，经收集后委托有资质单位处置</w:t>
            </w:r>
            <w:r>
              <w:rPr>
                <w:bCs/>
                <w:sz w:val="24"/>
              </w:rPr>
              <w:t>。</w:t>
            </w:r>
          </w:p>
          <w:p>
            <w:pPr>
              <w:keepNext w:val="0"/>
              <w:keepLines w:val="0"/>
              <w:suppressLineNumbers w:val="0"/>
              <w:spacing w:before="0" w:beforeAutospacing="0" w:after="0" w:afterAutospacing="0" w:line="360" w:lineRule="auto"/>
              <w:ind w:left="0" w:right="0" w:firstLine="482" w:firstLineChars="200"/>
              <w:rPr>
                <w:rFonts w:hAnsi="宋体"/>
                <w:sz w:val="24"/>
              </w:rPr>
            </w:pPr>
            <w:r>
              <w:rPr>
                <w:rFonts w:hint="eastAsia"/>
                <w:b/>
                <w:bCs/>
                <w:sz w:val="24"/>
              </w:rPr>
              <w:t>废包装桶：</w:t>
            </w:r>
            <w:r>
              <w:rPr>
                <w:rFonts w:hAnsi="宋体"/>
                <w:sz w:val="24"/>
              </w:rPr>
              <w:t>企业冲压油采用吨桶装，每年产生</w:t>
            </w:r>
            <w:r>
              <w:rPr>
                <w:sz w:val="24"/>
              </w:rPr>
              <w:t>40</w:t>
            </w:r>
            <w:r>
              <w:rPr>
                <w:rFonts w:hAnsi="宋体"/>
                <w:sz w:val="24"/>
              </w:rPr>
              <w:t>只吨桶，由供应商回收循环利用</w:t>
            </w:r>
            <w:r>
              <w:rPr>
                <w:rFonts w:hint="eastAsia" w:hAnsi="宋体"/>
                <w:sz w:val="24"/>
                <w:lang w:eastAsia="zh-CN"/>
              </w:rPr>
              <w:t>。</w:t>
            </w:r>
            <w:r>
              <w:rPr>
                <w:rFonts w:hAnsi="宋体"/>
                <w:sz w:val="24"/>
              </w:rPr>
              <w:t>经查《固体废物鉴别标准通则》</w:t>
            </w:r>
            <w:r>
              <w:rPr>
                <w:sz w:val="24"/>
              </w:rPr>
              <w:t>(GB34330-2017)</w:t>
            </w:r>
            <w:r>
              <w:rPr>
                <w:rFonts w:hAnsi="宋体"/>
                <w:sz w:val="24"/>
              </w:rPr>
              <w:t>，属于</w:t>
            </w:r>
            <w:r>
              <w:rPr>
                <w:rFonts w:hint="eastAsia"/>
                <w:sz w:val="24"/>
                <w:lang w:eastAsia="zh-CN"/>
              </w:rPr>
              <w:t>“</w:t>
            </w:r>
            <w:r>
              <w:rPr>
                <w:rFonts w:hAnsi="宋体"/>
                <w:sz w:val="24"/>
              </w:rPr>
              <w:t>任何不需要修复和加工即可用于其原始用途的物质，或者在产生点经过修复和加工后满足国家、地方制定或行业通行的产品质量标准并且用于其原始用途的物质</w:t>
            </w:r>
            <w:r>
              <w:rPr>
                <w:rFonts w:hint="eastAsia"/>
                <w:sz w:val="24"/>
                <w:lang w:eastAsia="zh-CN"/>
              </w:rPr>
              <w:t>”</w:t>
            </w:r>
            <w:r>
              <w:rPr>
                <w:rFonts w:hAnsi="宋体"/>
                <w:sz w:val="24"/>
              </w:rPr>
              <w:t>，不作为固体废物管理。</w:t>
            </w:r>
          </w:p>
          <w:p>
            <w:pPr>
              <w:keepNext w:val="0"/>
              <w:keepLines w:val="0"/>
              <w:suppressLineNumbers w:val="0"/>
              <w:spacing w:before="0" w:beforeAutospacing="0" w:after="0" w:afterAutospacing="0" w:line="360" w:lineRule="auto"/>
              <w:ind w:left="0" w:right="0" w:firstLine="480" w:firstLineChars="200"/>
              <w:rPr>
                <w:rFonts w:hint="eastAsia"/>
                <w:sz w:val="24"/>
              </w:rPr>
            </w:pPr>
            <w:r>
              <w:rPr>
                <w:rFonts w:hAnsi="宋体"/>
                <w:sz w:val="24"/>
              </w:rPr>
              <w:t>防</w:t>
            </w:r>
            <w:r>
              <w:rPr>
                <w:rFonts w:hint="eastAsia" w:ascii="宋体" w:hAnsi="宋体" w:cs="宋体"/>
                <w:sz w:val="24"/>
              </w:rPr>
              <w:t>锈油、</w:t>
            </w:r>
            <w:r>
              <w:rPr>
                <w:rFonts w:hint="eastAsia" w:hAnsi="宋体"/>
                <w:sz w:val="24"/>
              </w:rPr>
              <w:t>液压</w:t>
            </w:r>
            <w:r>
              <w:rPr>
                <w:rFonts w:hAnsi="宋体"/>
                <w:sz w:val="24"/>
              </w:rPr>
              <w:t>油采用</w:t>
            </w:r>
            <w:r>
              <w:rPr>
                <w:sz w:val="24"/>
              </w:rPr>
              <w:t>1</w:t>
            </w:r>
            <w:r>
              <w:rPr>
                <w:rFonts w:hint="eastAsia"/>
                <w:sz w:val="24"/>
              </w:rPr>
              <w:t>7</w:t>
            </w:r>
            <w:r>
              <w:rPr>
                <w:sz w:val="24"/>
              </w:rPr>
              <w:t>0kg</w:t>
            </w:r>
            <w:r>
              <w:rPr>
                <w:rFonts w:hAnsi="宋体"/>
                <w:sz w:val="24"/>
              </w:rPr>
              <w:t>桶装</w:t>
            </w:r>
            <w:r>
              <w:rPr>
                <w:rFonts w:hint="eastAsia"/>
                <w:sz w:val="24"/>
              </w:rPr>
              <w:t>，</w:t>
            </w:r>
            <w:r>
              <w:rPr>
                <w:rFonts w:hint="eastAsia"/>
                <w:sz w:val="24"/>
                <w:lang w:eastAsia="zh-CN"/>
              </w:rPr>
              <w:t>切削油</w:t>
            </w:r>
            <w:r>
              <w:rPr>
                <w:rFonts w:hint="eastAsia"/>
                <w:sz w:val="24"/>
              </w:rPr>
              <w:t>采用25kg桶装，</w:t>
            </w:r>
            <w:r>
              <w:rPr>
                <w:sz w:val="24"/>
              </w:rPr>
              <w:t>使用过程中会产生废包装桶，每年</w:t>
            </w:r>
            <w:r>
              <w:rPr>
                <w:rFonts w:hint="eastAsia"/>
                <w:sz w:val="24"/>
              </w:rPr>
              <w:t>产生废包装</w:t>
            </w:r>
            <w:r>
              <w:rPr>
                <w:rFonts w:hint="eastAsia"/>
                <w:sz w:val="24"/>
                <w:lang w:eastAsia="zh-CN"/>
              </w:rPr>
              <w:t>桶60个（包含10个废防锈油桶，10个废液压油桶，40个废切削油桶，均为矿物油桶），则废包装桶产生量为0.6t/a。经查《国家危险废物名录》（2021），为危险固废，废物类别HW</w:t>
            </w:r>
            <w:r>
              <w:rPr>
                <w:rFonts w:hint="eastAsia"/>
                <w:sz w:val="24"/>
                <w:lang w:val="en-US" w:eastAsia="zh-CN"/>
              </w:rPr>
              <w:t>08</w:t>
            </w:r>
            <w:r>
              <w:rPr>
                <w:rFonts w:hint="eastAsia"/>
                <w:sz w:val="24"/>
                <w:lang w:eastAsia="zh-CN"/>
              </w:rPr>
              <w:t>，废物代码900</w:t>
            </w:r>
            <w:r>
              <w:rPr>
                <w:rFonts w:hint="eastAsia"/>
                <w:sz w:val="24"/>
              </w:rPr>
              <w:t>-</w:t>
            </w:r>
            <w:r>
              <w:rPr>
                <w:rFonts w:hint="eastAsia"/>
                <w:sz w:val="24"/>
                <w:lang w:val="en-US" w:eastAsia="zh-CN"/>
              </w:rPr>
              <w:t>249</w:t>
            </w:r>
            <w:r>
              <w:rPr>
                <w:rFonts w:hint="eastAsia"/>
                <w:sz w:val="24"/>
              </w:rPr>
              <w:t>-</w:t>
            </w:r>
            <w:r>
              <w:rPr>
                <w:rFonts w:hint="eastAsia"/>
                <w:sz w:val="24"/>
                <w:lang w:val="en-US" w:eastAsia="zh-CN"/>
              </w:rPr>
              <w:t>08</w:t>
            </w:r>
            <w:r>
              <w:rPr>
                <w:rFonts w:hint="eastAsia"/>
                <w:sz w:val="24"/>
              </w:rPr>
              <w:t>，存放于厂内危险废物仓库，经收集后委托有资质单位处置。</w:t>
            </w:r>
          </w:p>
          <w:p>
            <w:pPr>
              <w:keepNext w:val="0"/>
              <w:keepLines w:val="0"/>
              <w:suppressLineNumbers w:val="0"/>
              <w:spacing w:before="0" w:beforeAutospacing="0" w:after="0" w:afterAutospacing="0" w:line="360" w:lineRule="auto"/>
              <w:ind w:left="0" w:right="0" w:firstLine="482" w:firstLineChars="200"/>
              <w:rPr>
                <w:sz w:val="24"/>
              </w:rPr>
            </w:pPr>
            <w:r>
              <w:rPr>
                <w:rFonts w:hint="eastAsia"/>
                <w:b/>
                <w:sz w:val="24"/>
                <w:lang w:eastAsia="zh-CN"/>
              </w:rPr>
              <w:t>废矿物油：</w:t>
            </w:r>
            <w:r>
              <w:rPr>
                <w:rFonts w:hint="eastAsia"/>
                <w:b w:val="0"/>
                <w:bCs/>
                <w:sz w:val="24"/>
                <w:lang w:eastAsia="zh-CN"/>
              </w:rPr>
              <w:t>项目冲压、机加工和攻丝加工中涉及使用冲压油、液压油和切削油，该过程会产生废冲压油、废液压油和废切削油，这些危废均属于废矿物油，废矿物油产生量约为</w:t>
            </w:r>
            <w:r>
              <w:rPr>
                <w:rFonts w:hint="eastAsia"/>
                <w:b w:val="0"/>
                <w:bCs/>
                <w:sz w:val="24"/>
                <w:lang w:val="en-US" w:eastAsia="zh-CN"/>
              </w:rPr>
              <w:t>4t/a。</w:t>
            </w:r>
            <w:r>
              <w:rPr>
                <w:rFonts w:hint="eastAsia"/>
                <w:sz w:val="24"/>
              </w:rPr>
              <w:t>经</w:t>
            </w:r>
            <w:r>
              <w:rPr>
                <w:rFonts w:hint="eastAsia" w:ascii="宋体" w:hAnsi="宋体" w:cs="宋体"/>
                <w:bCs/>
                <w:color w:val="000000"/>
                <w:sz w:val="24"/>
              </w:rPr>
              <w:t>查《国家危险废物名录》（</w:t>
            </w:r>
            <w:r>
              <w:rPr>
                <w:rFonts w:hint="eastAsia" w:cs="宋体"/>
                <w:bCs/>
                <w:color w:val="000000"/>
                <w:sz w:val="24"/>
              </w:rPr>
              <w:t>2021</w:t>
            </w:r>
            <w:r>
              <w:rPr>
                <w:rFonts w:hint="eastAsia" w:ascii="宋体" w:hAnsi="宋体" w:cs="宋体"/>
                <w:bCs/>
                <w:color w:val="000000"/>
                <w:sz w:val="24"/>
              </w:rPr>
              <w:t>），为危险固废，废物类别</w:t>
            </w:r>
            <w:r>
              <w:rPr>
                <w:rFonts w:hint="eastAsia" w:cs="宋体"/>
                <w:bCs/>
                <w:color w:val="000000"/>
                <w:sz w:val="24"/>
              </w:rPr>
              <w:t>HW08</w:t>
            </w:r>
            <w:r>
              <w:rPr>
                <w:rFonts w:hint="eastAsia" w:ascii="宋体" w:hAnsi="宋体" w:cs="宋体"/>
                <w:bCs/>
                <w:color w:val="000000"/>
                <w:sz w:val="24"/>
              </w:rPr>
              <w:t>，废物代码</w:t>
            </w:r>
            <w:r>
              <w:rPr>
                <w:rFonts w:hint="eastAsia" w:cs="宋体"/>
                <w:bCs/>
                <w:color w:val="000000"/>
                <w:sz w:val="24"/>
              </w:rPr>
              <w:t>900</w:t>
            </w:r>
            <w:r>
              <w:rPr>
                <w:rFonts w:hint="eastAsia" w:ascii="宋体" w:hAnsi="宋体" w:cs="宋体"/>
                <w:bCs/>
                <w:color w:val="000000"/>
                <w:sz w:val="24"/>
              </w:rPr>
              <w:t>-</w:t>
            </w:r>
            <w:r>
              <w:rPr>
                <w:rFonts w:hint="eastAsia" w:cs="宋体"/>
                <w:bCs/>
                <w:color w:val="000000"/>
                <w:sz w:val="24"/>
              </w:rPr>
              <w:t>249</w:t>
            </w:r>
            <w:r>
              <w:rPr>
                <w:rFonts w:hint="eastAsia" w:ascii="宋体" w:hAnsi="宋体" w:cs="宋体"/>
                <w:bCs/>
                <w:color w:val="000000"/>
                <w:sz w:val="24"/>
              </w:rPr>
              <w:t>-</w:t>
            </w:r>
            <w:r>
              <w:rPr>
                <w:rFonts w:hint="eastAsia" w:cs="宋体"/>
                <w:bCs/>
                <w:color w:val="000000"/>
                <w:sz w:val="24"/>
              </w:rPr>
              <w:t>08</w:t>
            </w:r>
            <w:r>
              <w:rPr>
                <w:rFonts w:hint="eastAsia" w:ascii="宋体" w:hAnsi="宋体" w:cs="宋体"/>
                <w:bCs/>
                <w:color w:val="000000"/>
                <w:sz w:val="24"/>
              </w:rPr>
              <w:t>，</w:t>
            </w:r>
            <w:r>
              <w:rPr>
                <w:sz w:val="24"/>
              </w:rPr>
              <w:t>存放于厂内危险废物仓库，经收集后委托有资质单位处置</w:t>
            </w:r>
            <w:r>
              <w:rPr>
                <w:bCs/>
                <w:sz w:val="24"/>
              </w:rPr>
              <w:t>。</w:t>
            </w:r>
          </w:p>
          <w:p>
            <w:pPr>
              <w:keepNext w:val="0"/>
              <w:keepLines w:val="0"/>
              <w:suppressLineNumbers w:val="0"/>
              <w:spacing w:before="0" w:beforeAutospacing="0" w:after="0" w:afterAutospacing="0" w:line="360" w:lineRule="auto"/>
              <w:ind w:left="0" w:right="0" w:firstLine="482" w:firstLineChars="200"/>
              <w:rPr>
                <w:sz w:val="24"/>
              </w:rPr>
            </w:pPr>
            <w:r>
              <w:rPr>
                <w:rFonts w:hint="eastAsia"/>
                <w:b/>
                <w:sz w:val="24"/>
              </w:rPr>
              <w:t>含油抹布手套：</w:t>
            </w:r>
            <w:r>
              <w:rPr>
                <w:rFonts w:hint="eastAsia"/>
                <w:sz w:val="24"/>
              </w:rPr>
              <w:t>项目</w:t>
            </w:r>
            <w:r>
              <w:rPr>
                <w:rFonts w:hint="eastAsia"/>
                <w:sz w:val="24"/>
                <w:lang w:eastAsia="zh-CN"/>
              </w:rPr>
              <w:t>冲压、</w:t>
            </w:r>
            <w:r>
              <w:rPr>
                <w:rFonts w:hint="eastAsia"/>
                <w:sz w:val="24"/>
              </w:rPr>
              <w:t>机加工、攻丝加工过程中员工佩戴使用抹布手套，含油抹布手套的产生量约为0.2t/a，根据《国家危险废物名录》（2021）中“附录”中“危险废物豁免管理清单”，废物类别“HW49”、废物代码“900-041-49”，危险废物“废弃的含油抹布、劳保用品”“全部环节”豁免，豁免条件“混入生活垃圾”，豁免内容“全过程不按危险废物管理”。故全过程可不按危险废物管理，产生后混入生活垃圾，由环卫部门定期清运。</w:t>
            </w:r>
          </w:p>
          <w:p>
            <w:pPr>
              <w:keepNext w:val="0"/>
              <w:keepLines w:val="0"/>
              <w:suppressLineNumbers w:val="0"/>
              <w:spacing w:before="0" w:beforeAutospacing="0" w:after="0" w:afterAutospacing="0" w:line="360" w:lineRule="auto"/>
              <w:ind w:left="0" w:right="0" w:firstLine="482" w:firstLineChars="200"/>
              <w:rPr>
                <w:b/>
                <w:sz w:val="24"/>
              </w:rPr>
            </w:pPr>
            <w:r>
              <w:rPr>
                <w:rFonts w:hint="eastAsia"/>
                <w:b/>
                <w:color w:val="000000"/>
                <w:sz w:val="24"/>
              </w:rPr>
              <w:t>3</w:t>
            </w:r>
            <w:r>
              <w:rPr>
                <w:rFonts w:hint="eastAsia" w:ascii="宋体" w:hAnsi="宋体"/>
                <w:b/>
                <w:color w:val="000000"/>
                <w:sz w:val="24"/>
              </w:rPr>
              <w:t>）生活垃圾</w:t>
            </w:r>
          </w:p>
          <w:p>
            <w:pPr>
              <w:keepNext w:val="0"/>
              <w:keepLines w:val="0"/>
              <w:suppressLineNumbers w:val="0"/>
              <w:spacing w:before="0" w:beforeAutospacing="0" w:after="0" w:afterAutospacing="0" w:line="360" w:lineRule="auto"/>
              <w:ind w:left="0" w:right="0" w:firstLine="480" w:firstLineChars="200"/>
              <w:rPr>
                <w:color w:val="000000"/>
                <w:sz w:val="24"/>
              </w:rPr>
            </w:pPr>
            <w:r>
              <w:rPr>
                <w:rFonts w:hint="eastAsia"/>
                <w:color w:val="000000"/>
                <w:sz w:val="24"/>
              </w:rPr>
              <w:t>职</w:t>
            </w:r>
            <w:r>
              <w:rPr>
                <w:color w:val="000000"/>
                <w:sz w:val="24"/>
              </w:rPr>
              <w:t>工日常生活会产生生活垃圾，项目拟用</w:t>
            </w:r>
            <w:r>
              <w:rPr>
                <w:rFonts w:hint="eastAsia"/>
                <w:color w:val="000000"/>
                <w:sz w:val="24"/>
              </w:rPr>
              <w:t>职</w:t>
            </w:r>
            <w:r>
              <w:rPr>
                <w:color w:val="000000"/>
                <w:sz w:val="24"/>
              </w:rPr>
              <w:t>工</w:t>
            </w:r>
            <w:r>
              <w:rPr>
                <w:rFonts w:hint="eastAsia"/>
                <w:color w:val="000000"/>
                <w:sz w:val="24"/>
              </w:rPr>
              <w:t>1</w:t>
            </w:r>
            <w:r>
              <w:rPr>
                <w:color w:val="000000"/>
                <w:sz w:val="24"/>
              </w:rPr>
              <w:t>20人，日产生量按1kg/人计，年工作300天，则生活垃圾产生量为</w:t>
            </w:r>
            <w:r>
              <w:rPr>
                <w:rFonts w:hint="eastAsia"/>
                <w:color w:val="000000"/>
                <w:sz w:val="24"/>
              </w:rPr>
              <w:t>3</w:t>
            </w:r>
            <w:r>
              <w:rPr>
                <w:color w:val="000000"/>
                <w:sz w:val="24"/>
              </w:rPr>
              <w:t>6t/a。</w:t>
            </w:r>
          </w:p>
          <w:p>
            <w:pPr>
              <w:keepNext w:val="0"/>
              <w:keepLines w:val="0"/>
              <w:suppressLineNumbers w:val="0"/>
              <w:spacing w:before="0" w:beforeAutospacing="0" w:after="0" w:afterAutospacing="0" w:line="360" w:lineRule="auto"/>
              <w:ind w:left="0" w:right="0" w:firstLine="480" w:firstLineChars="200"/>
              <w:rPr>
                <w:bCs/>
                <w:sz w:val="24"/>
              </w:rPr>
            </w:pPr>
            <w:r>
              <w:rPr>
                <w:sz w:val="24"/>
              </w:rPr>
              <w:t>根据《国家危险废物名录》（2021年）以及危险废物鉴别标准，判定该固体废物是否属于危险废物，项目固体废物分析结果汇总见下表</w:t>
            </w:r>
            <w:r>
              <w:rPr>
                <w:rFonts w:hint="eastAsia"/>
                <w:bCs/>
                <w:sz w:val="24"/>
              </w:rPr>
              <w:t>。</w:t>
            </w:r>
          </w:p>
          <w:p>
            <w:pPr>
              <w:pStyle w:val="50"/>
              <w:keepNext w:val="0"/>
              <w:keepLines w:val="0"/>
              <w:suppressLineNumbers w:val="0"/>
              <w:tabs>
                <w:tab w:val="left" w:pos="3240"/>
              </w:tabs>
              <w:adjustRightInd w:val="0"/>
              <w:snapToGrid w:val="0"/>
              <w:spacing w:before="0" w:beforeAutospacing="0" w:after="0" w:afterAutospacing="0" w:line="240" w:lineRule="auto"/>
              <w:ind w:left="0" w:right="0"/>
              <w:jc w:val="center"/>
              <w:rPr>
                <w:rFonts w:ascii="Times New Roman" w:hAnsi="Times New Roman"/>
                <w:b/>
                <w:sz w:val="24"/>
              </w:rPr>
            </w:pPr>
            <w:r>
              <w:rPr>
                <w:rFonts w:ascii="Times New Roman" w:hAnsi="Times New Roman"/>
                <w:b/>
                <w:sz w:val="24"/>
              </w:rPr>
              <w:t>表</w:t>
            </w:r>
            <w:r>
              <w:rPr>
                <w:rFonts w:hint="eastAsia" w:ascii="Times New Roman" w:hAnsi="Times New Roman"/>
                <w:b/>
                <w:sz w:val="24"/>
              </w:rPr>
              <w:t>4-20</w:t>
            </w:r>
            <w:r>
              <w:rPr>
                <w:rFonts w:ascii="Times New Roman" w:hAnsi="Times New Roman"/>
                <w:b/>
                <w:sz w:val="24"/>
              </w:rPr>
              <w:t xml:space="preserve"> 项目固废产生及排放情况</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37"/>
              <w:gridCol w:w="1150"/>
              <w:gridCol w:w="643"/>
              <w:gridCol w:w="916"/>
              <w:gridCol w:w="560"/>
              <w:gridCol w:w="1051"/>
              <w:gridCol w:w="692"/>
              <w:gridCol w:w="705"/>
              <w:gridCol w:w="1106"/>
              <w:gridCol w:w="9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12"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序号</w:t>
                  </w:r>
                </w:p>
              </w:tc>
              <w:tc>
                <w:tcPr>
                  <w:tcW w:w="702"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固废名称</w:t>
                  </w:r>
                </w:p>
              </w:tc>
              <w:tc>
                <w:tcPr>
                  <w:tcW w:w="392"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属性</w:t>
                  </w:r>
                </w:p>
              </w:tc>
              <w:tc>
                <w:tcPr>
                  <w:tcW w:w="559"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产生来源</w:t>
                  </w:r>
                </w:p>
              </w:tc>
              <w:tc>
                <w:tcPr>
                  <w:tcW w:w="342"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形态</w:t>
                  </w:r>
                </w:p>
              </w:tc>
              <w:tc>
                <w:tcPr>
                  <w:tcW w:w="642"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主要成分</w:t>
                  </w:r>
                </w:p>
              </w:tc>
              <w:tc>
                <w:tcPr>
                  <w:tcW w:w="422"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危废毒性</w:t>
                  </w:r>
                </w:p>
              </w:tc>
              <w:tc>
                <w:tcPr>
                  <w:tcW w:w="430"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废物类别</w:t>
                  </w:r>
                </w:p>
              </w:tc>
              <w:tc>
                <w:tcPr>
                  <w:tcW w:w="675" w:type="pct"/>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废物代码</w:t>
                  </w:r>
                </w:p>
              </w:tc>
              <w:tc>
                <w:tcPr>
                  <w:tcW w:w="563" w:type="pct"/>
                  <w:tcBorders>
                    <w:top w:val="single" w:color="auto" w:sz="1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1</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废包装袋</w:t>
                  </w:r>
                </w:p>
              </w:tc>
              <w:tc>
                <w:tcPr>
                  <w:tcW w:w="392" w:type="pct"/>
                  <w:vMerge w:val="restar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一般固废</w:t>
                  </w:r>
                </w:p>
              </w:tc>
              <w:tc>
                <w:tcPr>
                  <w:tcW w:w="559"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原辅料包装</w:t>
                  </w:r>
                </w:p>
              </w:tc>
              <w:tc>
                <w:tcPr>
                  <w:tcW w:w="3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固</w:t>
                  </w:r>
                  <w:r>
                    <w:rPr>
                      <w:rFonts w:hint="eastAsia" w:ascii="Times New Roman" w:hAnsi="Times New Roman"/>
                    </w:rPr>
                    <w:t>态</w:t>
                  </w:r>
                </w:p>
              </w:tc>
              <w:tc>
                <w:tcPr>
                  <w:tcW w:w="6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塑料</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2</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不合格品</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检验</w:t>
                  </w:r>
                </w:p>
              </w:tc>
              <w:tc>
                <w:tcPr>
                  <w:tcW w:w="3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固</w:t>
                  </w:r>
                  <w:r>
                    <w:rPr>
                      <w:rFonts w:hint="eastAsia" w:ascii="Times New Roman" w:hAnsi="Times New Roman"/>
                    </w:rPr>
                    <w:t>态</w:t>
                  </w:r>
                </w:p>
              </w:tc>
              <w:tc>
                <w:tcPr>
                  <w:tcW w:w="6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钢材</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3</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边角料</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纵剪、冲压、机加工、攻丝加工</w:t>
                  </w:r>
                </w:p>
              </w:tc>
              <w:tc>
                <w:tcPr>
                  <w:tcW w:w="3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固态</w:t>
                  </w:r>
                </w:p>
              </w:tc>
              <w:tc>
                <w:tcPr>
                  <w:tcW w:w="642" w:type="pc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钢材</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ascii="Times New Roman" w:hAnsi="Times New Roman"/>
                    </w:rPr>
                    <w:t>4</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rPr>
                    <w:t>收集粉尘</w:t>
                  </w:r>
                  <w:r>
                    <w:rPr>
                      <w:rFonts w:hint="eastAsia"/>
                      <w:lang w:eastAsia="zh-CN"/>
                    </w:rPr>
                    <w:t>（涂敷）</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废气处理</w:t>
                  </w:r>
                </w:p>
              </w:tc>
              <w:tc>
                <w:tcPr>
                  <w:tcW w:w="3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固态</w:t>
                  </w:r>
                </w:p>
              </w:tc>
              <w:tc>
                <w:tcPr>
                  <w:tcW w:w="6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环氧树脂粉</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9.802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val="en-US" w:eastAsia="zh-CN"/>
                    </w:rPr>
                  </w:pPr>
                  <w:r>
                    <w:rPr>
                      <w:rFonts w:hint="eastAsia" w:ascii="Times New Roman" w:hAnsi="Times New Roman"/>
                      <w:lang w:val="en-US" w:eastAsia="zh-CN"/>
                    </w:rPr>
                    <w:t>5</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rPr>
                  </w:pPr>
                  <w:r>
                    <w:rPr>
                      <w:rFonts w:hint="eastAsia"/>
                    </w:rPr>
                    <w:t>收集粉尘</w:t>
                  </w:r>
                  <w:r>
                    <w:rPr>
                      <w:rFonts w:hint="eastAsia"/>
                      <w:lang w:eastAsia="zh-CN"/>
                    </w:rPr>
                    <w:t>（焊接）</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废气处理</w:t>
                  </w:r>
                </w:p>
              </w:tc>
              <w:tc>
                <w:tcPr>
                  <w:tcW w:w="3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固态</w:t>
                  </w:r>
                </w:p>
              </w:tc>
              <w:tc>
                <w:tcPr>
                  <w:tcW w:w="6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焊接烟尘</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val="en-US" w:eastAsia="zh-CN"/>
                    </w:rPr>
                  </w:pPr>
                  <w:r>
                    <w:rPr>
                      <w:rFonts w:hint="eastAsia"/>
                      <w:lang w:val="en-US" w:eastAsia="zh-CN"/>
                    </w:rP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rP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rP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eastAsia="zh-CN"/>
                    </w:rPr>
                  </w:pPr>
                  <w:r>
                    <w:rPr>
                      <w:rFonts w:hint="eastAsia"/>
                      <w:szCs w:val="21"/>
                      <w:lang w:val="en-US" w:eastAsia="zh-CN"/>
                    </w:rPr>
                    <w:t>0.0014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lang w:val="en-US" w:eastAsia="zh-CN"/>
                    </w:rPr>
                    <w:t>6</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废滤芯</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废气处理</w:t>
                  </w:r>
                </w:p>
              </w:tc>
              <w:tc>
                <w:tcPr>
                  <w:tcW w:w="3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固态</w:t>
                  </w:r>
                </w:p>
              </w:tc>
              <w:tc>
                <w:tcPr>
                  <w:tcW w:w="6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滤芯</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val="en-US" w:eastAsia="zh-CN"/>
                    </w:rPr>
                  </w:pPr>
                  <w:r>
                    <w:rPr>
                      <w:rFonts w:hint="eastAsia" w:ascii="Times New Roman" w:hAnsi="Times New Roman"/>
                      <w:lang w:val="en-US" w:eastAsia="zh-CN"/>
                    </w:rPr>
                    <w:t>7</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塑料边角料</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注塑成型</w:t>
                  </w:r>
                </w:p>
              </w:tc>
              <w:tc>
                <w:tcPr>
                  <w:tcW w:w="3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固态</w:t>
                  </w:r>
                </w:p>
              </w:tc>
              <w:tc>
                <w:tcPr>
                  <w:tcW w:w="64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聚丙烯</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val="en-US" w:eastAsia="zh-CN"/>
                    </w:rPr>
                  </w:pPr>
                  <w:r>
                    <w:rPr>
                      <w:rFonts w:hint="eastAsia"/>
                      <w:lang w:val="en-US" w:eastAsia="zh-CN"/>
                    </w:rP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rP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rP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lang w:val="en-US" w:eastAsia="zh-CN"/>
                    </w:rPr>
                    <w:t>8</w:t>
                  </w:r>
                </w:p>
              </w:tc>
              <w:tc>
                <w:tcPr>
                  <w:tcW w:w="70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餐厨垃圾</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隔油池、食堂</w:t>
                  </w:r>
                </w:p>
              </w:tc>
              <w:tc>
                <w:tcPr>
                  <w:tcW w:w="342"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固/液态</w:t>
                  </w:r>
                </w:p>
              </w:tc>
              <w:tc>
                <w:tcPr>
                  <w:tcW w:w="642"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餐厨垃圾</w:t>
                  </w:r>
                </w:p>
              </w:tc>
              <w:tc>
                <w:tcPr>
                  <w:tcW w:w="422"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w:t>
                  </w:r>
                </w:p>
              </w:tc>
              <w:tc>
                <w:tcPr>
                  <w:tcW w:w="430" w:type="pc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pPr>
                  <w:r>
                    <w:rPr>
                      <w:rFonts w:hint="eastAsia"/>
                    </w:rPr>
                    <w:t>其它废物</w:t>
                  </w:r>
                </w:p>
              </w:tc>
              <w:tc>
                <w:tcPr>
                  <w:tcW w:w="675" w:type="pc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99</w:t>
                  </w:r>
                </w:p>
              </w:tc>
              <w:tc>
                <w:tcPr>
                  <w:tcW w:w="563" w:type="pct"/>
                  <w:tcBorders>
                    <w:top w:val="single" w:color="auto" w:sz="4" w:space="0"/>
                    <w:left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lang w:val="en-US" w:eastAsia="zh-CN"/>
                    </w:rPr>
                    <w:t>9</w:t>
                  </w:r>
                </w:p>
              </w:tc>
              <w:tc>
                <w:tcPr>
                  <w:tcW w:w="70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废活性炭</w:t>
                  </w:r>
                </w:p>
              </w:tc>
              <w:tc>
                <w:tcPr>
                  <w:tcW w:w="392" w:type="pct"/>
                  <w:vMerge w:val="restart"/>
                  <w:tcBorders>
                    <w:top w:val="single" w:color="auto" w:sz="4" w:space="0"/>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危险固废</w:t>
                  </w:r>
                </w:p>
              </w:tc>
              <w:tc>
                <w:tcPr>
                  <w:tcW w:w="559"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废气处理</w:t>
                  </w:r>
                </w:p>
              </w:tc>
              <w:tc>
                <w:tcPr>
                  <w:tcW w:w="34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固态</w:t>
                  </w:r>
                </w:p>
              </w:tc>
              <w:tc>
                <w:tcPr>
                  <w:tcW w:w="64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废活性炭</w:t>
                  </w:r>
                </w:p>
              </w:tc>
              <w:tc>
                <w:tcPr>
                  <w:tcW w:w="4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T</w:t>
                  </w:r>
                </w:p>
              </w:tc>
              <w:tc>
                <w:tcPr>
                  <w:tcW w:w="43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HW49</w:t>
                  </w:r>
                </w:p>
              </w:tc>
              <w:tc>
                <w:tcPr>
                  <w:tcW w:w="67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900-039-49</w:t>
                  </w:r>
                </w:p>
              </w:tc>
              <w:tc>
                <w:tcPr>
                  <w:tcW w:w="563" w:type="pct"/>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lang w:val="en-US" w:eastAsia="zh-CN"/>
                    </w:rPr>
                    <w:t>10</w:t>
                  </w:r>
                </w:p>
              </w:tc>
              <w:tc>
                <w:tcPr>
                  <w:tcW w:w="70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废包装桶</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设备维护</w:t>
                  </w:r>
                </w:p>
              </w:tc>
              <w:tc>
                <w:tcPr>
                  <w:tcW w:w="34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lang w:eastAsia="zh-CN"/>
                    </w:rPr>
                    <w:t>固</w:t>
                  </w:r>
                  <w:r>
                    <w:rPr>
                      <w:rFonts w:hint="eastAsia"/>
                    </w:rPr>
                    <w:t>态</w:t>
                  </w:r>
                </w:p>
              </w:tc>
              <w:tc>
                <w:tcPr>
                  <w:tcW w:w="64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hint="eastAsia"/>
                    </w:rPr>
                    <w:t>液压油、</w:t>
                  </w:r>
                  <w:r>
                    <w:rPr>
                      <w:rFonts w:hint="eastAsia"/>
                      <w:lang w:eastAsia="zh-CN"/>
                    </w:rPr>
                    <w:t>切削油</w:t>
                  </w:r>
                  <w:r>
                    <w:rPr>
                      <w:rFonts w:hint="eastAsia"/>
                    </w:rPr>
                    <w:t>、铁等</w:t>
                  </w:r>
                </w:p>
              </w:tc>
              <w:tc>
                <w:tcPr>
                  <w:tcW w:w="4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T</w:t>
                  </w:r>
                  <w:r>
                    <w:rPr>
                      <w:rFonts w:hint="eastAsia"/>
                      <w:lang w:eastAsia="zh-CN"/>
                    </w:rPr>
                    <w:t>，</w:t>
                  </w:r>
                  <w:r>
                    <w:rPr>
                      <w:rFonts w:hint="eastAsia"/>
                      <w:lang w:val="en-US" w:eastAsia="zh-CN"/>
                    </w:rPr>
                    <w:t>I</w:t>
                  </w:r>
                </w:p>
              </w:tc>
              <w:tc>
                <w:tcPr>
                  <w:tcW w:w="43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HW</w:t>
                  </w:r>
                  <w:r>
                    <w:rPr>
                      <w:rFonts w:hint="eastAsia"/>
                      <w:lang w:val="en-US" w:eastAsia="zh-CN"/>
                    </w:rPr>
                    <w:t>08</w:t>
                  </w:r>
                </w:p>
              </w:tc>
              <w:tc>
                <w:tcPr>
                  <w:tcW w:w="67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lang w:val="en-US" w:eastAsia="zh-CN"/>
                    </w:rPr>
                  </w:pPr>
                  <w:r>
                    <w:rPr>
                      <w:rFonts w:hint="eastAsia"/>
                    </w:rPr>
                    <w:t>900-</w:t>
                  </w:r>
                  <w:r>
                    <w:rPr>
                      <w:rFonts w:hint="eastAsia"/>
                      <w:lang w:val="en-US" w:eastAsia="zh-CN"/>
                    </w:rPr>
                    <w:t>249</w:t>
                  </w:r>
                  <w:r>
                    <w:rPr>
                      <w:rFonts w:hint="eastAsia"/>
                    </w:rPr>
                    <w:t>-</w:t>
                  </w:r>
                  <w:r>
                    <w:rPr>
                      <w:rFonts w:hint="eastAsia"/>
                      <w:lang w:val="en-US" w:eastAsia="zh-CN"/>
                    </w:rPr>
                    <w:t>08</w:t>
                  </w:r>
                </w:p>
              </w:tc>
              <w:tc>
                <w:tcPr>
                  <w:tcW w:w="563" w:type="pct"/>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lang w:val="en-US" w:eastAsia="zh-CN"/>
                    </w:rPr>
                  </w:pPr>
                  <w:r>
                    <w:rPr>
                      <w:rFonts w:hint="eastAsia" w:ascii="Times New Roman" w:hAnsi="Times New Roman"/>
                      <w:lang w:val="en-US" w:eastAsia="zh-CN"/>
                    </w:rPr>
                    <w:t>11</w:t>
                  </w:r>
                </w:p>
              </w:tc>
              <w:tc>
                <w:tcPr>
                  <w:tcW w:w="70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w:t>
                  </w:r>
                  <w:r>
                    <w:rPr>
                      <w:rFonts w:hint="eastAsia"/>
                      <w:lang w:eastAsia="zh-CN"/>
                    </w:rPr>
                    <w:t>矿物</w:t>
                  </w:r>
                  <w:r>
                    <w:rPr>
                      <w:rFonts w:hint="eastAsia"/>
                    </w:rPr>
                    <w:t>油</w:t>
                  </w:r>
                </w:p>
              </w:tc>
              <w:tc>
                <w:tcPr>
                  <w:tcW w:w="392" w:type="pct"/>
                  <w:vMerge w:val="continue"/>
                  <w:tcBorders>
                    <w:left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lang w:eastAsia="zh-CN"/>
                    </w:rPr>
                    <w:t>冲压、机加工、攻丝加工</w:t>
                  </w:r>
                  <w:r>
                    <w:rPr>
                      <w:rFonts w:hint="eastAsia"/>
                    </w:rPr>
                    <w:t>、设备维护</w:t>
                  </w:r>
                </w:p>
              </w:tc>
              <w:tc>
                <w:tcPr>
                  <w:tcW w:w="34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液态</w:t>
                  </w:r>
                </w:p>
              </w:tc>
              <w:tc>
                <w:tcPr>
                  <w:tcW w:w="64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rPr>
                    <w:t>液压油</w:t>
                  </w:r>
                  <w:r>
                    <w:rPr>
                      <w:rFonts w:hint="eastAsia"/>
                      <w:lang w:eastAsia="zh-CN"/>
                    </w:rPr>
                    <w:t>、冲压油、切削油</w:t>
                  </w:r>
                </w:p>
              </w:tc>
              <w:tc>
                <w:tcPr>
                  <w:tcW w:w="4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T，I</w:t>
                  </w:r>
                </w:p>
              </w:tc>
              <w:tc>
                <w:tcPr>
                  <w:tcW w:w="43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HW08</w:t>
                  </w:r>
                </w:p>
              </w:tc>
              <w:tc>
                <w:tcPr>
                  <w:tcW w:w="67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900-249-08</w:t>
                  </w:r>
                </w:p>
              </w:tc>
              <w:tc>
                <w:tcPr>
                  <w:tcW w:w="563" w:type="pct"/>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rPr>
                    <w:t>1</w:t>
                  </w:r>
                  <w:r>
                    <w:rPr>
                      <w:rFonts w:hint="eastAsia" w:ascii="Times New Roman" w:hAnsi="Times New Roman"/>
                      <w:lang w:val="en-US" w:eastAsia="zh-CN"/>
                    </w:rPr>
                    <w:t>2</w:t>
                  </w:r>
                </w:p>
              </w:tc>
              <w:tc>
                <w:tcPr>
                  <w:tcW w:w="70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含油抹布手套（豁免）</w:t>
                  </w:r>
                </w:p>
              </w:tc>
              <w:tc>
                <w:tcPr>
                  <w:tcW w:w="392" w:type="pct"/>
                  <w:vMerge w:val="continue"/>
                  <w:tcBorders>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p>
              </w:tc>
              <w:tc>
                <w:tcPr>
                  <w:tcW w:w="559"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机加工、攻丝加工</w:t>
                  </w:r>
                </w:p>
              </w:tc>
              <w:tc>
                <w:tcPr>
                  <w:tcW w:w="34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固态</w:t>
                  </w:r>
                </w:p>
              </w:tc>
              <w:tc>
                <w:tcPr>
                  <w:tcW w:w="642" w:type="pct"/>
                  <w:tcBorders>
                    <w:top w:val="single" w:color="auto" w:sz="4" w:space="0"/>
                    <w:left w:val="single" w:color="auto" w:sz="4" w:space="0"/>
                    <w:bottom w:val="single" w:color="auto" w:sz="4"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pPr>
                  <w:r>
                    <w:rPr>
                      <w:rFonts w:hint="eastAsia"/>
                    </w:rPr>
                    <w:t>油</w:t>
                  </w:r>
                </w:p>
              </w:tc>
              <w:tc>
                <w:tcPr>
                  <w:tcW w:w="4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pPr>
                  <w:r>
                    <w:t>T/In</w:t>
                  </w:r>
                </w:p>
              </w:tc>
              <w:tc>
                <w:tcPr>
                  <w:tcW w:w="43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HW49</w:t>
                  </w:r>
                </w:p>
              </w:tc>
              <w:tc>
                <w:tcPr>
                  <w:tcW w:w="67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900-0</w:t>
                  </w:r>
                  <w:r>
                    <w:rPr>
                      <w:rFonts w:hint="eastAsia"/>
                    </w:rPr>
                    <w:t>41</w:t>
                  </w:r>
                  <w:r>
                    <w:t>-49</w:t>
                  </w:r>
                </w:p>
              </w:tc>
              <w:tc>
                <w:tcPr>
                  <w:tcW w:w="563" w:type="pct"/>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267" w:type="pct"/>
                  <w:tcBorders>
                    <w:top w:val="single" w:color="auto" w:sz="4" w:space="0"/>
                    <w:left w:val="nil"/>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lang w:eastAsia="zh-CN"/>
                    </w:rPr>
                  </w:pPr>
                  <w:r>
                    <w:rPr>
                      <w:rFonts w:hint="eastAsia" w:ascii="Times New Roman" w:hAnsi="Times New Roman"/>
                    </w:rPr>
                    <w:t>1</w:t>
                  </w:r>
                  <w:r>
                    <w:rPr>
                      <w:rFonts w:hint="eastAsia" w:ascii="Times New Roman" w:hAnsi="Times New Roman"/>
                      <w:lang w:val="en-US" w:eastAsia="zh-CN"/>
                    </w:rPr>
                    <w:t>3</w:t>
                  </w:r>
                </w:p>
              </w:tc>
              <w:tc>
                <w:tcPr>
                  <w:tcW w:w="702"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生活垃圾</w:t>
                  </w:r>
                </w:p>
              </w:tc>
              <w:tc>
                <w:tcPr>
                  <w:tcW w:w="392"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生活垃圾</w:t>
                  </w:r>
                </w:p>
              </w:tc>
              <w:tc>
                <w:tcPr>
                  <w:tcW w:w="559"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员工生活</w:t>
                  </w:r>
                </w:p>
              </w:tc>
              <w:tc>
                <w:tcPr>
                  <w:tcW w:w="342"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固态</w:t>
                  </w:r>
                </w:p>
              </w:tc>
              <w:tc>
                <w:tcPr>
                  <w:tcW w:w="642" w:type="pct"/>
                  <w:tcBorders>
                    <w:top w:val="single" w:color="auto" w:sz="4" w:space="0"/>
                    <w:left w:val="single" w:color="auto" w:sz="4" w:space="0"/>
                    <w:bottom w:val="single" w:color="auto" w:sz="12" w:space="0"/>
                    <w:right w:val="single" w:color="auto" w:sz="4"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rPr>
                  </w:pPr>
                  <w:r>
                    <w:rPr>
                      <w:rFonts w:ascii="Times New Roman" w:hAnsi="Times New Roman"/>
                    </w:rPr>
                    <w:t>垃圾</w:t>
                  </w:r>
                </w:p>
              </w:tc>
              <w:tc>
                <w:tcPr>
                  <w:tcW w:w="422"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w:t>
                  </w:r>
                </w:p>
              </w:tc>
              <w:tc>
                <w:tcPr>
                  <w:tcW w:w="430"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w:t>
                  </w:r>
                </w:p>
              </w:tc>
              <w:tc>
                <w:tcPr>
                  <w:tcW w:w="675" w:type="pct"/>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w:t>
                  </w:r>
                </w:p>
              </w:tc>
              <w:tc>
                <w:tcPr>
                  <w:tcW w:w="563" w:type="pct"/>
                  <w:tcBorders>
                    <w:top w:val="single" w:color="auto" w:sz="4" w:space="0"/>
                    <w:left w:val="single" w:color="auto" w:sz="4" w:space="0"/>
                    <w:bottom w:val="single" w:color="auto" w:sz="12"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36</w:t>
                  </w:r>
                </w:p>
              </w:tc>
            </w:tr>
          </w:tbl>
          <w:p>
            <w:pPr>
              <w:keepNext w:val="0"/>
              <w:keepLines w:val="0"/>
              <w:suppressLineNumbers w:val="0"/>
              <w:adjustRightInd w:val="0"/>
              <w:snapToGrid w:val="0"/>
              <w:spacing w:before="0" w:beforeAutospacing="0" w:after="0" w:afterAutospacing="0" w:line="360" w:lineRule="auto"/>
              <w:ind w:left="0" w:right="0" w:firstLine="482" w:firstLineChars="200"/>
              <w:rPr>
                <w:b/>
                <w:sz w:val="24"/>
              </w:rPr>
            </w:pPr>
            <w:r>
              <w:rPr>
                <w:rFonts w:hint="eastAsia"/>
                <w:b/>
                <w:sz w:val="24"/>
              </w:rPr>
              <w:t>（2</w:t>
            </w:r>
            <w:r>
              <w:rPr>
                <w:b/>
                <w:sz w:val="24"/>
              </w:rPr>
              <w:t>）防治措施</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一般固废：</w:t>
            </w:r>
            <w:r>
              <w:rPr>
                <w:rFonts w:hint="eastAsia"/>
                <w:sz w:val="24"/>
              </w:rPr>
              <w:t>废包装袋、不合格品、边角料、废滤芯</w:t>
            </w:r>
            <w:r>
              <w:rPr>
                <w:rFonts w:hint="eastAsia"/>
                <w:sz w:val="24"/>
                <w:lang w:eastAsia="zh-CN"/>
              </w:rPr>
              <w:t>、塑料边角料、收集粉尘（焊接）</w:t>
            </w:r>
            <w:r>
              <w:rPr>
                <w:rFonts w:hint="eastAsia"/>
                <w:sz w:val="24"/>
              </w:rPr>
              <w:t>收集后外售综合利用</w:t>
            </w:r>
            <w:r>
              <w:rPr>
                <w:rFonts w:hint="eastAsia"/>
                <w:sz w:val="24"/>
                <w:lang w:eastAsia="zh-CN"/>
              </w:rPr>
              <w:t>；</w:t>
            </w:r>
            <w:r>
              <w:rPr>
                <w:rFonts w:hint="eastAsia"/>
                <w:sz w:val="24"/>
              </w:rPr>
              <w:t>收集粉尘</w:t>
            </w:r>
            <w:r>
              <w:rPr>
                <w:rFonts w:hint="eastAsia"/>
                <w:sz w:val="24"/>
                <w:lang w:eastAsia="zh-CN"/>
              </w:rPr>
              <w:t>（涂敷）收集后</w:t>
            </w:r>
            <w:r>
              <w:rPr>
                <w:rFonts w:hint="eastAsia"/>
                <w:sz w:val="24"/>
              </w:rPr>
              <w:t>回用于生产；</w:t>
            </w:r>
            <w:r>
              <w:rPr>
                <w:rFonts w:hint="eastAsia" w:ascii="宋体" w:hAnsi="宋体" w:cs="宋体"/>
                <w:sz w:val="24"/>
              </w:rPr>
              <w:t>餐厨垃圾委托专业单位集中处理；</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rFonts w:hint="eastAsia"/>
                <w:sz w:val="24"/>
              </w:rPr>
              <w:t>危险废物：废活性炭、废包装桶、废</w:t>
            </w:r>
            <w:r>
              <w:rPr>
                <w:rFonts w:hint="eastAsia"/>
                <w:sz w:val="24"/>
                <w:lang w:eastAsia="zh-CN"/>
              </w:rPr>
              <w:t>矿物油</w:t>
            </w:r>
            <w:r>
              <w:rPr>
                <w:rFonts w:hint="eastAsia"/>
                <w:sz w:val="24"/>
              </w:rPr>
              <w:t>收集后委托有资质单位处置；含油抹布手套委托环卫清运；</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生活垃圾：由环卫部门统一清运。</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本项目在厂区内设置了</w:t>
            </w:r>
            <w:r>
              <w:rPr>
                <w:rFonts w:hint="eastAsia"/>
                <w:sz w:val="24"/>
              </w:rPr>
              <w:t>一般固废堆场和危废仓库。一般固废堆场位于厂区北侧，占地面积为32m</w:t>
            </w:r>
            <w:r>
              <w:rPr>
                <w:rFonts w:hint="eastAsia"/>
                <w:sz w:val="24"/>
                <w:vertAlign w:val="superscript"/>
              </w:rPr>
              <w:t>2</w:t>
            </w:r>
            <w:r>
              <w:rPr>
                <w:rFonts w:hint="eastAsia"/>
                <w:sz w:val="24"/>
              </w:rPr>
              <w:t>；危废仓库</w:t>
            </w:r>
            <w:r>
              <w:rPr>
                <w:sz w:val="24"/>
              </w:rPr>
              <w:t>位</w:t>
            </w:r>
            <w:r>
              <w:rPr>
                <w:rFonts w:hint="eastAsia"/>
                <w:sz w:val="24"/>
              </w:rPr>
              <w:t>于厂区北</w:t>
            </w:r>
            <w:r>
              <w:rPr>
                <w:sz w:val="24"/>
              </w:rPr>
              <w:t>侧，占地面积为</w:t>
            </w:r>
            <w:r>
              <w:rPr>
                <w:rFonts w:hint="eastAsia"/>
                <w:sz w:val="24"/>
              </w:rPr>
              <w:t>64</w:t>
            </w:r>
            <w:r>
              <w:rPr>
                <w:sz w:val="24"/>
              </w:rPr>
              <w:t>m</w:t>
            </w:r>
            <w:r>
              <w:rPr>
                <w:sz w:val="24"/>
                <w:vertAlign w:val="superscript"/>
              </w:rPr>
              <w:t>2</w:t>
            </w:r>
            <w:r>
              <w:rPr>
                <w:rFonts w:hint="eastAsia"/>
                <w:sz w:val="24"/>
              </w:rPr>
              <w:t>，</w:t>
            </w:r>
            <w:r>
              <w:rPr>
                <w:sz w:val="24"/>
              </w:rPr>
              <w:t>设置标示牌</w:t>
            </w:r>
            <w:r>
              <w:rPr>
                <w:rFonts w:hint="eastAsia"/>
                <w:sz w:val="24"/>
              </w:rPr>
              <w:t>。</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根据《建设项目危险废物环境影响评价指南》（公告2017年第43号）要求，项目危险废物贮存场所基本情况详见下表。</w:t>
            </w:r>
          </w:p>
          <w:p>
            <w:pPr>
              <w:keepNext w:val="0"/>
              <w:keepLines w:val="0"/>
              <w:suppressLineNumbers w:val="0"/>
              <w:adjustRightInd w:val="0"/>
              <w:snapToGrid w:val="0"/>
              <w:spacing w:before="0" w:beforeAutospacing="0" w:after="0" w:afterAutospacing="0"/>
              <w:ind w:left="0" w:right="0"/>
              <w:jc w:val="center"/>
              <w:rPr>
                <w:b/>
                <w:sz w:val="24"/>
              </w:rPr>
            </w:pPr>
            <w:r>
              <w:rPr>
                <w:b/>
                <w:sz w:val="24"/>
              </w:rPr>
              <w:t>表4-</w:t>
            </w:r>
            <w:r>
              <w:rPr>
                <w:rFonts w:hint="eastAsia"/>
                <w:b/>
                <w:sz w:val="24"/>
              </w:rPr>
              <w:t>21</w:t>
            </w:r>
            <w:r>
              <w:rPr>
                <w:b/>
                <w:sz w:val="24"/>
              </w:rPr>
              <w:t xml:space="preserve"> 建设项目危险废物贮存场所（设施）基本情况表</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387"/>
              <w:gridCol w:w="1015"/>
              <w:gridCol w:w="830"/>
              <w:gridCol w:w="900"/>
              <w:gridCol w:w="1093"/>
              <w:gridCol w:w="453"/>
              <w:gridCol w:w="794"/>
              <w:gridCol w:w="971"/>
              <w:gridCol w:w="904"/>
              <w:gridCol w:w="8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序号</w:t>
                  </w:r>
                </w:p>
              </w:tc>
              <w:tc>
                <w:tcPr>
                  <w:tcW w:w="620"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贮存场所</w:t>
                  </w:r>
                  <w:r>
                    <w:rPr>
                      <w:rFonts w:hint="eastAsia"/>
                      <w:b/>
                      <w:bCs/>
                      <w:kern w:val="0"/>
                      <w:szCs w:val="21"/>
                      <w:lang w:eastAsia="zh-CN"/>
                    </w:rPr>
                    <w:t>（</w:t>
                  </w:r>
                  <w:r>
                    <w:rPr>
                      <w:b/>
                      <w:bCs/>
                      <w:kern w:val="0"/>
                      <w:szCs w:val="21"/>
                    </w:rPr>
                    <w:t>设施</w:t>
                  </w:r>
                  <w:r>
                    <w:rPr>
                      <w:rFonts w:hint="eastAsia"/>
                      <w:b/>
                      <w:bCs/>
                      <w:kern w:val="0"/>
                      <w:szCs w:val="21"/>
                      <w:lang w:eastAsia="zh-CN"/>
                    </w:rPr>
                    <w:t>）</w:t>
                  </w:r>
                  <w:r>
                    <w:rPr>
                      <w:b/>
                      <w:bCs/>
                      <w:kern w:val="0"/>
                      <w:szCs w:val="21"/>
                    </w:rPr>
                    <w:t>名称</w:t>
                  </w:r>
                </w:p>
              </w:tc>
              <w:tc>
                <w:tcPr>
                  <w:tcW w:w="507"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危险废物名称</w:t>
                  </w:r>
                </w:p>
              </w:tc>
              <w:tc>
                <w:tcPr>
                  <w:tcW w:w="549"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危险废物类别</w:t>
                  </w:r>
                </w:p>
              </w:tc>
              <w:tc>
                <w:tcPr>
                  <w:tcW w:w="667"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危险废物代码</w:t>
                  </w:r>
                </w:p>
              </w:tc>
              <w:tc>
                <w:tcPr>
                  <w:tcW w:w="276" w:type="pct"/>
                  <w:tcBorders>
                    <w:tl2br w:val="nil"/>
                    <w:tr2bl w:val="nil"/>
                  </w:tcBorders>
                  <w:vAlign w:val="center"/>
                </w:tcPr>
                <w:p>
                  <w:pPr>
                    <w:keepNext w:val="0"/>
                    <w:keepLines w:val="0"/>
                    <w:suppressLineNumbers w:val="0"/>
                    <w:spacing w:before="0" w:beforeAutospacing="0" w:after="0" w:afterAutospacing="0"/>
                    <w:ind w:left="0" w:right="0"/>
                    <w:jc w:val="center"/>
                    <w:rPr>
                      <w:b/>
                      <w:bCs/>
                      <w:kern w:val="0"/>
                      <w:szCs w:val="21"/>
                    </w:rPr>
                  </w:pPr>
                  <w:r>
                    <w:rPr>
                      <w:b/>
                      <w:bCs/>
                      <w:kern w:val="0"/>
                      <w:szCs w:val="21"/>
                    </w:rPr>
                    <w:t>位置</w:t>
                  </w:r>
                </w:p>
              </w:tc>
              <w:tc>
                <w:tcPr>
                  <w:tcW w:w="485" w:type="pct"/>
                  <w:tcBorders>
                    <w:tl2br w:val="nil"/>
                    <w:tr2bl w:val="nil"/>
                  </w:tcBorders>
                  <w:vAlign w:val="center"/>
                </w:tcPr>
                <w:p>
                  <w:pPr>
                    <w:pStyle w:val="85"/>
                    <w:keepNext w:val="0"/>
                    <w:keepLines w:val="0"/>
                    <w:suppressLineNumbers w:val="0"/>
                    <w:spacing w:before="0" w:beforeAutospacing="0" w:after="0" w:afterAutospacing="0"/>
                    <w:ind w:left="0" w:right="0"/>
                    <w:rPr>
                      <w:b/>
                      <w:bCs/>
                      <w:sz w:val="21"/>
                      <w:szCs w:val="21"/>
                    </w:rPr>
                  </w:pPr>
                  <w:r>
                    <w:rPr>
                      <w:b/>
                      <w:bCs/>
                      <w:sz w:val="21"/>
                      <w:szCs w:val="21"/>
                    </w:rPr>
                    <w:t>占地面积（m</w:t>
                  </w:r>
                  <w:r>
                    <w:rPr>
                      <w:b/>
                      <w:bCs/>
                      <w:sz w:val="21"/>
                      <w:szCs w:val="21"/>
                      <w:vertAlign w:val="superscript"/>
                    </w:rPr>
                    <w:t>2</w:t>
                  </w:r>
                  <w:r>
                    <w:rPr>
                      <w:b/>
                      <w:bCs/>
                      <w:sz w:val="21"/>
                      <w:szCs w:val="21"/>
                    </w:rPr>
                    <w:t>）</w:t>
                  </w:r>
                </w:p>
              </w:tc>
              <w:tc>
                <w:tcPr>
                  <w:tcW w:w="593" w:type="pct"/>
                  <w:tcBorders>
                    <w:tl2br w:val="nil"/>
                    <w:tr2bl w:val="nil"/>
                  </w:tcBorders>
                  <w:vAlign w:val="center"/>
                </w:tcPr>
                <w:p>
                  <w:pPr>
                    <w:pStyle w:val="85"/>
                    <w:keepNext w:val="0"/>
                    <w:keepLines w:val="0"/>
                    <w:suppressLineNumbers w:val="0"/>
                    <w:spacing w:before="0" w:beforeAutospacing="0" w:after="0" w:afterAutospacing="0"/>
                    <w:ind w:left="0" w:right="0"/>
                    <w:rPr>
                      <w:b/>
                      <w:bCs/>
                      <w:sz w:val="21"/>
                      <w:szCs w:val="21"/>
                    </w:rPr>
                  </w:pPr>
                  <w:r>
                    <w:rPr>
                      <w:b/>
                      <w:bCs/>
                      <w:sz w:val="21"/>
                      <w:szCs w:val="21"/>
                    </w:rPr>
                    <w:t>贮存方式</w:t>
                  </w:r>
                </w:p>
              </w:tc>
              <w:tc>
                <w:tcPr>
                  <w:tcW w:w="552" w:type="pct"/>
                  <w:tcBorders>
                    <w:tl2br w:val="nil"/>
                    <w:tr2bl w:val="nil"/>
                  </w:tcBorders>
                  <w:vAlign w:val="center"/>
                </w:tcPr>
                <w:p>
                  <w:pPr>
                    <w:pStyle w:val="85"/>
                    <w:keepNext w:val="0"/>
                    <w:keepLines w:val="0"/>
                    <w:suppressLineNumbers w:val="0"/>
                    <w:spacing w:before="0" w:beforeAutospacing="0" w:after="0" w:afterAutospacing="0"/>
                    <w:ind w:left="0" w:right="0"/>
                    <w:rPr>
                      <w:b/>
                      <w:bCs/>
                      <w:sz w:val="21"/>
                      <w:szCs w:val="21"/>
                    </w:rPr>
                  </w:pPr>
                  <w:r>
                    <w:rPr>
                      <w:b/>
                      <w:bCs/>
                      <w:sz w:val="21"/>
                      <w:szCs w:val="21"/>
                    </w:rPr>
                    <w:t>贮存</w:t>
                  </w:r>
                </w:p>
                <w:p>
                  <w:pPr>
                    <w:pStyle w:val="85"/>
                    <w:keepNext w:val="0"/>
                    <w:keepLines w:val="0"/>
                    <w:suppressLineNumbers w:val="0"/>
                    <w:spacing w:before="0" w:beforeAutospacing="0" w:after="0" w:afterAutospacing="0"/>
                    <w:ind w:left="0" w:right="0"/>
                    <w:rPr>
                      <w:b/>
                      <w:bCs/>
                      <w:sz w:val="21"/>
                      <w:szCs w:val="21"/>
                    </w:rPr>
                  </w:pPr>
                  <w:r>
                    <w:rPr>
                      <w:b/>
                      <w:bCs/>
                      <w:sz w:val="21"/>
                      <w:szCs w:val="21"/>
                    </w:rPr>
                    <w:t>能力（t）</w:t>
                  </w:r>
                </w:p>
              </w:tc>
              <w:tc>
                <w:tcPr>
                  <w:tcW w:w="510" w:type="pct"/>
                  <w:tcBorders>
                    <w:tl2br w:val="nil"/>
                    <w:tr2bl w:val="nil"/>
                  </w:tcBorders>
                  <w:vAlign w:val="center"/>
                </w:tcPr>
                <w:p>
                  <w:pPr>
                    <w:pStyle w:val="85"/>
                    <w:keepNext w:val="0"/>
                    <w:keepLines w:val="0"/>
                    <w:suppressLineNumbers w:val="0"/>
                    <w:spacing w:before="0" w:beforeAutospacing="0" w:after="0" w:afterAutospacing="0"/>
                    <w:ind w:left="0" w:right="0"/>
                    <w:rPr>
                      <w:b/>
                      <w:bCs/>
                      <w:sz w:val="21"/>
                      <w:szCs w:val="21"/>
                    </w:rPr>
                  </w:pPr>
                  <w:r>
                    <w:rPr>
                      <w:b/>
                      <w:bCs/>
                      <w:sz w:val="21"/>
                      <w:szCs w:val="21"/>
                    </w:rPr>
                    <w:t>贮存</w:t>
                  </w:r>
                </w:p>
                <w:p>
                  <w:pPr>
                    <w:pStyle w:val="85"/>
                    <w:keepNext w:val="0"/>
                    <w:keepLines w:val="0"/>
                    <w:suppressLineNumbers w:val="0"/>
                    <w:spacing w:before="0" w:beforeAutospacing="0" w:after="0" w:afterAutospacing="0"/>
                    <w:ind w:left="0" w:right="0"/>
                    <w:rPr>
                      <w:b/>
                      <w:bCs/>
                      <w:sz w:val="21"/>
                      <w:szCs w:val="21"/>
                    </w:rPr>
                  </w:pPr>
                  <w:r>
                    <w:rPr>
                      <w:b/>
                      <w:bCs/>
                      <w:sz w:val="21"/>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1</w:t>
                  </w:r>
                </w:p>
              </w:tc>
              <w:tc>
                <w:tcPr>
                  <w:tcW w:w="620"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危废</w:t>
                  </w:r>
                </w:p>
                <w:p>
                  <w:pPr>
                    <w:keepNext w:val="0"/>
                    <w:keepLines w:val="0"/>
                    <w:suppressLineNumbers w:val="0"/>
                    <w:spacing w:before="0" w:beforeAutospacing="0" w:after="0" w:afterAutospacing="0"/>
                    <w:ind w:left="0" w:right="0"/>
                    <w:jc w:val="center"/>
                    <w:rPr>
                      <w:kern w:val="0"/>
                      <w:szCs w:val="21"/>
                    </w:rPr>
                  </w:pPr>
                  <w:r>
                    <w:rPr>
                      <w:rFonts w:hint="eastAsia"/>
                      <w:kern w:val="0"/>
                      <w:szCs w:val="21"/>
                    </w:rPr>
                    <w:t>仓库</w:t>
                  </w:r>
                </w:p>
              </w:tc>
              <w:tc>
                <w:tcPr>
                  <w:tcW w:w="50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t>废活性炭</w:t>
                  </w:r>
                </w:p>
              </w:tc>
              <w:tc>
                <w:tcPr>
                  <w:tcW w:w="549"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t>HW49</w:t>
                  </w:r>
                </w:p>
              </w:tc>
              <w:tc>
                <w:tcPr>
                  <w:tcW w:w="66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t>900-039-49</w:t>
                  </w:r>
                </w:p>
              </w:tc>
              <w:tc>
                <w:tcPr>
                  <w:tcW w:w="276"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车间</w:t>
                  </w:r>
                  <w:r>
                    <w:rPr>
                      <w:rFonts w:hint="eastAsia"/>
                      <w:kern w:val="0"/>
                      <w:szCs w:val="21"/>
                    </w:rPr>
                    <w:t>北</w:t>
                  </w:r>
                  <w:r>
                    <w:rPr>
                      <w:kern w:val="0"/>
                      <w:szCs w:val="21"/>
                    </w:rPr>
                    <w:t>侧</w:t>
                  </w:r>
                </w:p>
              </w:tc>
              <w:tc>
                <w:tcPr>
                  <w:tcW w:w="485"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rFonts w:hint="eastAsia"/>
                      <w:kern w:val="0"/>
                      <w:szCs w:val="21"/>
                    </w:rPr>
                    <w:t>64</w:t>
                  </w:r>
                </w:p>
              </w:tc>
              <w:tc>
                <w:tcPr>
                  <w:tcW w:w="593" w:type="pct"/>
                  <w:vMerge w:val="restar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贴上标签，密封，分区放置</w:t>
                  </w:r>
                </w:p>
              </w:tc>
              <w:tc>
                <w:tcPr>
                  <w:tcW w:w="552"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1.225</w:t>
                  </w:r>
                </w:p>
              </w:tc>
              <w:tc>
                <w:tcPr>
                  <w:tcW w:w="510" w:type="pct"/>
                  <w:tcBorders>
                    <w:tl2br w:val="nil"/>
                    <w:tr2bl w:val="nil"/>
                  </w:tcBorders>
                  <w:vAlign w:val="center"/>
                </w:tcPr>
                <w:p>
                  <w:pPr>
                    <w:keepNext w:val="0"/>
                    <w:keepLines w:val="0"/>
                    <w:suppressLineNumbers w:val="0"/>
                    <w:spacing w:before="0" w:beforeAutospacing="0" w:after="0" w:afterAutospacing="0"/>
                    <w:ind w:left="0" w:right="0"/>
                    <w:jc w:val="center"/>
                    <w:rPr>
                      <w:szCs w:val="21"/>
                    </w:rPr>
                  </w:pPr>
                  <w:r>
                    <w:rPr>
                      <w:rFonts w:hint="eastAsia"/>
                      <w:szCs w:val="21"/>
                    </w:rPr>
                    <w:t>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2</w:t>
                  </w:r>
                </w:p>
              </w:tc>
              <w:tc>
                <w:tcPr>
                  <w:tcW w:w="620"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0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废包装桶</w:t>
                  </w:r>
                </w:p>
              </w:tc>
              <w:tc>
                <w:tcPr>
                  <w:tcW w:w="900"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HW</w:t>
                  </w:r>
                  <w:r>
                    <w:rPr>
                      <w:rFonts w:hint="eastAsia"/>
                      <w:lang w:val="en-US" w:eastAsia="zh-CN"/>
                    </w:rPr>
                    <w:t>08</w:t>
                  </w:r>
                </w:p>
              </w:tc>
              <w:tc>
                <w:tcPr>
                  <w:tcW w:w="1093" w:type="dxa"/>
                  <w:tcBorders>
                    <w:tl2br w:val="nil"/>
                    <w:tr2bl w:val="nil"/>
                  </w:tcBorders>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900-</w:t>
                  </w:r>
                  <w:r>
                    <w:rPr>
                      <w:rFonts w:hint="eastAsia"/>
                      <w:lang w:val="en-US" w:eastAsia="zh-CN"/>
                    </w:rPr>
                    <w:t>249</w:t>
                  </w:r>
                  <w:r>
                    <w:rPr>
                      <w:rFonts w:hint="eastAsia"/>
                    </w:rPr>
                    <w:t>-</w:t>
                  </w:r>
                  <w:r>
                    <w:rPr>
                      <w:rFonts w:hint="eastAsia"/>
                      <w:lang w:val="en-US" w:eastAsia="zh-CN"/>
                    </w:rPr>
                    <w:t>08</w:t>
                  </w:r>
                </w:p>
              </w:tc>
              <w:tc>
                <w:tcPr>
                  <w:tcW w:w="276"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485"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93"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52"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0.15</w:t>
                  </w:r>
                </w:p>
              </w:tc>
              <w:tc>
                <w:tcPr>
                  <w:tcW w:w="510" w:type="pct"/>
                  <w:tcBorders>
                    <w:tl2br w:val="nil"/>
                    <w:tr2bl w:val="nil"/>
                  </w:tcBorders>
                  <w:vAlign w:val="center"/>
                </w:tcPr>
                <w:p>
                  <w:pPr>
                    <w:keepNext w:val="0"/>
                    <w:keepLines w:val="0"/>
                    <w:suppressLineNumbers w:val="0"/>
                    <w:spacing w:before="0" w:beforeAutospacing="0" w:after="0" w:afterAutospacing="0"/>
                    <w:ind w:left="0" w:right="0"/>
                    <w:jc w:val="center"/>
                    <w:rPr>
                      <w:szCs w:val="21"/>
                    </w:rPr>
                  </w:pPr>
                  <w:r>
                    <w:rPr>
                      <w:rFonts w:hint="eastAsia"/>
                      <w:szCs w:val="21"/>
                      <w:lang w:val="en-US" w:eastAsia="zh-CN"/>
                    </w:rPr>
                    <w:t>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r>
                    <w:rPr>
                      <w:kern w:val="0"/>
                      <w:szCs w:val="21"/>
                    </w:rPr>
                    <w:t>3</w:t>
                  </w:r>
                </w:p>
              </w:tc>
              <w:tc>
                <w:tcPr>
                  <w:tcW w:w="620"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0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rPr>
                    <w:t>废</w:t>
                  </w:r>
                  <w:r>
                    <w:rPr>
                      <w:rFonts w:hint="eastAsia"/>
                      <w:lang w:eastAsia="zh-CN"/>
                    </w:rPr>
                    <w:t>矿物油</w:t>
                  </w:r>
                </w:p>
              </w:tc>
              <w:tc>
                <w:tcPr>
                  <w:tcW w:w="549"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HW08</w:t>
                  </w:r>
                </w:p>
              </w:tc>
              <w:tc>
                <w:tcPr>
                  <w:tcW w:w="667"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900-249-08</w:t>
                  </w:r>
                </w:p>
              </w:tc>
              <w:tc>
                <w:tcPr>
                  <w:tcW w:w="276"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485"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93" w:type="pct"/>
                  <w:vMerge w:val="continue"/>
                  <w:tcBorders>
                    <w:tl2br w:val="nil"/>
                    <w:tr2bl w:val="nil"/>
                  </w:tcBorders>
                  <w:vAlign w:val="center"/>
                </w:tcPr>
                <w:p>
                  <w:pPr>
                    <w:keepNext w:val="0"/>
                    <w:keepLines w:val="0"/>
                    <w:suppressLineNumbers w:val="0"/>
                    <w:spacing w:before="0" w:beforeAutospacing="0" w:after="0" w:afterAutospacing="0"/>
                    <w:ind w:left="0" w:right="0"/>
                    <w:jc w:val="center"/>
                    <w:rPr>
                      <w:kern w:val="0"/>
                      <w:szCs w:val="21"/>
                    </w:rPr>
                  </w:pPr>
                </w:p>
              </w:tc>
              <w:tc>
                <w:tcPr>
                  <w:tcW w:w="552" w:type="pct"/>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w:t>
                  </w:r>
                </w:p>
              </w:tc>
              <w:tc>
                <w:tcPr>
                  <w:tcW w:w="510" w:type="pct"/>
                  <w:tcBorders>
                    <w:tl2br w:val="nil"/>
                    <w:tr2bl w:val="nil"/>
                  </w:tcBorders>
                  <w:vAlign w:val="center"/>
                </w:tcPr>
                <w:p>
                  <w:pPr>
                    <w:keepNext w:val="0"/>
                    <w:keepLines w:val="0"/>
                    <w:suppressLineNumbers w:val="0"/>
                    <w:spacing w:before="0" w:beforeAutospacing="0" w:after="0" w:afterAutospacing="0"/>
                    <w:ind w:left="0" w:right="0"/>
                    <w:jc w:val="center"/>
                    <w:rPr>
                      <w:rFonts w:hint="eastAsia" w:eastAsia="宋体"/>
                      <w:szCs w:val="21"/>
                      <w:lang w:val="en-US" w:eastAsia="zh-CN"/>
                    </w:rPr>
                  </w:pPr>
                  <w:r>
                    <w:rPr>
                      <w:rFonts w:hint="eastAsia"/>
                      <w:szCs w:val="21"/>
                      <w:lang w:val="en-US" w:eastAsia="zh-CN"/>
                    </w:rPr>
                    <w:t>3个月</w:t>
                  </w:r>
                </w:p>
              </w:tc>
            </w:tr>
          </w:tbl>
          <w:p>
            <w:pPr>
              <w:pStyle w:val="5"/>
              <w:keepNext w:val="0"/>
              <w:keepLines w:val="0"/>
              <w:suppressLineNumbers w:val="0"/>
              <w:spacing w:before="0" w:beforeAutospacing="0" w:after="0" w:afterAutospacing="0" w:line="360" w:lineRule="auto"/>
              <w:ind w:left="0" w:right="0" w:firstLine="482" w:firstLineChars="200"/>
              <w:rPr>
                <w:rFonts w:ascii="Times New Roman" w:hAnsi="Times New Roman"/>
                <w:b/>
                <w:bCs/>
                <w:sz w:val="24"/>
              </w:rPr>
            </w:pPr>
            <w:r>
              <w:rPr>
                <w:rFonts w:ascii="Times New Roman"/>
                <w:b/>
                <w:bCs/>
                <w:sz w:val="24"/>
              </w:rPr>
              <w:t>（</w:t>
            </w:r>
            <w:r>
              <w:rPr>
                <w:rFonts w:ascii="Times New Roman" w:hAnsi="Times New Roman"/>
                <w:b/>
                <w:bCs/>
                <w:sz w:val="24"/>
              </w:rPr>
              <w:t>3</w:t>
            </w:r>
            <w:r>
              <w:rPr>
                <w:rFonts w:ascii="Times New Roman"/>
                <w:b/>
                <w:bCs/>
                <w:sz w:val="24"/>
              </w:rPr>
              <w:t>）</w:t>
            </w:r>
            <w:r>
              <w:rPr>
                <w:rFonts w:hint="eastAsia" w:ascii="Times New Roman"/>
                <w:b/>
                <w:bCs/>
                <w:sz w:val="24"/>
              </w:rPr>
              <w:t>环境管理要求</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b/>
                <w:bCs/>
                <w:sz w:val="24"/>
              </w:rPr>
              <w:t>1）一般工业固废环境管理要求</w:t>
            </w:r>
          </w:p>
          <w:p>
            <w:pPr>
              <w:pStyle w:val="5"/>
              <w:keepNext w:val="0"/>
              <w:keepLines w:val="0"/>
              <w:suppressLineNumbers w:val="0"/>
              <w:spacing w:before="0" w:beforeAutospacing="0" w:after="0" w:afterAutospacing="0" w:line="360" w:lineRule="auto"/>
              <w:ind w:left="0" w:right="0" w:firstLine="480" w:firstLineChars="200"/>
              <w:rPr>
                <w:rFonts w:ascii="Times New Roman" w:hAnsi="Times New Roman"/>
              </w:rPr>
            </w:pPr>
            <w:r>
              <w:rPr>
                <w:rFonts w:ascii="Times New Roman" w:hAnsi="Times New Roman"/>
                <w:kern w:val="0"/>
                <w:sz w:val="24"/>
                <w:szCs w:val="24"/>
              </w:rPr>
              <w:t>建设单位应严格执行《一般工业固体废物贮存、处置场污染控制标准》（GB18599-2020），</w:t>
            </w:r>
            <w:r>
              <w:rPr>
                <w:rFonts w:hint="eastAsia"/>
                <w:sz w:val="24"/>
              </w:rPr>
              <w:t>废包装袋、不合格品、边角料、废滤芯</w:t>
            </w:r>
            <w:r>
              <w:rPr>
                <w:rFonts w:hint="eastAsia"/>
                <w:sz w:val="24"/>
                <w:lang w:eastAsia="zh-CN"/>
              </w:rPr>
              <w:t>、塑料边角料、收集粉尘（焊接）</w:t>
            </w:r>
            <w:r>
              <w:rPr>
                <w:rFonts w:ascii="Times New Roman" w:hAnsi="Times New Roman"/>
                <w:kern w:val="0"/>
                <w:sz w:val="24"/>
                <w:szCs w:val="24"/>
              </w:rPr>
              <w:t>等一般工业固废收集后分别送至现有一般固废暂存场所进行分类暂存，杜绝混合存放。</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b/>
                <w:bCs/>
                <w:sz w:val="24"/>
              </w:rPr>
              <w:t>2）危险固废环境管理要求</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ascii="宋体" w:hAnsi="宋体"/>
                <w:b/>
                <w:bCs/>
                <w:sz w:val="24"/>
              </w:rPr>
              <w:t>Ⅰ</w:t>
            </w:r>
            <w:r>
              <w:rPr>
                <w:b/>
                <w:bCs/>
                <w:sz w:val="24"/>
              </w:rPr>
              <w:t>危险固废贮存及贮存场所防护措施</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bCs/>
                <w:sz w:val="24"/>
              </w:rPr>
              <w:t>根据《省生态环境厅关于进一步加强危险废物污染防治工作的实施意见》（苏环办[2019]327号）要求，企业应按照《环境保护图形标志固体废物贮存（处置）场》（GB15562.2-1995）和危险废物识别标识设置规范（见《省生态环境厅关于进一步加强危险废物污染防治工作的实施意见》（苏环办[2019]327号）附件1）设置标志，配备通讯设备、照明设施和消防设施，设置气体导出口及气体净化装置，明确废气达标排放；在出入口、设施内部、危险废物运输车辆通道等关键位置设置视频监控，并于中控室联网。</w:t>
            </w:r>
          </w:p>
          <w:p>
            <w:pPr>
              <w:keepNext w:val="0"/>
              <w:keepLines w:val="0"/>
              <w:suppressLineNumbers w:val="0"/>
              <w:adjustRightInd w:val="0"/>
              <w:snapToGrid w:val="0"/>
              <w:spacing w:before="0" w:beforeAutospacing="0" w:after="0" w:afterAutospacing="0" w:line="360" w:lineRule="auto"/>
              <w:ind w:left="0" w:right="0" w:firstLine="480" w:firstLineChars="200"/>
              <w:rPr>
                <w:kern w:val="0"/>
                <w:sz w:val="24"/>
              </w:rPr>
            </w:pPr>
            <w:r>
              <w:rPr>
                <w:bCs/>
                <w:sz w:val="24"/>
              </w:rP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w:t>
            </w:r>
          </w:p>
          <w:p>
            <w:pPr>
              <w:keepNext w:val="0"/>
              <w:keepLines w:val="0"/>
              <w:suppressLineNumbers w:val="0"/>
              <w:adjustRightInd w:val="0"/>
              <w:snapToGrid w:val="0"/>
              <w:spacing w:before="0" w:beforeAutospacing="0" w:after="0" w:afterAutospacing="0" w:line="360" w:lineRule="auto"/>
              <w:ind w:left="0" w:right="0" w:firstLine="480" w:firstLineChars="200"/>
            </w:pPr>
            <w:r>
              <w:rPr>
                <w:kern w:val="0"/>
                <w:sz w:val="24"/>
              </w:rPr>
              <w:t>根据《省生态环境厅关于进一步加强危险废物环境管理工作的通知》（苏环办［2021］207号），危险废物产生后必须用容器或包装袋密封储存，产生的危险固废暂存在危废仓库前通过</w:t>
            </w:r>
            <w:r>
              <w:rPr>
                <w:rFonts w:hint="eastAsia"/>
                <w:kern w:val="0"/>
                <w:sz w:val="24"/>
              </w:rPr>
              <w:t>“</w:t>
            </w:r>
            <w:r>
              <w:rPr>
                <w:kern w:val="0"/>
                <w:sz w:val="24"/>
              </w:rPr>
              <w:t>江苏省危险废物全生命周期监控系统</w:t>
            </w:r>
            <w:r>
              <w:rPr>
                <w:rFonts w:hint="eastAsia"/>
                <w:kern w:val="0"/>
                <w:sz w:val="24"/>
              </w:rPr>
              <w:t>”</w:t>
            </w:r>
            <w:r>
              <w:rPr>
                <w:kern w:val="0"/>
                <w:sz w:val="24"/>
              </w:rPr>
              <w:t>进行危险废物日常申报登记，并自动生成二维码包装标识，在容器显著位置张贴</w:t>
            </w:r>
            <w:r>
              <w:rPr>
                <w:rFonts w:hint="eastAsia"/>
                <w:kern w:val="0"/>
                <w:sz w:val="24"/>
                <w:lang w:eastAsia="zh-CN"/>
              </w:rPr>
              <w:t>带有</w:t>
            </w:r>
            <w:r>
              <w:rPr>
                <w:kern w:val="0"/>
                <w:sz w:val="24"/>
              </w:rPr>
              <w:t>二维码的标识，同时同步记录纸质危废台账。</w:t>
            </w:r>
          </w:p>
          <w:p>
            <w:pPr>
              <w:keepNext w:val="0"/>
              <w:keepLines w:val="0"/>
              <w:suppressLineNumbers w:val="0"/>
              <w:adjustRightInd w:val="0"/>
              <w:snapToGrid w:val="0"/>
              <w:spacing w:before="0" w:beforeAutospacing="0" w:after="0" w:afterAutospacing="0" w:line="360" w:lineRule="auto"/>
              <w:ind w:left="0" w:right="0" w:firstLine="480" w:firstLineChars="200"/>
              <w:rPr>
                <w:sz w:val="24"/>
              </w:rPr>
            </w:pPr>
            <w:r>
              <w:rPr>
                <w:sz w:val="24"/>
              </w:rPr>
              <w:t>根据《危险废物污染防治技术政策》环发【2001】199号文以及《关于进一步规范我区企业危废贮存、处置及其他污染防治设施相关手续的通知》武安办发（2020）62号文，对危险废物的贮存要求如下：</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①对已产生的危险废物，若暂时不能回收利用或进行处理处置的，其产生单位建设专门的危险废物贮存设施进行贮存，并建立危险废物标志，禁止将危险废物以任何形式转移给无许可证的单位，或转移到非危险废物贮存设施中。危险废物贮存设施应有相应的配套设施并按有关规定进行管理；</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②危险废物的贮存设施应建有堵截泄漏的裙脚，地面与裙脚要用坚固防渗的材料建造，应有防风、防晒、防雨设施；</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③基础防渗层为粘土层的，其厚度应在1米以上，渗透系数应小于1.0×10</w:t>
            </w:r>
            <w:r>
              <w:rPr>
                <w:bCs/>
                <w:sz w:val="24"/>
                <w:vertAlign w:val="superscript"/>
              </w:rPr>
              <w:t>-7</w:t>
            </w:r>
            <w:r>
              <w:rPr>
                <w:bCs/>
                <w:sz w:val="24"/>
              </w:rPr>
              <w:t>厘米/秒；基础防渗层也可用厚度在2毫米以上的高密度聚乙烯或其他人工防渗材料组成，渗透系数应小于1.0×10</w:t>
            </w:r>
            <w:r>
              <w:rPr>
                <w:bCs/>
                <w:sz w:val="24"/>
                <w:vertAlign w:val="superscript"/>
              </w:rPr>
              <w:t>-10</w:t>
            </w:r>
            <w:r>
              <w:rPr>
                <w:bCs/>
                <w:sz w:val="24"/>
              </w:rPr>
              <w:t>厘米/秒；</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④用于存放液体、半固体危险废物的地方，还须有耐腐蚀的硬化地面，地面无裂隙；</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⑤不相容的危险废物堆放区必须有隔离间隔断。</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Ansi="宋体"/>
                <w:b/>
                <w:sz w:val="24"/>
              </w:rPr>
              <w:t>Ⅱ</w:t>
            </w:r>
            <w:r>
              <w:rPr>
                <w:b/>
                <w:bCs/>
                <w:sz w:val="24"/>
              </w:rPr>
              <w:t>危险废物贮存容器要求</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根据《危险废物贮存污染控制标准》（GB18597-2001），危险废物贮存容器要求如下：</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①应当使用符合标准的容器盛装危险废物；</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②盛装危险废物的容器及材质要满足相应的强度要求；</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③盛装危险废物的容器必须完好无损；</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④盛装危险废物的容器材质和衬里要与危险废物相容（不相互反应）；</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⑤液体危险废物可注入开孔直径不超过70毫米并有放气孔的桶中。</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Ansi="宋体"/>
                <w:b/>
                <w:bCs/>
                <w:sz w:val="24"/>
              </w:rPr>
              <w:t>Ⅲ</w:t>
            </w:r>
            <w:r>
              <w:rPr>
                <w:b/>
                <w:bCs/>
                <w:sz w:val="24"/>
              </w:rPr>
              <w:t>固废处置要求</w:t>
            </w:r>
          </w:p>
          <w:p>
            <w:pPr>
              <w:keepNext w:val="0"/>
              <w:keepLines w:val="0"/>
              <w:suppressLineNumbers w:val="0"/>
              <w:adjustRightInd w:val="0"/>
              <w:snapToGrid w:val="0"/>
              <w:spacing w:before="0" w:beforeAutospacing="0" w:after="0" w:afterAutospacing="0" w:line="360" w:lineRule="auto"/>
              <w:ind w:left="0" w:right="0" w:firstLine="480" w:firstLineChars="200"/>
            </w:pPr>
            <w:r>
              <w:rPr>
                <w:kern w:val="0"/>
                <w:sz w:val="24"/>
              </w:rPr>
              <w:t>根据《省生态环境厅关于进一步加强危险废物环境管理工作的通知》（苏环办［2021］207号），产废单位必须将危险废物提供或者委托给有资质单位从事收集、贮存、利用处置活动，并有危险废物利用处置合同、资金往来、废物交接等相关证明材料。严禁产废单位委托第三方中介机构运输和利用处置危险废物；严禁将危险废物提供或者委托给无资质单位进行收集、贮存和利用处置，并加强对运输单位及处置单位的跟踪检查，危险废物通过全生命周期监控系统扫描二维码转移，严禁无二维码转移行为，确保符合环保要求。</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rPr>
            </w:pPr>
            <w:r>
              <w:rPr>
                <w:rFonts w:hint="eastAsia" w:ascii="宋体" w:hAnsi="宋体"/>
                <w:b/>
                <w:bCs/>
                <w:sz w:val="24"/>
              </w:rPr>
              <w:t>Ⅳ</w:t>
            </w:r>
            <w:r>
              <w:rPr>
                <w:b/>
                <w:bCs/>
                <w:sz w:val="24"/>
              </w:rPr>
              <w:t>危险废物运输时的中转、装卸过程应遵守以下技术要求</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①卸货区的工作人员应熟悉废物的危险特性，并配备适当的个人防护装备，装卸剧毒废物应配备特殊的防护装备。</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②装卸区应配备必要的消防设备和设施，并设置明显的指示标志。</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危险废物装卸区应设置隔离设施，液态废物卸载区应设置收集槽和缓冲罐。</w:t>
            </w:r>
          </w:p>
          <w:p>
            <w:pPr>
              <w:keepNext w:val="0"/>
              <w:keepLines w:val="0"/>
              <w:suppressLineNumbers w:val="0"/>
              <w:adjustRightInd w:val="0"/>
              <w:snapToGrid w:val="0"/>
              <w:spacing w:before="0" w:beforeAutospacing="0" w:after="0" w:afterAutospacing="0" w:line="360" w:lineRule="auto"/>
              <w:ind w:left="0" w:right="0" w:firstLine="482" w:firstLineChars="200"/>
              <w:rPr>
                <w:sz w:val="24"/>
              </w:rPr>
            </w:pPr>
            <w:r>
              <w:rPr>
                <w:b/>
                <w:bCs/>
                <w:sz w:val="24"/>
              </w:rPr>
              <w:t>本项目生产中产生的危废储存于危险仓库中，面积为</w:t>
            </w:r>
            <w:r>
              <w:rPr>
                <w:rFonts w:hint="eastAsia"/>
                <w:b/>
                <w:bCs/>
                <w:sz w:val="24"/>
              </w:rPr>
              <w:t>64</w:t>
            </w:r>
            <w:r>
              <w:rPr>
                <w:b/>
                <w:bCs/>
                <w:sz w:val="24"/>
              </w:rPr>
              <w:t>m</w:t>
            </w:r>
            <w:r>
              <w:rPr>
                <w:b/>
                <w:bCs/>
                <w:sz w:val="24"/>
                <w:vertAlign w:val="superscript"/>
              </w:rPr>
              <w:t>2</w:t>
            </w:r>
            <w:r>
              <w:rPr>
                <w:b/>
                <w:bCs/>
                <w:sz w:val="24"/>
              </w:rPr>
              <w:t>。地面进行防渗防腐处理。本项目的危险废物贮存场选址可行，贮存能力可满足要求，各危废都得到妥善处理，经安全收集、妥善处理，对外环境影响较小，对周围环境不产生二次影响。</w:t>
            </w:r>
          </w:p>
          <w:p>
            <w:pPr>
              <w:pStyle w:val="5"/>
              <w:keepNext w:val="0"/>
              <w:keepLines w:val="0"/>
              <w:suppressLineNumbers w:val="0"/>
              <w:adjustRightInd w:val="0"/>
              <w:snapToGrid w:val="0"/>
              <w:spacing w:before="0" w:beforeAutospacing="0" w:after="0" w:afterAutospacing="0" w:line="360" w:lineRule="auto"/>
              <w:ind w:left="0" w:right="0" w:firstLine="0"/>
              <w:rPr>
                <w:rFonts w:ascii="Times New Roman" w:hAnsi="Times New Roman"/>
                <w:b/>
                <w:bCs/>
                <w:sz w:val="24"/>
                <w:szCs w:val="24"/>
              </w:rPr>
            </w:pPr>
            <w:r>
              <w:rPr>
                <w:rFonts w:hint="eastAsia" w:ascii="Times New Roman" w:hAnsi="Times New Roman"/>
                <w:b/>
                <w:bCs/>
                <w:sz w:val="24"/>
                <w:szCs w:val="24"/>
              </w:rPr>
              <w:t>5、</w:t>
            </w:r>
            <w:r>
              <w:rPr>
                <w:rFonts w:ascii="Times New Roman" w:hAnsi="Times New Roman"/>
                <w:b/>
                <w:bCs/>
                <w:sz w:val="24"/>
                <w:szCs w:val="24"/>
              </w:rPr>
              <w:t>地下水环境影响分析</w:t>
            </w:r>
          </w:p>
          <w:p>
            <w:pPr>
              <w:keepNext w:val="0"/>
              <w:keepLines w:val="0"/>
              <w:suppressLineNumbers w:val="0"/>
              <w:adjustRightInd w:val="0"/>
              <w:snapToGrid w:val="0"/>
              <w:spacing w:before="0" w:beforeAutospacing="0" w:after="0" w:afterAutospacing="0" w:line="360" w:lineRule="auto"/>
              <w:ind w:left="0" w:right="0" w:firstLine="520" w:firstLineChars="217"/>
              <w:rPr>
                <w:sz w:val="24"/>
              </w:rPr>
            </w:pPr>
            <w:r>
              <w:rPr>
                <w:sz w:val="24"/>
              </w:rPr>
              <w:t>本项目为</w:t>
            </w:r>
            <w:r>
              <w:rPr>
                <w:rFonts w:hint="eastAsia"/>
                <w:sz w:val="24"/>
              </w:rPr>
              <w:t>电机铁芯、电机机壳</w:t>
            </w:r>
            <w:r>
              <w:rPr>
                <w:sz w:val="24"/>
              </w:rPr>
              <w:t>制造项目，对照《环境影响评价技术导则—地下水环境》（HJ610-2016）中6.2.1.1提及的附录A，本项目属于“</w:t>
            </w:r>
            <w:r>
              <w:rPr>
                <w:rFonts w:hint="eastAsia"/>
                <w:sz w:val="24"/>
              </w:rPr>
              <w:t>K机械、电子</w:t>
            </w:r>
            <w:r>
              <w:rPr>
                <w:sz w:val="24"/>
              </w:rPr>
              <w:t>”大类中的“</w:t>
            </w:r>
            <w:r>
              <w:rPr>
                <w:rFonts w:hint="eastAsia"/>
                <w:sz w:val="24"/>
              </w:rPr>
              <w:t>78电气机械及器材制造</w:t>
            </w:r>
            <w:r>
              <w:rPr>
                <w:sz w:val="24"/>
              </w:rPr>
              <w:t>”中“其他</w:t>
            </w:r>
            <w:r>
              <w:rPr>
                <w:rFonts w:hint="eastAsia"/>
                <w:sz w:val="24"/>
              </w:rPr>
              <w:t>（仅组装的除外）</w:t>
            </w:r>
            <w:r>
              <w:rPr>
                <w:sz w:val="24"/>
              </w:rPr>
              <w:t>”类别。本项目属于IV类项目，无需开展地下水环境影响评价。</w:t>
            </w:r>
          </w:p>
          <w:p>
            <w:pPr>
              <w:pStyle w:val="5"/>
              <w:keepNext w:val="0"/>
              <w:keepLines w:val="0"/>
              <w:suppressLineNumbers w:val="0"/>
              <w:adjustRightInd w:val="0"/>
              <w:snapToGrid w:val="0"/>
              <w:spacing w:before="0" w:beforeAutospacing="0" w:after="0" w:afterAutospacing="0" w:line="360" w:lineRule="auto"/>
              <w:ind w:left="0" w:right="0" w:firstLine="0"/>
              <w:rPr>
                <w:rFonts w:ascii="Times New Roman" w:hAnsi="Times New Roman"/>
                <w:b/>
                <w:bCs/>
                <w:sz w:val="24"/>
                <w:szCs w:val="24"/>
              </w:rPr>
            </w:pPr>
            <w:r>
              <w:rPr>
                <w:rFonts w:hint="eastAsia" w:ascii="Times New Roman" w:hAnsi="Times New Roman"/>
                <w:b/>
                <w:bCs/>
                <w:sz w:val="24"/>
                <w:szCs w:val="24"/>
              </w:rPr>
              <w:t>6、</w:t>
            </w:r>
            <w:r>
              <w:rPr>
                <w:rFonts w:ascii="Times New Roman" w:hAnsi="Times New Roman"/>
                <w:b/>
                <w:bCs/>
                <w:sz w:val="24"/>
                <w:szCs w:val="24"/>
              </w:rPr>
              <w:t>土壤环境影响分析</w:t>
            </w:r>
          </w:p>
          <w:p>
            <w:pPr>
              <w:keepNext w:val="0"/>
              <w:keepLines w:val="0"/>
              <w:suppressLineNumbers w:val="0"/>
              <w:adjustRightInd w:val="0"/>
              <w:snapToGrid w:val="0"/>
              <w:spacing w:before="0" w:beforeAutospacing="0" w:after="0" w:afterAutospacing="0" w:line="360" w:lineRule="auto"/>
              <w:ind w:left="0" w:right="0" w:firstLine="520" w:firstLineChars="217"/>
              <w:rPr>
                <w:sz w:val="24"/>
              </w:rPr>
            </w:pPr>
            <w:r>
              <w:rPr>
                <w:rFonts w:hAnsi="宋体"/>
                <w:sz w:val="24"/>
              </w:rPr>
              <w:t>根据《环境影响评价技术导则</w:t>
            </w:r>
            <w:r>
              <w:rPr>
                <w:sz w:val="24"/>
              </w:rPr>
              <w:t xml:space="preserve"> </w:t>
            </w:r>
            <w:r>
              <w:rPr>
                <w:rFonts w:hAnsi="宋体"/>
                <w:sz w:val="24"/>
              </w:rPr>
              <w:t>土壤环境（试行</w:t>
            </w:r>
            <w:r>
              <w:rPr>
                <w:rFonts w:hint="eastAsia" w:hAnsi="宋体"/>
                <w:sz w:val="24"/>
                <w:lang w:eastAsia="zh-CN"/>
              </w:rPr>
              <w:t>）</w:t>
            </w:r>
            <w:r>
              <w:rPr>
                <w:rFonts w:hAnsi="宋体"/>
                <w:sz w:val="24"/>
              </w:rPr>
              <w:t>》（</w:t>
            </w:r>
            <w:r>
              <w:rPr>
                <w:sz w:val="24"/>
              </w:rPr>
              <w:t>HJ964-2018</w:t>
            </w:r>
            <w:r>
              <w:rPr>
                <w:rFonts w:hAnsi="宋体"/>
                <w:sz w:val="24"/>
              </w:rPr>
              <w:t>）中附录</w:t>
            </w:r>
            <w:r>
              <w:rPr>
                <w:sz w:val="24"/>
              </w:rPr>
              <w:t>A</w:t>
            </w:r>
            <w:r>
              <w:rPr>
                <w:rFonts w:hAnsi="宋体"/>
                <w:sz w:val="24"/>
              </w:rPr>
              <w:t>规定，本项目属于</w:t>
            </w:r>
            <w:r>
              <w:rPr>
                <w:sz w:val="24"/>
              </w:rPr>
              <w:t>“</w:t>
            </w:r>
            <w:r>
              <w:rPr>
                <w:rFonts w:hAnsi="宋体"/>
                <w:sz w:val="24"/>
              </w:rPr>
              <w:t>其他行业</w:t>
            </w:r>
            <w:r>
              <w:rPr>
                <w:sz w:val="24"/>
              </w:rPr>
              <w:t>”</w:t>
            </w:r>
            <w:r>
              <w:rPr>
                <w:rFonts w:hAnsi="宋体"/>
                <w:sz w:val="24"/>
              </w:rPr>
              <w:t>，故为Ⅳ类项目。经分析，本项目属于污染影响型项目，占地面积约</w:t>
            </w:r>
            <w:r>
              <w:rPr>
                <w:rFonts w:hint="eastAsia"/>
                <w:sz w:val="24"/>
                <w:szCs w:val="21"/>
                <w:lang w:val="en-US" w:eastAsia="zh-CN"/>
              </w:rPr>
              <w:t>4.51</w:t>
            </w:r>
            <w:r>
              <w:rPr>
                <w:rFonts w:hAnsi="宋体"/>
                <w:sz w:val="24"/>
              </w:rPr>
              <w:t>公顷，属于小型建设项目。经现场调查，本项目</w:t>
            </w:r>
            <w:r>
              <w:rPr>
                <w:sz w:val="24"/>
              </w:rPr>
              <w:t>厂界周边50m范围内无居民区等土壤环境敏感目标</w:t>
            </w:r>
            <w:r>
              <w:rPr>
                <w:rFonts w:hAnsi="宋体"/>
                <w:sz w:val="24"/>
              </w:rPr>
              <w:t>，故土壤环境敏感程度属于不敏感。根据《环境影响评价技术导则</w:t>
            </w:r>
            <w:r>
              <w:rPr>
                <w:sz w:val="24"/>
              </w:rPr>
              <w:t xml:space="preserve"> </w:t>
            </w:r>
            <w:r>
              <w:rPr>
                <w:rFonts w:hAnsi="宋体"/>
                <w:sz w:val="24"/>
              </w:rPr>
              <w:t>土壤环境（试行</w:t>
            </w:r>
            <w:r>
              <w:rPr>
                <w:rFonts w:hint="eastAsia" w:hAnsi="宋体"/>
                <w:sz w:val="24"/>
                <w:lang w:eastAsia="zh-CN"/>
              </w:rPr>
              <w:t>）</w:t>
            </w:r>
            <w:r>
              <w:rPr>
                <w:rFonts w:hAnsi="宋体"/>
                <w:sz w:val="24"/>
              </w:rPr>
              <w:t>》（</w:t>
            </w:r>
            <w:r>
              <w:rPr>
                <w:sz w:val="24"/>
              </w:rPr>
              <w:t>HJ964-2018</w:t>
            </w:r>
            <w:r>
              <w:rPr>
                <w:rFonts w:hAnsi="宋体"/>
                <w:sz w:val="24"/>
              </w:rPr>
              <w:t>）中表</w:t>
            </w:r>
            <w:r>
              <w:rPr>
                <w:sz w:val="24"/>
              </w:rPr>
              <w:t>4</w:t>
            </w:r>
            <w:r>
              <w:rPr>
                <w:rFonts w:hAnsi="宋体"/>
                <w:sz w:val="24"/>
              </w:rPr>
              <w:t>的评价工作等级划分表，本项目土壤环境评价等级为</w:t>
            </w:r>
            <w:r>
              <w:rPr>
                <w:sz w:val="24"/>
              </w:rPr>
              <w:t>“-”</w:t>
            </w:r>
            <w:r>
              <w:rPr>
                <w:rFonts w:hAnsi="宋体"/>
                <w:sz w:val="24"/>
              </w:rPr>
              <w:t>，表示可不开展土壤环境影响评价工作。</w:t>
            </w:r>
          </w:p>
          <w:p>
            <w:pPr>
              <w:keepNext w:val="0"/>
              <w:keepLines w:val="0"/>
              <w:suppressLineNumbers w:val="0"/>
              <w:spacing w:before="0" w:beforeAutospacing="0" w:after="0" w:afterAutospacing="0" w:line="360" w:lineRule="auto"/>
              <w:ind w:left="0" w:right="0" w:firstLine="480" w:firstLineChars="200"/>
              <w:rPr>
                <w:rFonts w:hAnsi="宋体"/>
                <w:sz w:val="24"/>
              </w:rPr>
            </w:pPr>
            <w:r>
              <w:rPr>
                <w:rFonts w:hAnsi="宋体"/>
                <w:sz w:val="24"/>
              </w:rPr>
              <w:t>根据水文地质条件分析，项目所在区域的浅层地层岩性主要为粉质粘土，自然防渗条件较好。本项目车间地面满足防渗的要求，对土壤影响较小。</w:t>
            </w:r>
          </w:p>
          <w:p>
            <w:pPr>
              <w:keepNext w:val="0"/>
              <w:keepLines w:val="0"/>
              <w:suppressLineNumbers w:val="0"/>
              <w:adjustRightInd w:val="0"/>
              <w:snapToGrid w:val="0"/>
              <w:spacing w:before="0" w:beforeAutospacing="0" w:after="0" w:afterAutospacing="0" w:line="360" w:lineRule="auto"/>
              <w:ind w:left="0" w:right="0" w:firstLine="480" w:firstLineChars="200"/>
            </w:pPr>
            <w:r>
              <w:rPr>
                <w:sz w:val="24"/>
              </w:rPr>
              <w:t>危险废物堆场按照防腐、防渗要求，落实地坪、裙角的防护措施后，生产过程中可能污染土壤的废水、废液难以泄漏进入土壤中，因此本项目建设对土壤环境影响较小。</w:t>
            </w:r>
          </w:p>
          <w:p>
            <w:pPr>
              <w:keepNext w:val="0"/>
              <w:keepLines w:val="0"/>
              <w:suppressLineNumbers w:val="0"/>
              <w:adjustRightInd w:val="0"/>
              <w:snapToGrid w:val="0"/>
              <w:spacing w:before="0" w:beforeAutospacing="0" w:after="0" w:afterAutospacing="0" w:line="360" w:lineRule="auto"/>
              <w:ind w:left="0" w:right="0"/>
              <w:rPr>
                <w:b/>
                <w:bCs/>
                <w:sz w:val="24"/>
              </w:rPr>
            </w:pPr>
            <w:r>
              <w:rPr>
                <w:rFonts w:hint="eastAsia"/>
                <w:b/>
                <w:bCs/>
                <w:sz w:val="24"/>
              </w:rPr>
              <w:t>7、生态</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rFonts w:hint="eastAsia"/>
                <w:bCs/>
                <w:sz w:val="24"/>
                <w:szCs w:val="22"/>
              </w:rPr>
              <w:t>本项目不在已划定的生态空间管控区域和生态红线区内，无</w:t>
            </w:r>
            <w:r>
              <w:rPr>
                <w:rFonts w:hint="eastAsia"/>
                <w:bCs/>
                <w:sz w:val="24"/>
                <w:szCs w:val="22"/>
                <w:lang w:eastAsia="zh-CN"/>
              </w:rPr>
              <w:t>须</w:t>
            </w:r>
            <w:r>
              <w:rPr>
                <w:rFonts w:hint="eastAsia"/>
                <w:bCs/>
                <w:sz w:val="24"/>
                <w:szCs w:val="22"/>
              </w:rPr>
              <w:t>设置生态保护措施。</w:t>
            </w:r>
          </w:p>
          <w:p>
            <w:pPr>
              <w:keepNext w:val="0"/>
              <w:keepLines w:val="0"/>
              <w:suppressLineNumbers w:val="0"/>
              <w:adjustRightInd w:val="0"/>
              <w:snapToGrid w:val="0"/>
              <w:spacing w:before="0" w:beforeAutospacing="0" w:after="0" w:afterAutospacing="0" w:line="360" w:lineRule="auto"/>
              <w:ind w:left="0" w:right="0"/>
              <w:rPr>
                <w:b/>
                <w:bCs/>
                <w:color w:val="000000"/>
                <w:sz w:val="24"/>
              </w:rPr>
            </w:pPr>
            <w:r>
              <w:rPr>
                <w:rFonts w:hint="eastAsia"/>
                <w:b/>
                <w:bCs/>
                <w:color w:val="000000"/>
                <w:sz w:val="24"/>
              </w:rPr>
              <w:t>8、</w:t>
            </w:r>
            <w:r>
              <w:rPr>
                <w:b/>
                <w:bCs/>
                <w:color w:val="000000"/>
                <w:sz w:val="24"/>
              </w:rPr>
              <w:t>环境风险评价</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szCs w:val="22"/>
              </w:rPr>
            </w:pPr>
            <w:r>
              <w:rPr>
                <w:b/>
                <w:bCs/>
                <w:sz w:val="24"/>
                <w:szCs w:val="22"/>
              </w:rPr>
              <w:t>（1）评价工作等级划分</w:t>
            </w:r>
          </w:p>
          <w:p>
            <w:pPr>
              <w:keepNext w:val="0"/>
              <w:keepLines w:val="0"/>
              <w:suppressLineNumbers w:val="0"/>
              <w:snapToGrid w:val="0"/>
              <w:spacing w:before="0" w:beforeAutospacing="0" w:after="0" w:afterAutospacing="0" w:line="360" w:lineRule="auto"/>
              <w:ind w:left="0" w:right="0" w:firstLine="480" w:firstLineChars="200"/>
              <w:rPr>
                <w:sz w:val="24"/>
              </w:rPr>
            </w:pPr>
            <w:r>
              <w:rPr>
                <w:sz w:val="24"/>
              </w:rPr>
              <w:t>根据本项目危险物质数量和分布情况、生产工艺特点分析，本项目风险物质为</w:t>
            </w:r>
            <w:r>
              <w:rPr>
                <w:rFonts w:hint="eastAsia"/>
                <w:bCs/>
                <w:sz w:val="24"/>
              </w:rPr>
              <w:t>液压油</w:t>
            </w:r>
            <w:r>
              <w:rPr>
                <w:bCs/>
                <w:sz w:val="24"/>
              </w:rPr>
              <w:t>、</w:t>
            </w:r>
            <w:r>
              <w:rPr>
                <w:rFonts w:hint="eastAsia"/>
                <w:bCs/>
                <w:sz w:val="24"/>
                <w:lang w:eastAsia="zh-CN"/>
              </w:rPr>
              <w:t>切削油</w:t>
            </w:r>
            <w:r>
              <w:rPr>
                <w:rFonts w:hint="eastAsia"/>
                <w:bCs/>
                <w:sz w:val="24"/>
              </w:rPr>
              <w:t>、冲压油、防锈油</w:t>
            </w:r>
            <w:r>
              <w:rPr>
                <w:bCs/>
                <w:sz w:val="24"/>
              </w:rPr>
              <w:t>和危险废物</w:t>
            </w:r>
            <w:r>
              <w:rPr>
                <w:sz w:val="24"/>
              </w:rPr>
              <w:t>，分布于车间及危废仓库。</w:t>
            </w:r>
            <w:r>
              <w:rPr>
                <w:bCs/>
                <w:sz w:val="24"/>
              </w:rPr>
              <w:t>若上述物料进入雨水管网，会对周围水体造成一定的影响。</w:t>
            </w:r>
          </w:p>
          <w:p>
            <w:pPr>
              <w:keepNext w:val="0"/>
              <w:keepLines w:val="0"/>
              <w:suppressLineNumbers w:val="0"/>
              <w:snapToGrid w:val="0"/>
              <w:spacing w:before="0" w:beforeAutospacing="0" w:after="0" w:afterAutospacing="0"/>
              <w:ind w:left="0" w:right="0"/>
              <w:jc w:val="center"/>
              <w:rPr>
                <w:b/>
                <w:sz w:val="24"/>
              </w:rPr>
            </w:pPr>
            <w:r>
              <w:rPr>
                <w:b/>
                <w:sz w:val="24"/>
              </w:rPr>
              <w:t>表4-</w:t>
            </w:r>
            <w:r>
              <w:rPr>
                <w:rFonts w:hint="eastAsia"/>
                <w:b/>
                <w:sz w:val="24"/>
              </w:rPr>
              <w:t>22</w:t>
            </w:r>
            <w:r>
              <w:rPr>
                <w:b/>
                <w:sz w:val="24"/>
              </w:rPr>
              <w:t xml:space="preserve"> 危险物质和风险源分布情况及可能影响途径</w:t>
            </w:r>
          </w:p>
          <w:tbl>
            <w:tblPr>
              <w:tblStyle w:val="21"/>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1" w:type="dxa"/>
                <w:bottom w:w="0" w:type="dxa"/>
                <w:right w:w="51" w:type="dxa"/>
              </w:tblCellMar>
            </w:tblPr>
            <w:tblGrid>
              <w:gridCol w:w="828"/>
              <w:gridCol w:w="1919"/>
              <w:gridCol w:w="2024"/>
              <w:gridCol w:w="1456"/>
              <w:gridCol w:w="195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suppressLineNumbers w:val="0"/>
                    <w:spacing w:before="0" w:beforeAutospacing="0" w:after="0" w:afterAutospacing="0"/>
                    <w:ind w:left="0" w:right="0"/>
                    <w:jc w:val="center"/>
                    <w:rPr>
                      <w:b/>
                      <w:szCs w:val="21"/>
                    </w:rPr>
                  </w:pPr>
                  <w:r>
                    <w:rPr>
                      <w:b/>
                      <w:szCs w:val="21"/>
                    </w:rPr>
                    <w:t>序号</w:t>
                  </w:r>
                </w:p>
              </w:tc>
              <w:tc>
                <w:tcPr>
                  <w:tcW w:w="1172" w:type="pct"/>
                  <w:vAlign w:val="center"/>
                </w:tcPr>
                <w:p>
                  <w:pPr>
                    <w:keepNext w:val="0"/>
                    <w:keepLines w:val="0"/>
                    <w:suppressLineNumbers w:val="0"/>
                    <w:spacing w:before="0" w:beforeAutospacing="0" w:after="0" w:afterAutospacing="0"/>
                    <w:ind w:left="0" w:right="0"/>
                    <w:jc w:val="center"/>
                    <w:rPr>
                      <w:b/>
                      <w:szCs w:val="21"/>
                    </w:rPr>
                  </w:pPr>
                  <w:r>
                    <w:rPr>
                      <w:b/>
                      <w:szCs w:val="21"/>
                    </w:rPr>
                    <w:t>危险物质名称</w:t>
                  </w:r>
                </w:p>
              </w:tc>
              <w:tc>
                <w:tcPr>
                  <w:tcW w:w="1236" w:type="pct"/>
                  <w:vAlign w:val="center"/>
                </w:tcPr>
                <w:p>
                  <w:pPr>
                    <w:keepNext w:val="0"/>
                    <w:keepLines w:val="0"/>
                    <w:suppressLineNumbers w:val="0"/>
                    <w:spacing w:before="0" w:beforeAutospacing="0" w:after="0" w:afterAutospacing="0"/>
                    <w:ind w:left="0" w:right="0"/>
                    <w:jc w:val="center"/>
                    <w:rPr>
                      <w:b/>
                      <w:szCs w:val="21"/>
                    </w:rPr>
                  </w:pPr>
                  <w:r>
                    <w:rPr>
                      <w:b/>
                      <w:szCs w:val="21"/>
                    </w:rPr>
                    <w:t>最大存在总量</w:t>
                  </w:r>
                  <w:r>
                    <w:rPr>
                      <w:rFonts w:hint="eastAsia"/>
                      <w:b/>
                      <w:szCs w:val="21"/>
                    </w:rPr>
                    <w:t>（t）</w:t>
                  </w:r>
                </w:p>
              </w:tc>
              <w:tc>
                <w:tcPr>
                  <w:tcW w:w="889" w:type="pct"/>
                  <w:vAlign w:val="center"/>
                </w:tcPr>
                <w:p>
                  <w:pPr>
                    <w:keepNext w:val="0"/>
                    <w:keepLines w:val="0"/>
                    <w:suppressLineNumbers w:val="0"/>
                    <w:spacing w:before="0" w:beforeAutospacing="0" w:after="0" w:afterAutospacing="0"/>
                    <w:ind w:left="0" w:right="0"/>
                    <w:jc w:val="center"/>
                    <w:rPr>
                      <w:b/>
                      <w:szCs w:val="21"/>
                    </w:rPr>
                  </w:pPr>
                  <w:r>
                    <w:rPr>
                      <w:b/>
                      <w:szCs w:val="21"/>
                    </w:rPr>
                    <w:t>分布</w:t>
                  </w:r>
                </w:p>
              </w:tc>
              <w:tc>
                <w:tcPr>
                  <w:tcW w:w="1194" w:type="pct"/>
                  <w:vAlign w:val="center"/>
                </w:tcPr>
                <w:p>
                  <w:pPr>
                    <w:keepNext w:val="0"/>
                    <w:keepLines w:val="0"/>
                    <w:suppressLineNumbers w:val="0"/>
                    <w:spacing w:before="0" w:beforeAutospacing="0" w:after="0" w:afterAutospacing="0"/>
                    <w:ind w:left="0" w:right="0"/>
                    <w:jc w:val="center"/>
                    <w:rPr>
                      <w:b/>
                      <w:szCs w:val="21"/>
                    </w:rPr>
                  </w:pPr>
                  <w:r>
                    <w:rPr>
                      <w:b/>
                      <w:szCs w:val="21"/>
                    </w:rPr>
                    <w:t>可能影响途径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液压油</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0.85</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车间</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泄露、火灾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冲压油</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车间</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泄露、火灾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防锈油</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0.85</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车间</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泄露、火灾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lang w:eastAsia="zh-CN"/>
                    </w:rPr>
                    <w:t>切削油</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车间</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szCs w:val="21"/>
                    </w:rPr>
                  </w:pPr>
                  <w:r>
                    <w:rPr>
                      <w:szCs w:val="21"/>
                    </w:rPr>
                    <w:t>废活性炭</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1.225</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危废仓库</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废包装桶</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15</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危废仓库</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泄露、火灾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1" w:type="dxa"/>
                  <w:bottom w:w="0" w:type="dxa"/>
                  <w:right w:w="51" w:type="dxa"/>
                </w:tblCellMar>
              </w:tblPrEx>
              <w:trPr>
                <w:trHeight w:val="329" w:hRule="atLeast"/>
                <w:jc w:val="center"/>
              </w:trPr>
              <w:tc>
                <w:tcPr>
                  <w:tcW w:w="505" w:type="pct"/>
                  <w:vAlign w:val="center"/>
                </w:tcPr>
                <w:p>
                  <w:pPr>
                    <w:keepNext w:val="0"/>
                    <w:keepLines w:val="0"/>
                    <w:numPr>
                      <w:ilvl w:val="0"/>
                      <w:numId w:val="2"/>
                    </w:numPr>
                    <w:suppressLineNumbers w:val="0"/>
                    <w:spacing w:before="0" w:beforeAutospacing="0" w:after="0" w:afterAutospacing="0"/>
                    <w:ind w:right="0"/>
                    <w:jc w:val="center"/>
                    <w:rPr>
                      <w:szCs w:val="21"/>
                    </w:rPr>
                  </w:pPr>
                </w:p>
              </w:tc>
              <w:tc>
                <w:tcPr>
                  <w:tcW w:w="1172" w:type="pct"/>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rPr>
                    <w:t>废</w:t>
                  </w:r>
                  <w:r>
                    <w:rPr>
                      <w:rFonts w:hint="eastAsia"/>
                      <w:szCs w:val="21"/>
                      <w:lang w:eastAsia="zh-CN"/>
                    </w:rPr>
                    <w:t>矿物油</w:t>
                  </w:r>
                </w:p>
              </w:tc>
              <w:tc>
                <w:tcPr>
                  <w:tcW w:w="1236"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w:t>
                  </w:r>
                </w:p>
              </w:tc>
              <w:tc>
                <w:tcPr>
                  <w:tcW w:w="889"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危废仓库</w:t>
                  </w:r>
                </w:p>
              </w:tc>
              <w:tc>
                <w:tcPr>
                  <w:tcW w:w="1194"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泄露、火灾</w:t>
                  </w:r>
                </w:p>
              </w:tc>
            </w:tr>
          </w:tbl>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根据《建设项目环境风险评价技术导则》（HJ169—2018），首先对本项目危险物质数量及临界量比值（Q）进行计算。</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计算所涉及的每种危险物质在厂界内的最大存在总量与其在附录中对应临界量的比值Q时，在不同厂区的同一种物质，按其在厂界内的最大存在总量计算。对于长输管线项目，按照两个截断阀室之间管段危险物质最大存在总量计算。</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当只涉及一种危险物质时，计算该物质的总量与其临界量比值，即为Q；</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当存在多种危险物质时，则按式（C.1）计算物质总量与其临界量比值（Q）；</w:t>
            </w:r>
          </w:p>
          <w:p>
            <w:pPr>
              <w:keepNext w:val="0"/>
              <w:keepLines w:val="0"/>
              <w:suppressLineNumbers w:val="0"/>
              <w:adjustRightInd w:val="0"/>
              <w:snapToGrid w:val="0"/>
              <w:spacing w:before="0" w:beforeAutospacing="0" w:after="0" w:afterAutospacing="0" w:line="360" w:lineRule="auto"/>
              <w:ind w:left="0" w:right="0" w:firstLine="480" w:firstLineChars="200"/>
              <w:jc w:val="center"/>
              <w:rPr>
                <w:bCs/>
                <w:sz w:val="24"/>
                <w:szCs w:val="22"/>
              </w:rPr>
            </w:pPr>
            <w:r>
              <w:rPr>
                <w:bCs/>
                <w:position w:val="-30"/>
                <w:sz w:val="24"/>
                <w:szCs w:val="22"/>
              </w:rPr>
              <w:object>
                <v:shape id="_x0000_i1026" o:spt="75" type="#_x0000_t75" style="height:34.45pt;width:108.9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式中：q</w:t>
            </w:r>
            <w:r>
              <w:rPr>
                <w:bCs/>
                <w:sz w:val="24"/>
                <w:szCs w:val="22"/>
                <w:vertAlign w:val="subscript"/>
              </w:rPr>
              <w:t>1</w:t>
            </w:r>
            <w:r>
              <w:rPr>
                <w:bCs/>
                <w:sz w:val="24"/>
                <w:szCs w:val="22"/>
              </w:rPr>
              <w:t>、q</w:t>
            </w:r>
            <w:r>
              <w:rPr>
                <w:bCs/>
                <w:sz w:val="24"/>
                <w:szCs w:val="22"/>
                <w:vertAlign w:val="subscript"/>
              </w:rPr>
              <w:t>2</w:t>
            </w:r>
            <w:r>
              <w:rPr>
                <w:bCs/>
                <w:sz w:val="24"/>
                <w:szCs w:val="22"/>
              </w:rPr>
              <w:t>、…q</w:t>
            </w:r>
            <w:r>
              <w:rPr>
                <w:bCs/>
                <w:sz w:val="24"/>
                <w:szCs w:val="22"/>
                <w:vertAlign w:val="subscript"/>
              </w:rPr>
              <w:t>n</w:t>
            </w:r>
            <w:r>
              <w:rPr>
                <w:bCs/>
                <w:sz w:val="24"/>
                <w:szCs w:val="22"/>
              </w:rPr>
              <w:t>----每种环境风险物质的存在量，t；</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Q</w:t>
            </w:r>
            <w:r>
              <w:rPr>
                <w:bCs/>
                <w:sz w:val="24"/>
                <w:szCs w:val="22"/>
                <w:vertAlign w:val="subscript"/>
              </w:rPr>
              <w:t>1</w:t>
            </w:r>
            <w:r>
              <w:rPr>
                <w:bCs/>
                <w:sz w:val="24"/>
                <w:szCs w:val="22"/>
              </w:rPr>
              <w:t>、Q</w:t>
            </w:r>
            <w:r>
              <w:rPr>
                <w:bCs/>
                <w:sz w:val="24"/>
                <w:szCs w:val="22"/>
                <w:vertAlign w:val="subscript"/>
              </w:rPr>
              <w:t>2</w:t>
            </w:r>
            <w:r>
              <w:rPr>
                <w:bCs/>
                <w:sz w:val="24"/>
                <w:szCs w:val="22"/>
              </w:rPr>
              <w:t>、…Q</w:t>
            </w:r>
            <w:r>
              <w:rPr>
                <w:bCs/>
                <w:sz w:val="24"/>
                <w:szCs w:val="22"/>
                <w:vertAlign w:val="subscript"/>
              </w:rPr>
              <w:t>n</w:t>
            </w:r>
            <w:r>
              <w:rPr>
                <w:bCs/>
                <w:sz w:val="24"/>
                <w:szCs w:val="22"/>
              </w:rPr>
              <w:t>----每种环境风险物质的临界量，t。</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当Q＜1时，该项目环境风险潜势为I。</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当Q≥1，将Q值划分为：（1）1≤Q＜10；（2）10≤Q＜100；</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危废</w:t>
            </w:r>
            <w:r>
              <w:rPr>
                <w:rFonts w:hint="eastAsia"/>
                <w:bCs/>
                <w:sz w:val="24"/>
              </w:rPr>
              <w:t>仓库</w:t>
            </w:r>
            <w:r>
              <w:rPr>
                <w:bCs/>
                <w:sz w:val="24"/>
              </w:rPr>
              <w:t>内有废</w:t>
            </w:r>
            <w:r>
              <w:rPr>
                <w:rFonts w:hint="eastAsia"/>
                <w:bCs/>
                <w:sz w:val="24"/>
              </w:rPr>
              <w:t>包装桶、废</w:t>
            </w:r>
            <w:r>
              <w:rPr>
                <w:rFonts w:hint="eastAsia"/>
                <w:bCs/>
                <w:sz w:val="24"/>
                <w:lang w:eastAsia="zh-CN"/>
              </w:rPr>
              <w:t>矿物</w:t>
            </w:r>
            <w:r>
              <w:rPr>
                <w:rFonts w:hint="eastAsia"/>
                <w:bCs/>
                <w:sz w:val="24"/>
              </w:rPr>
              <w:t>油等</w:t>
            </w:r>
            <w:r>
              <w:rPr>
                <w:bCs/>
                <w:sz w:val="24"/>
              </w:rPr>
              <w:t>。若上述</w:t>
            </w:r>
            <w:r>
              <w:rPr>
                <w:rFonts w:hint="eastAsia"/>
                <w:bCs/>
                <w:sz w:val="24"/>
              </w:rPr>
              <w:t>废包装桶、废</w:t>
            </w:r>
            <w:r>
              <w:rPr>
                <w:rFonts w:hint="eastAsia"/>
                <w:bCs/>
                <w:sz w:val="24"/>
                <w:lang w:eastAsia="zh-CN"/>
              </w:rPr>
              <w:t>矿物</w:t>
            </w:r>
            <w:r>
              <w:rPr>
                <w:rFonts w:hint="eastAsia"/>
                <w:bCs/>
                <w:sz w:val="24"/>
              </w:rPr>
              <w:t>油等遇明火会引发火灾</w:t>
            </w:r>
            <w:r>
              <w:rPr>
                <w:bCs/>
                <w:sz w:val="24"/>
              </w:rPr>
              <w:t>，会对周围</w:t>
            </w:r>
            <w:r>
              <w:rPr>
                <w:rFonts w:hint="eastAsia"/>
                <w:bCs/>
                <w:sz w:val="24"/>
              </w:rPr>
              <w:t>环境</w:t>
            </w:r>
            <w:r>
              <w:rPr>
                <w:bCs/>
                <w:sz w:val="24"/>
              </w:rPr>
              <w:t>造成一定的影响。根据导则附录B，本项目危险物质数量及临界量比值（Q）统计如下。</w:t>
            </w:r>
          </w:p>
          <w:p>
            <w:pPr>
              <w:keepNext w:val="0"/>
              <w:keepLines w:val="0"/>
              <w:suppressLineNumbers w:val="0"/>
              <w:adjustRightInd w:val="0"/>
              <w:snapToGrid w:val="0"/>
              <w:spacing w:before="0" w:beforeAutospacing="0" w:after="0" w:afterAutospacing="0"/>
              <w:ind w:left="0" w:right="0"/>
              <w:jc w:val="center"/>
              <w:rPr>
                <w:b/>
                <w:sz w:val="24"/>
              </w:rPr>
            </w:pPr>
          </w:p>
          <w:p>
            <w:pPr>
              <w:keepNext w:val="0"/>
              <w:keepLines w:val="0"/>
              <w:suppressLineNumbers w:val="0"/>
              <w:adjustRightInd w:val="0"/>
              <w:snapToGrid w:val="0"/>
              <w:spacing w:before="0" w:beforeAutospacing="0" w:after="0" w:afterAutospacing="0"/>
              <w:ind w:left="0" w:right="0"/>
              <w:jc w:val="center"/>
              <w:rPr>
                <w:b/>
                <w:sz w:val="24"/>
              </w:rPr>
            </w:pPr>
          </w:p>
          <w:p>
            <w:pPr>
              <w:keepNext w:val="0"/>
              <w:keepLines w:val="0"/>
              <w:suppressLineNumbers w:val="0"/>
              <w:adjustRightInd w:val="0"/>
              <w:snapToGrid w:val="0"/>
              <w:spacing w:before="0" w:beforeAutospacing="0" w:after="0" w:afterAutospacing="0"/>
              <w:ind w:left="0" w:right="0"/>
              <w:jc w:val="center"/>
              <w:rPr>
                <w:b/>
                <w:sz w:val="24"/>
              </w:rPr>
            </w:pPr>
          </w:p>
          <w:p>
            <w:pPr>
              <w:keepNext w:val="0"/>
              <w:keepLines w:val="0"/>
              <w:suppressLineNumbers w:val="0"/>
              <w:adjustRightInd w:val="0"/>
              <w:snapToGrid w:val="0"/>
              <w:spacing w:before="0" w:beforeAutospacing="0" w:after="0" w:afterAutospacing="0"/>
              <w:ind w:left="0" w:right="0"/>
              <w:jc w:val="center"/>
              <w:rPr>
                <w:b/>
                <w:sz w:val="24"/>
              </w:rPr>
            </w:pPr>
          </w:p>
          <w:p>
            <w:pPr>
              <w:keepNext w:val="0"/>
              <w:keepLines w:val="0"/>
              <w:suppressLineNumbers w:val="0"/>
              <w:adjustRightInd w:val="0"/>
              <w:snapToGrid w:val="0"/>
              <w:spacing w:before="0" w:beforeAutospacing="0" w:after="0" w:afterAutospacing="0"/>
              <w:ind w:left="0" w:right="0"/>
              <w:jc w:val="center"/>
              <w:rPr>
                <w:b/>
                <w:sz w:val="24"/>
              </w:rPr>
            </w:pPr>
            <w:r>
              <w:rPr>
                <w:b/>
                <w:sz w:val="24"/>
              </w:rPr>
              <w:t>表</w:t>
            </w:r>
            <w:r>
              <w:rPr>
                <w:rFonts w:hint="eastAsia"/>
                <w:b/>
                <w:sz w:val="24"/>
              </w:rPr>
              <w:t>4-23</w:t>
            </w:r>
            <w:r>
              <w:rPr>
                <w:b/>
                <w:sz w:val="24"/>
              </w:rPr>
              <w:t xml:space="preserve"> 本项目危险物质数量及临界量比值（Q）一览表</w:t>
            </w:r>
          </w:p>
          <w:tbl>
            <w:tblPr>
              <w:tblStyle w:val="21"/>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204"/>
              <w:gridCol w:w="3586"/>
              <w:gridCol w:w="877"/>
              <w:gridCol w:w="16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tcBorders>
                    <w:top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序号</w:t>
                  </w:r>
                </w:p>
              </w:tc>
              <w:tc>
                <w:tcPr>
                  <w:tcW w:w="736" w:type="pct"/>
                  <w:tcBorders>
                    <w:top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名称</w:t>
                  </w:r>
                </w:p>
              </w:tc>
              <w:tc>
                <w:tcPr>
                  <w:tcW w:w="2192" w:type="pct"/>
                  <w:tcBorders>
                    <w:top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最大存在总量（t）</w:t>
                  </w:r>
                </w:p>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（包括车间暂存量及存储区量）</w:t>
                  </w:r>
                </w:p>
              </w:tc>
              <w:tc>
                <w:tcPr>
                  <w:tcW w:w="536" w:type="pct"/>
                  <w:tcBorders>
                    <w:top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t>临界量（t）</w:t>
                  </w:r>
                </w:p>
              </w:tc>
              <w:tc>
                <w:tcPr>
                  <w:tcW w:w="1027" w:type="pct"/>
                  <w:tcBorders>
                    <w:top w:val="single" w:color="auto" w:sz="12" w:space="0"/>
                  </w:tcBorders>
                  <w:vAlign w:val="center"/>
                </w:tcPr>
                <w:p>
                  <w:pPr>
                    <w:keepNext w:val="0"/>
                    <w:keepLines w:val="0"/>
                    <w:suppressLineNumbers w:val="0"/>
                    <w:adjustRightInd w:val="0"/>
                    <w:snapToGrid w:val="0"/>
                    <w:spacing w:before="0" w:beforeAutospacing="0" w:after="0" w:afterAutospacing="0"/>
                    <w:ind w:left="0" w:right="0"/>
                    <w:jc w:val="center"/>
                    <w:rPr>
                      <w:b/>
                      <w:bCs/>
                      <w:szCs w:val="21"/>
                    </w:rPr>
                  </w:pPr>
                  <w:r>
                    <w:rPr>
                      <w:b/>
                      <w:bCs/>
                      <w:szCs w:val="21"/>
                    </w:rPr>
                    <w:object>
                      <v:shape id="_x0000_i1027" o:spt="75" type="#_x0000_t75" style="height:33.8pt;width:17.5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w:t>
                  </w:r>
                </w:p>
              </w:tc>
              <w:tc>
                <w:tcPr>
                  <w:tcW w:w="736"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液压油</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0.85</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0.00034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2</w:t>
                  </w:r>
                </w:p>
              </w:tc>
              <w:tc>
                <w:tcPr>
                  <w:tcW w:w="736"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冲压油</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10</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0.004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w:t>
                  </w:r>
                </w:p>
              </w:tc>
              <w:tc>
                <w:tcPr>
                  <w:tcW w:w="736"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防锈油</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0.85</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0.00034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4</w:t>
                  </w:r>
                </w:p>
              </w:tc>
              <w:tc>
                <w:tcPr>
                  <w:tcW w:w="736" w:type="pct"/>
                  <w:vAlign w:val="center"/>
                </w:tcPr>
                <w:p>
                  <w:pPr>
                    <w:keepNext w:val="0"/>
                    <w:keepLines w:val="0"/>
                    <w:suppressLineNumbers w:val="0"/>
                    <w:spacing w:before="0" w:beforeAutospacing="0" w:after="0" w:afterAutospacing="0"/>
                    <w:ind w:left="0" w:right="0"/>
                    <w:jc w:val="center"/>
                    <w:rPr>
                      <w:rFonts w:hint="eastAsia" w:eastAsia="宋体"/>
                      <w:szCs w:val="21"/>
                      <w:lang w:eastAsia="zh-CN"/>
                    </w:rPr>
                  </w:pPr>
                  <w:r>
                    <w:rPr>
                      <w:rFonts w:hint="eastAsia"/>
                      <w:szCs w:val="21"/>
                      <w:lang w:eastAsia="zh-CN"/>
                    </w:rPr>
                    <w:t>切削油</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0.00004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5</w:t>
                  </w:r>
                </w:p>
              </w:tc>
              <w:tc>
                <w:tcPr>
                  <w:tcW w:w="736" w:type="pct"/>
                  <w:vAlign w:val="center"/>
                </w:tcPr>
                <w:p>
                  <w:pPr>
                    <w:keepNext w:val="0"/>
                    <w:keepLines w:val="0"/>
                    <w:suppressLineNumbers w:val="0"/>
                    <w:spacing w:before="0" w:beforeAutospacing="0" w:after="0" w:afterAutospacing="0"/>
                    <w:ind w:left="0" w:right="0"/>
                    <w:jc w:val="center"/>
                    <w:rPr>
                      <w:szCs w:val="21"/>
                    </w:rPr>
                  </w:pPr>
                  <w:r>
                    <w:rPr>
                      <w:szCs w:val="21"/>
                    </w:rPr>
                    <w:t>废活性炭</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1.</w:t>
                  </w:r>
                  <w:r>
                    <w:rPr>
                      <w:rFonts w:hint="eastAsia"/>
                      <w:szCs w:val="21"/>
                      <w:lang w:val="en-US" w:eastAsia="zh-CN"/>
                    </w:rPr>
                    <w:t>225</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ascii="Times New Roman" w:hAnsi="Times New Roman"/>
                      <w:bCs/>
                      <w:szCs w:val="21"/>
                    </w:rPr>
                    <w:t>100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bCs/>
                      <w:szCs w:val="21"/>
                      <w:lang w:val="en-US" w:eastAsia="zh-CN"/>
                    </w:rPr>
                  </w:pPr>
                  <w:r>
                    <w:rPr>
                      <w:rFonts w:hint="eastAsia" w:ascii="Times New Roman" w:hAnsi="Times New Roman"/>
                      <w:bCs/>
                      <w:szCs w:val="21"/>
                    </w:rPr>
                    <w:t>0.01</w:t>
                  </w:r>
                  <w:r>
                    <w:rPr>
                      <w:rFonts w:hint="eastAsia" w:ascii="Times New Roman" w:hAnsi="Times New Roman"/>
                      <w:bCs/>
                      <w:szCs w:val="21"/>
                      <w:lang w:val="en-US" w:eastAsia="zh-CN"/>
                    </w:rPr>
                    <w:t>225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6</w:t>
                  </w:r>
                </w:p>
              </w:tc>
              <w:tc>
                <w:tcPr>
                  <w:tcW w:w="736"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废包装桶</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0.</w:t>
                  </w:r>
                  <w:r>
                    <w:rPr>
                      <w:rFonts w:hint="eastAsia"/>
                      <w:szCs w:val="21"/>
                      <w:lang w:val="en-US" w:eastAsia="zh-CN"/>
                    </w:rPr>
                    <w:t>15</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100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bCs/>
                      <w:szCs w:val="21"/>
                      <w:lang w:val="en-US" w:eastAsia="zh-CN"/>
                    </w:rPr>
                  </w:pPr>
                  <w:r>
                    <w:rPr>
                      <w:rFonts w:hint="eastAsia" w:ascii="Times New Roman" w:hAnsi="Times New Roman"/>
                      <w:bCs/>
                      <w:szCs w:val="21"/>
                    </w:rPr>
                    <w:t>0.00</w:t>
                  </w:r>
                  <w:r>
                    <w:rPr>
                      <w:rFonts w:hint="eastAsia" w:ascii="Times New Roman" w:hAnsi="Times New Roman"/>
                      <w:bCs/>
                      <w:szCs w:val="21"/>
                      <w:lang w:val="en-US" w:eastAsia="zh-CN"/>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pc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7</w:t>
                  </w:r>
                </w:p>
              </w:tc>
              <w:tc>
                <w:tcPr>
                  <w:tcW w:w="736" w:type="pct"/>
                  <w:vAlign w:val="center"/>
                </w:tcPr>
                <w:p>
                  <w:pPr>
                    <w:keepNext w:val="0"/>
                    <w:keepLines w:val="0"/>
                    <w:suppressLineNumbers w:val="0"/>
                    <w:spacing w:before="0" w:beforeAutospacing="0" w:after="0" w:afterAutospacing="0"/>
                    <w:ind w:left="0" w:right="0"/>
                    <w:jc w:val="center"/>
                    <w:rPr>
                      <w:szCs w:val="21"/>
                    </w:rPr>
                  </w:pPr>
                  <w:r>
                    <w:rPr>
                      <w:rFonts w:hint="eastAsia"/>
                      <w:szCs w:val="21"/>
                    </w:rPr>
                    <w:t>废</w:t>
                  </w:r>
                  <w:r>
                    <w:rPr>
                      <w:rFonts w:hint="eastAsia"/>
                      <w:szCs w:val="21"/>
                      <w:lang w:eastAsia="zh-CN"/>
                    </w:rPr>
                    <w:t>矿物</w:t>
                  </w:r>
                  <w:r>
                    <w:rPr>
                      <w:rFonts w:hint="eastAsia"/>
                      <w:szCs w:val="21"/>
                    </w:rPr>
                    <w:t>油</w:t>
                  </w:r>
                </w:p>
              </w:tc>
              <w:tc>
                <w:tcPr>
                  <w:tcW w:w="2192" w:type="pct"/>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1</w:t>
                  </w:r>
                </w:p>
              </w:tc>
              <w:tc>
                <w:tcPr>
                  <w:tcW w:w="536"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keepNext w:val="0"/>
                    <w:keepLines w:val="0"/>
                    <w:suppressLineNumbers w:val="0"/>
                    <w:adjustRightInd w:val="0"/>
                    <w:snapToGrid w:val="0"/>
                    <w:spacing w:before="0" w:beforeAutospacing="0" w:after="0" w:afterAutospacing="0"/>
                    <w:ind w:left="0" w:right="0" w:firstLine="0"/>
                    <w:jc w:val="center"/>
                    <w:rPr>
                      <w:rFonts w:hint="eastAsia" w:ascii="Times New Roman" w:hAnsi="Times New Roman" w:eastAsia="宋体"/>
                      <w:bCs/>
                      <w:szCs w:val="21"/>
                      <w:lang w:val="en-US" w:eastAsia="zh-CN"/>
                    </w:rPr>
                  </w:pPr>
                  <w:r>
                    <w:rPr>
                      <w:rFonts w:hint="eastAsia" w:ascii="Times New Roman" w:hAnsi="Times New Roman"/>
                      <w:bCs/>
                      <w:szCs w:val="21"/>
                    </w:rPr>
                    <w:t>0.000</w:t>
                  </w:r>
                  <w:r>
                    <w:rPr>
                      <w:rFonts w:hint="eastAsia" w:ascii="Times New Roman" w:hAnsi="Times New Roman"/>
                      <w:bCs/>
                      <w:szCs w:val="21"/>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2" w:type="pct"/>
                  <w:gridSpan w:val="4"/>
                  <w:tcBorders>
                    <w:bottom w:val="single" w:color="auto" w:sz="12"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ascii="Times New Roman" w:hAnsi="Times New Roman"/>
                      <w:bCs/>
                      <w:szCs w:val="21"/>
                    </w:rPr>
                  </w:pPr>
                  <w:r>
                    <w:rPr>
                      <w:rFonts w:ascii="Times New Roman" w:hAnsi="Times New Roman"/>
                      <w:szCs w:val="21"/>
                    </w:rPr>
                    <w:t>合计</w:t>
                  </w:r>
                </w:p>
              </w:tc>
              <w:tc>
                <w:tcPr>
                  <w:tcW w:w="1027" w:type="pct"/>
                  <w:tcBorders>
                    <w:bottom w:val="single" w:color="auto" w:sz="12" w:space="0"/>
                  </w:tcBorders>
                  <w:vAlign w:val="center"/>
                </w:tcPr>
                <w:p>
                  <w:pPr>
                    <w:pStyle w:val="5"/>
                    <w:keepNext w:val="0"/>
                    <w:keepLines w:val="0"/>
                    <w:suppressLineNumbers w:val="0"/>
                    <w:adjustRightInd w:val="0"/>
                    <w:snapToGrid w:val="0"/>
                    <w:spacing w:before="0" w:beforeAutospacing="0" w:after="0" w:afterAutospacing="0"/>
                    <w:ind w:left="0" w:right="0" w:firstLine="0"/>
                    <w:jc w:val="center"/>
                    <w:rPr>
                      <w:rFonts w:hint="default" w:ascii="Times New Roman" w:hAnsi="Times New Roman" w:eastAsia="宋体"/>
                      <w:bCs/>
                      <w:szCs w:val="21"/>
                      <w:lang w:val="en-US" w:eastAsia="zh-CN"/>
                    </w:rPr>
                  </w:pPr>
                  <w:r>
                    <w:rPr>
                      <w:rFonts w:hint="eastAsia" w:ascii="Times New Roman" w:hAnsi="Times New Roman"/>
                      <w:bCs/>
                      <w:szCs w:val="21"/>
                    </w:rPr>
                    <w:t>0.0</w:t>
                  </w:r>
                  <w:r>
                    <w:rPr>
                      <w:rFonts w:hint="eastAsia" w:ascii="Times New Roman" w:hAnsi="Times New Roman"/>
                      <w:bCs/>
                      <w:szCs w:val="21"/>
                      <w:lang w:val="en-US" w:eastAsia="zh-CN"/>
                    </w:rPr>
                    <w:t>1887</w:t>
                  </w:r>
                </w:p>
              </w:tc>
            </w:tr>
          </w:tbl>
          <w:p>
            <w:pPr>
              <w:keepNext w:val="0"/>
              <w:keepLines w:val="0"/>
              <w:suppressLineNumbers w:val="0"/>
              <w:adjustRightInd w:val="0"/>
              <w:snapToGrid w:val="0"/>
              <w:spacing w:before="0" w:beforeAutospacing="0" w:after="0" w:afterAutospacing="0"/>
              <w:ind w:left="0" w:right="0"/>
              <w:rPr>
                <w:b/>
                <w:szCs w:val="21"/>
              </w:rPr>
            </w:pPr>
            <w:r>
              <w:rPr>
                <w:b/>
                <w:szCs w:val="21"/>
              </w:rPr>
              <w:t>注：</w:t>
            </w:r>
            <w:r>
              <w:rPr>
                <w:rFonts w:hint="eastAsia"/>
                <w:b/>
                <w:szCs w:val="21"/>
              </w:rPr>
              <w:t>液压油、冲压油、防锈油、</w:t>
            </w:r>
            <w:r>
              <w:rPr>
                <w:rFonts w:hint="eastAsia"/>
                <w:b/>
                <w:szCs w:val="21"/>
                <w:lang w:eastAsia="zh-CN"/>
              </w:rPr>
              <w:t>切削油</w:t>
            </w:r>
            <w:r>
              <w:rPr>
                <w:rFonts w:hint="eastAsia"/>
                <w:b/>
                <w:szCs w:val="21"/>
              </w:rPr>
              <w:t>、废</w:t>
            </w:r>
            <w:r>
              <w:rPr>
                <w:rFonts w:hint="eastAsia"/>
                <w:b/>
                <w:szCs w:val="21"/>
                <w:lang w:eastAsia="zh-CN"/>
              </w:rPr>
              <w:t>矿物油</w:t>
            </w:r>
            <w:r>
              <w:rPr>
                <w:rFonts w:hint="eastAsia"/>
                <w:b/>
                <w:szCs w:val="21"/>
              </w:rPr>
              <w:t>临界值参照</w:t>
            </w:r>
            <w:r>
              <w:rPr>
                <w:b/>
                <w:szCs w:val="21"/>
              </w:rPr>
              <w:t>《建设项目环境风险评价技术导则》（HJ169—2018）表B.</w:t>
            </w:r>
            <w:r>
              <w:rPr>
                <w:rFonts w:hint="eastAsia"/>
                <w:b/>
                <w:szCs w:val="21"/>
              </w:rPr>
              <w:t>1</w:t>
            </w:r>
            <w:r>
              <w:rPr>
                <w:b/>
                <w:szCs w:val="21"/>
              </w:rPr>
              <w:t>中“</w:t>
            </w:r>
            <w:r>
              <w:rPr>
                <w:rFonts w:hint="eastAsia"/>
                <w:b/>
                <w:szCs w:val="21"/>
              </w:rPr>
              <w:t>油类物质</w:t>
            </w:r>
            <w:r>
              <w:rPr>
                <w:b/>
                <w:szCs w:val="21"/>
              </w:rPr>
              <w:t>”临界值</w:t>
            </w:r>
            <w:r>
              <w:rPr>
                <w:rFonts w:hint="eastAsia"/>
                <w:b/>
                <w:szCs w:val="21"/>
              </w:rPr>
              <w:t>；</w:t>
            </w:r>
            <w:r>
              <w:rPr>
                <w:b/>
                <w:szCs w:val="21"/>
              </w:rPr>
              <w:t>废活性炭</w:t>
            </w:r>
            <w:r>
              <w:rPr>
                <w:rFonts w:hint="eastAsia"/>
                <w:b/>
                <w:szCs w:val="21"/>
              </w:rPr>
              <w:t>、废包装桶</w:t>
            </w:r>
            <w:r>
              <w:rPr>
                <w:b/>
                <w:szCs w:val="21"/>
              </w:rPr>
              <w:t>临界值参照《建设项目环境风险评价技术导则》（HJ169—2018）表B.2中“危害水环境物</w:t>
            </w:r>
            <w:r>
              <w:rPr>
                <w:rFonts w:hint="eastAsia"/>
                <w:b/>
                <w:szCs w:val="21"/>
              </w:rPr>
              <w:t>（急性毒性类别：急性1，慢性毒性类别：慢性1）</w:t>
            </w:r>
            <w:r>
              <w:rPr>
                <w:b/>
                <w:szCs w:val="21"/>
              </w:rPr>
              <w:t>”临界值</w:t>
            </w:r>
            <w:r>
              <w:rPr>
                <w:rFonts w:hint="eastAsia"/>
                <w:b/>
                <w:szCs w:val="21"/>
              </w:rPr>
              <w:t>；</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bCs/>
                <w:sz w:val="24"/>
              </w:rPr>
              <w:t>经分析可知，本项目Q＜1，环境风险势能直接判断为I等级，根据《建设项目环境风险评价技术导则》（HJ169—2018）相关要求，对本项目评价内容进行简单分析。</w:t>
            </w:r>
          </w:p>
          <w:p>
            <w:pPr>
              <w:keepNext w:val="0"/>
              <w:keepLines w:val="0"/>
              <w:suppressLineNumbers w:val="0"/>
              <w:adjustRightInd w:val="0"/>
              <w:snapToGrid w:val="0"/>
              <w:spacing w:before="0" w:beforeAutospacing="0" w:after="0" w:afterAutospacing="0" w:line="360" w:lineRule="auto"/>
              <w:ind w:left="0" w:right="0" w:firstLine="482" w:firstLineChars="200"/>
              <w:rPr>
                <w:b/>
                <w:bCs/>
                <w:sz w:val="24"/>
                <w:szCs w:val="22"/>
              </w:rPr>
            </w:pPr>
            <w:r>
              <w:rPr>
                <w:b/>
                <w:bCs/>
                <w:sz w:val="24"/>
                <w:szCs w:val="22"/>
              </w:rPr>
              <w:t>（2）风险评价</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szCs w:val="22"/>
              </w:rPr>
              <w:t>①评价依据：根据评价工作等级划分，本项目Q＜1，环境风险势能直接判断为I等级。</w:t>
            </w:r>
          </w:p>
          <w:p>
            <w:pPr>
              <w:keepNext w:val="0"/>
              <w:keepLines w:val="0"/>
              <w:suppressLineNumbers w:val="0"/>
              <w:snapToGrid w:val="0"/>
              <w:spacing w:before="0" w:beforeAutospacing="0" w:after="0" w:afterAutospacing="0" w:line="360" w:lineRule="auto"/>
              <w:ind w:left="0" w:right="0" w:firstLine="480" w:firstLineChars="200"/>
              <w:rPr>
                <w:bCs/>
                <w:sz w:val="24"/>
                <w:szCs w:val="22"/>
              </w:rPr>
            </w:pPr>
            <w:r>
              <w:rPr>
                <w:bCs/>
                <w:sz w:val="24"/>
                <w:szCs w:val="22"/>
              </w:rPr>
              <w:t>②环境敏感目标概况：周边500m范围内无地下取水口。</w:t>
            </w:r>
          </w:p>
          <w:p>
            <w:pPr>
              <w:keepNext w:val="0"/>
              <w:keepLines w:val="0"/>
              <w:suppressLineNumbers w:val="0"/>
              <w:snapToGrid w:val="0"/>
              <w:spacing w:before="0" w:beforeAutospacing="0" w:after="0" w:afterAutospacing="0" w:line="360" w:lineRule="auto"/>
              <w:ind w:left="0" w:right="0" w:firstLine="480" w:firstLineChars="200"/>
              <w:rPr>
                <w:bCs/>
                <w:sz w:val="24"/>
              </w:rPr>
            </w:pPr>
            <w:r>
              <w:rPr>
                <w:rFonts w:hint="eastAsia" w:ascii="宋体" w:hAnsi="宋体"/>
                <w:bCs/>
                <w:sz w:val="24"/>
              </w:rPr>
              <w:t>③</w:t>
            </w:r>
            <w:r>
              <w:rPr>
                <w:bCs/>
                <w:sz w:val="24"/>
              </w:rPr>
              <w:t>环境风险识别：厂区内存有一定数量的</w:t>
            </w:r>
            <w:r>
              <w:rPr>
                <w:rFonts w:hint="eastAsia"/>
                <w:bCs/>
                <w:sz w:val="24"/>
              </w:rPr>
              <w:t>液压油</w:t>
            </w:r>
            <w:r>
              <w:rPr>
                <w:bCs/>
                <w:sz w:val="24"/>
              </w:rPr>
              <w:t>、</w:t>
            </w:r>
            <w:r>
              <w:rPr>
                <w:rFonts w:hint="eastAsia"/>
                <w:bCs/>
                <w:sz w:val="24"/>
                <w:lang w:eastAsia="zh-CN"/>
              </w:rPr>
              <w:t>切削油</w:t>
            </w:r>
            <w:r>
              <w:rPr>
                <w:rFonts w:hint="eastAsia"/>
                <w:bCs/>
                <w:sz w:val="24"/>
              </w:rPr>
              <w:t>、冲压油、防锈油</w:t>
            </w:r>
            <w:r>
              <w:rPr>
                <w:bCs/>
                <w:sz w:val="24"/>
              </w:rPr>
              <w:t>和危险废物，对水环境存在一定风险。</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szCs w:val="22"/>
              </w:rPr>
              <w:t>④</w:t>
            </w:r>
            <w:r>
              <w:rPr>
                <w:bCs/>
                <w:sz w:val="24"/>
              </w:rPr>
              <w:t>环境风险分析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rFonts w:hint="eastAsia"/>
                <w:bCs/>
                <w:sz w:val="24"/>
              </w:rPr>
              <w:t>1）</w:t>
            </w:r>
            <w:r>
              <w:rPr>
                <w:bCs/>
                <w:sz w:val="24"/>
              </w:rPr>
              <w:t>大气环境影响分析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szCs w:val="22"/>
              </w:rPr>
              <w:t>a.</w:t>
            </w:r>
            <w:r>
              <w:rPr>
                <w:bCs/>
                <w:sz w:val="24"/>
              </w:rPr>
              <w:t>火灾、爆炸事故影响分析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火灾事故的影响主要表现热辐射及燃烧废气对周围环境的影响。如果热辐射非常高可能引起</w:t>
            </w:r>
            <w:r>
              <w:rPr>
                <w:rFonts w:hint="eastAsia"/>
                <w:bCs/>
                <w:sz w:val="24"/>
                <w:lang w:eastAsia="zh-CN"/>
              </w:rPr>
              <w:t>其他易燃物</w:t>
            </w:r>
            <w:r>
              <w:rPr>
                <w:bCs/>
                <w:sz w:val="24"/>
              </w:rPr>
              <w:t>质起火。此外，热辐射也会使有机体燃烧，同时发生爆炸事故时，容易衍生出消防废水等泄漏进入土壤或地表水，进而污染周边环境。对此企业应加强线路设备的维护保养与检修，确保各类设备处于正常运行状态。</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rPr>
            </w:pPr>
            <w:r>
              <w:rPr>
                <w:rFonts w:hint="eastAsia"/>
                <w:bCs/>
                <w:sz w:val="24"/>
              </w:rPr>
              <w:t>2）</w:t>
            </w:r>
            <w:r>
              <w:rPr>
                <w:bCs/>
                <w:sz w:val="24"/>
              </w:rPr>
              <w:t>地表水环境影响分析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a.液体物料泄漏事故风险评价</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根据项目所使用的原辅物料理化性质分析，项目生产过程中使用的</w:t>
            </w:r>
            <w:r>
              <w:rPr>
                <w:rFonts w:hint="eastAsia"/>
                <w:bCs/>
                <w:sz w:val="24"/>
              </w:rPr>
              <w:t>液压油</w:t>
            </w:r>
            <w:r>
              <w:rPr>
                <w:bCs/>
                <w:sz w:val="24"/>
              </w:rPr>
              <w:t>、</w:t>
            </w:r>
            <w:r>
              <w:rPr>
                <w:rFonts w:hint="eastAsia"/>
                <w:bCs/>
                <w:sz w:val="24"/>
                <w:lang w:eastAsia="zh-CN"/>
              </w:rPr>
              <w:t>切削油</w:t>
            </w:r>
            <w:r>
              <w:rPr>
                <w:rFonts w:hint="eastAsia"/>
                <w:bCs/>
                <w:sz w:val="24"/>
              </w:rPr>
              <w:t>、冲压油、防锈油</w:t>
            </w:r>
            <w:r>
              <w:rPr>
                <w:bCs/>
                <w:sz w:val="24"/>
              </w:rPr>
              <w:t>和危险废物泄露进入水体，会对一定面积水生生物产生严重影响。若泄露地面未进行防腐防渗处理，会对地下水环境产生影响。</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因此转移过程中需严格按要求操作，并保持转移路线的通畅，地面进行防腐防渗处理，设置地下水水质监测井，定期对区内水质、水位进行监测，一旦发现异常，立即查明原因，采取措施控制污染物扩散。</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b.火灾、爆炸事故影响分析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火灾爆炸事故容易衍生出消防废水等泄漏进入地表水，进而污染周边环境。</w:t>
            </w:r>
          </w:p>
          <w:p>
            <w:pPr>
              <w:keepNext w:val="0"/>
              <w:keepLines w:val="0"/>
              <w:suppressLineNumbers w:val="0"/>
              <w:snapToGrid w:val="0"/>
              <w:spacing w:before="0" w:beforeAutospacing="0" w:after="0" w:afterAutospacing="0" w:line="360" w:lineRule="auto"/>
              <w:ind w:left="0" w:right="0" w:firstLine="480" w:firstLineChars="200"/>
              <w:rPr>
                <w:bCs/>
                <w:sz w:val="24"/>
              </w:rPr>
            </w:pPr>
            <w:r>
              <w:rPr>
                <w:rFonts w:hint="eastAsia"/>
                <w:bCs/>
                <w:sz w:val="24"/>
              </w:rPr>
              <w:t>3）</w:t>
            </w:r>
            <w:r>
              <w:rPr>
                <w:bCs/>
                <w:sz w:val="24"/>
              </w:rPr>
              <w:t>地下水环境影响分析</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本项目危险废物等若未按要求收集暂存随意堆放，可能会渗入到周围土壤、地下水中，导致地下水环境受到污染，危废未按要求处置，随意倾倒填埋可能会导致倾倒区及周围水体环境受到污染。</w:t>
            </w:r>
          </w:p>
          <w:p>
            <w:pPr>
              <w:keepNext w:val="0"/>
              <w:keepLines w:val="0"/>
              <w:suppressLineNumbers w:val="0"/>
              <w:snapToGrid w:val="0"/>
              <w:spacing w:before="0" w:beforeAutospacing="0" w:after="0" w:afterAutospacing="0" w:line="360" w:lineRule="auto"/>
              <w:ind w:left="0" w:right="0" w:firstLine="480" w:firstLineChars="200"/>
              <w:rPr>
                <w:bCs/>
                <w:sz w:val="24"/>
              </w:rPr>
            </w:pPr>
            <w:r>
              <w:rPr>
                <w:rFonts w:hint="eastAsia" w:ascii="宋体" w:hAnsi="宋体"/>
                <w:bCs/>
                <w:sz w:val="24"/>
              </w:rPr>
              <w:t>⑤</w:t>
            </w:r>
            <w:r>
              <w:rPr>
                <w:bCs/>
                <w:sz w:val="24"/>
              </w:rPr>
              <w:t>环境风险防范措施及应急要求</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a.使用防爆、防火电缆，电气设施进行了触电保护，爆炸危险区域的划分、防爆电器（气）的安装和布防必须符合《爆炸和火灾环境电力装置设计规范</w:t>
            </w:r>
            <w:r>
              <w:rPr>
                <w:rFonts w:hint="eastAsia"/>
                <w:bCs/>
                <w:sz w:val="24"/>
                <w:lang w:eastAsia="zh-CN"/>
              </w:rPr>
              <w:t>（</w:t>
            </w:r>
            <w:r>
              <w:rPr>
                <w:bCs/>
                <w:sz w:val="24"/>
              </w:rPr>
              <w:t>GB50058</w:t>
            </w:r>
            <w:r>
              <w:rPr>
                <w:rFonts w:hint="eastAsia"/>
                <w:bCs/>
                <w:sz w:val="24"/>
                <w:lang w:eastAsia="zh-CN"/>
              </w:rPr>
              <w:t>）</w:t>
            </w:r>
            <w:r>
              <w:rPr>
                <w:bCs/>
                <w:sz w:val="24"/>
              </w:rPr>
              <w:t>》要求。各装置防静电设计应符合《防止静电事故通用导则》（GB12518）以及《工业企业静电接地设计规程》（HGJ28）；各装置防静电设计应根据生产工艺要求，作业环境特点和物料性质采取相应的防静电措施；各生产装置在防爆区域内的所有金属设备、管道等都必须设计静电接地装置，且接地电阻符合规范要求：不大于10Ω；非导电设备、管道等应设计间接接地或采用屏蔽方法，屏蔽体必须可靠接地；根据生产特点配置必要的静电检测仪器、仪表。</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b.定期检查、维护生产中使用的设备、仓库，确保各设施、设备正常运行。</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c.生产车间、仓库均配备黄沙箱、吸油毡、应急桶等，用于泄漏的原辅料应急暂存。</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d.生产区和各仓库设置干粉灭火器和泡沫灭火器、消防砂；厂内采用电话报警，专人负责，发生火灾时，及时向有关负责人通报火警；根据实际情况设置感烟、感温探测器及手动报警按钮等。</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e.生产现场设置各种安全标志。按照规范对凡需要迅速发现并引起注意以防发生事故的场所、部位均按要求涂安全色。</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f.一旦发生火灾，应立即停止生产，迅速使用厂内灭火器材，同时，通知镇、区消防支队；并迅速疏散厂内职工和周围群众撤离现场。</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g.加强工厂、车间的安全环保管理，对全厂职工进行安全环保的教育和培训，实行上岗证制度。</w:t>
            </w:r>
          </w:p>
          <w:p>
            <w:pPr>
              <w:keepNext w:val="0"/>
              <w:keepLines w:val="0"/>
              <w:suppressLineNumbers w:val="0"/>
              <w:snapToGrid w:val="0"/>
              <w:spacing w:before="0" w:beforeAutospacing="0" w:after="0" w:afterAutospacing="0" w:line="360" w:lineRule="auto"/>
              <w:ind w:left="0" w:right="0" w:firstLine="480" w:firstLineChars="200"/>
              <w:rPr>
                <w:bCs/>
                <w:sz w:val="24"/>
              </w:rPr>
            </w:pPr>
            <w:r>
              <w:rPr>
                <w:bCs/>
                <w:sz w:val="24"/>
              </w:rPr>
              <w:t>h.定期检查生产和原料贮存区，杜绝事故隐患，降低事故发生概率。</w:t>
            </w:r>
          </w:p>
          <w:p>
            <w:pPr>
              <w:keepNext w:val="0"/>
              <w:keepLines w:val="0"/>
              <w:suppressLineNumbers w:val="0"/>
              <w:adjustRightInd w:val="0"/>
              <w:snapToGrid w:val="0"/>
              <w:spacing w:before="0" w:beforeAutospacing="0" w:after="0" w:afterAutospacing="0" w:line="360" w:lineRule="auto"/>
              <w:ind w:left="0" w:right="0" w:firstLine="480" w:firstLineChars="200"/>
              <w:rPr>
                <w:bCs/>
                <w:sz w:val="24"/>
                <w:szCs w:val="22"/>
              </w:rPr>
            </w:pPr>
            <w:r>
              <w:rPr>
                <w:bCs/>
                <w:sz w:val="24"/>
              </w:rPr>
              <w:t>i.配备24小时有效的报警装置，建立有效的内部、外部通讯联络手段。上述措施可满足本项目风险防范及应急需求且具有可行性。在采取规范化环境风险防范措施和应急措施的前提下，本项目环境风险可控。</w:t>
            </w:r>
          </w:p>
          <w:p>
            <w:pPr>
              <w:keepNext w:val="0"/>
              <w:keepLines w:val="0"/>
              <w:suppressLineNumbers w:val="0"/>
              <w:adjustRightInd w:val="0"/>
              <w:snapToGrid w:val="0"/>
              <w:spacing w:before="0" w:beforeAutospacing="0" w:after="0" w:afterAutospacing="0"/>
              <w:ind w:left="0" w:right="0"/>
              <w:jc w:val="center"/>
              <w:rPr>
                <w:b/>
                <w:bCs/>
                <w:sz w:val="24"/>
              </w:rPr>
            </w:pPr>
            <w:r>
              <w:rPr>
                <w:b/>
                <w:bCs/>
                <w:sz w:val="24"/>
              </w:rPr>
              <w:t>表</w:t>
            </w:r>
            <w:r>
              <w:rPr>
                <w:rFonts w:hint="eastAsia"/>
                <w:b/>
                <w:bCs/>
                <w:sz w:val="24"/>
              </w:rPr>
              <w:t>4-24</w:t>
            </w:r>
            <w:r>
              <w:rPr>
                <w:b/>
                <w:bCs/>
                <w:sz w:val="24"/>
              </w:rPr>
              <w:t xml:space="preserve"> 本项目环境风险简单分析内容表</w:t>
            </w:r>
          </w:p>
          <w:tbl>
            <w:tblPr>
              <w:tblStyle w:val="2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76"/>
              <w:gridCol w:w="1701"/>
              <w:gridCol w:w="1387"/>
              <w:gridCol w:w="20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5" w:type="dxa"/>
                  <w:tcBorders>
                    <w:top w:val="single" w:color="auto" w:sz="12"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建设项目名称</w:t>
                  </w:r>
                </w:p>
              </w:tc>
              <w:tc>
                <w:tcPr>
                  <w:tcW w:w="6390" w:type="dxa"/>
                  <w:gridSpan w:val="4"/>
                  <w:tcBorders>
                    <w:top w:val="single" w:color="auto" w:sz="12"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年产电机铁芯3000万套、电机机壳2000万只项目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建设地点</w:t>
                  </w:r>
                </w:p>
              </w:tc>
              <w:tc>
                <w:tcPr>
                  <w:tcW w:w="6390" w:type="dxa"/>
                  <w:gridSpan w:val="4"/>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江苏省常州市武进区洛阳镇新科西路21号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地理坐标</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经度</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1</w:t>
                  </w:r>
                  <w:r>
                    <w:rPr>
                      <w:rFonts w:hint="eastAsia"/>
                    </w:rPr>
                    <w:t>20.065032°</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纬度</w:t>
                  </w:r>
                </w:p>
              </w:tc>
              <w:tc>
                <w:tcPr>
                  <w:tcW w:w="2026" w:type="dxa"/>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t>31.</w:t>
                  </w:r>
                  <w:r>
                    <w:rPr>
                      <w:rFonts w:hint="eastAsia"/>
                    </w:rPr>
                    <w:t>651973°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t>主要危险物质及分布</w:t>
                  </w:r>
                </w:p>
              </w:tc>
              <w:tc>
                <w:tcPr>
                  <w:tcW w:w="6390" w:type="dxa"/>
                  <w:gridSpan w:val="4"/>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rFonts w:hAnsi="宋体"/>
                    </w:rPr>
                  </w:pPr>
                  <w:r>
                    <w:t>主要危险物质：</w:t>
                  </w:r>
                  <w:r>
                    <w:rPr>
                      <w:rFonts w:hint="eastAsia"/>
                    </w:rPr>
                    <w:t>液压油、冲压油、</w:t>
                  </w:r>
                  <w:r>
                    <w:t>废活性炭</w:t>
                  </w:r>
                  <w:r>
                    <w:rPr>
                      <w:rFonts w:hint="eastAsia"/>
                    </w:rPr>
                    <w:t>、废包装桶等</w:t>
                  </w:r>
                  <w:r>
                    <w:t>；</w:t>
                  </w:r>
                </w:p>
                <w:p>
                  <w:pPr>
                    <w:keepNext w:val="0"/>
                    <w:keepLines w:val="0"/>
                    <w:suppressLineNumbers w:val="0"/>
                    <w:adjustRightInd w:val="0"/>
                    <w:snapToGrid w:val="0"/>
                    <w:spacing w:before="0" w:beforeAutospacing="0" w:after="0" w:afterAutospacing="0"/>
                    <w:ind w:left="0" w:right="0"/>
                    <w:jc w:val="center"/>
                    <w:rPr>
                      <w:szCs w:val="21"/>
                    </w:rPr>
                  </w:pPr>
                  <w:r>
                    <w:t>分布情况：</w:t>
                  </w:r>
                  <w:r>
                    <w:rPr>
                      <w:rFonts w:hint="eastAsia"/>
                    </w:rPr>
                    <w:t>仓库、生产车间、</w:t>
                  </w:r>
                  <w:r>
                    <w:t>危废仓库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环境影响途径及危害后果（大气、地表水、地下水等）</w:t>
                  </w:r>
                </w:p>
              </w:tc>
              <w:tc>
                <w:tcPr>
                  <w:tcW w:w="6390" w:type="dxa"/>
                  <w:gridSpan w:val="4"/>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pPr>
                  <w:r>
                    <w:rPr>
                      <w:rFonts w:hint="eastAsia"/>
                    </w:rPr>
                    <w:t>仓库内暂存液压油、冲压油等，</w:t>
                  </w:r>
                  <w:r>
                    <w:t>危废仓库中暂存废</w:t>
                  </w:r>
                  <w:r>
                    <w:rPr>
                      <w:rFonts w:hint="eastAsia"/>
                    </w:rPr>
                    <w:t>包装桶、废</w:t>
                  </w:r>
                  <w:r>
                    <w:rPr>
                      <w:rFonts w:hint="eastAsia"/>
                      <w:lang w:eastAsia="zh-CN"/>
                    </w:rPr>
                    <w:t>矿物油</w:t>
                  </w:r>
                  <w:r>
                    <w:rPr>
                      <w:rFonts w:hint="eastAsia"/>
                    </w:rPr>
                    <w:t>等，</w:t>
                  </w:r>
                  <w:r>
                    <w:t>若遇明火或高热，会发生火灾爆炸事故，危害从业人员的身体健康，并会对周围地表水体、大气造成一定的影响</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5"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风险防范措施要求</w:t>
                  </w:r>
                </w:p>
              </w:tc>
              <w:tc>
                <w:tcPr>
                  <w:tcW w:w="6390" w:type="dxa"/>
                  <w:gridSpan w:val="4"/>
                  <w:tcBorders>
                    <w:top w:val="single" w:color="auto" w:sz="4" w:space="0"/>
                    <w:left w:val="single" w:color="auto" w:sz="4" w:space="0"/>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t>设置专人定期检查车间、仓库及危废仓库内的暂存情况；加强车间通风；定期检查厂内各风险防范措施的完善情况，设置应急物资，建立健全应急防范机制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05" w:type="dxa"/>
                  <w:gridSpan w:val="5"/>
                  <w:tcBorders>
                    <w:top w:val="single" w:color="auto" w:sz="4" w:space="0"/>
                    <w:left w:val="nil"/>
                    <w:bottom w:val="single" w:color="auto" w:sz="12" w:space="0"/>
                    <w:right w:val="nil"/>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填表说明（列出相关信息及评价说明）：本项目</w:t>
                  </w:r>
                  <w:r>
                    <w:t>Q&lt;1</w:t>
                  </w:r>
                  <w:r>
                    <w:rPr>
                      <w:rFonts w:hAnsi="宋体"/>
                    </w:rPr>
                    <w:t>，环境风险势能直接</w:t>
                  </w:r>
                  <w:r>
                    <w:t>判断为</w:t>
                  </w:r>
                  <w:r>
                    <w:rPr>
                      <w:rFonts w:hAnsi="宋体"/>
                    </w:rPr>
                    <w:t>Ⅰ</w:t>
                  </w:r>
                  <w:r>
                    <w:t>等级</w:t>
                  </w:r>
                </w:p>
              </w:tc>
            </w:tr>
          </w:tbl>
          <w:p>
            <w:pPr>
              <w:keepNext w:val="0"/>
              <w:keepLines w:val="0"/>
              <w:suppressLineNumbers w:val="0"/>
              <w:adjustRightInd w:val="0"/>
              <w:snapToGrid w:val="0"/>
              <w:spacing w:before="0" w:beforeAutospacing="0" w:after="0" w:afterAutospacing="0" w:line="360" w:lineRule="auto"/>
              <w:ind w:left="0" w:right="0"/>
              <w:rPr>
                <w:b/>
                <w:bCs/>
                <w:sz w:val="24"/>
              </w:rPr>
            </w:pPr>
            <w:r>
              <w:rPr>
                <w:rFonts w:hint="eastAsia"/>
                <w:b/>
                <w:bCs/>
                <w:sz w:val="24"/>
              </w:rPr>
              <w:t>9、电磁辐射</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bCs/>
                <w:sz w:val="24"/>
                <w:szCs w:val="22"/>
                <w:lang w:eastAsia="zh-CN"/>
              </w:rPr>
            </w:pPr>
            <w:r>
              <w:rPr>
                <w:rFonts w:hint="eastAsia"/>
                <w:bCs/>
                <w:sz w:val="24"/>
                <w:szCs w:val="22"/>
              </w:rPr>
              <w:t>本项目不涉及电磁辐射</w:t>
            </w:r>
            <w:r>
              <w:rPr>
                <w:rFonts w:hint="eastAsia"/>
                <w:bCs/>
                <w:sz w:val="24"/>
                <w:szCs w:val="22"/>
                <w:lang w:eastAsia="zh-CN"/>
              </w:rPr>
              <w:t>。</w:t>
            </w:r>
          </w:p>
          <w:p>
            <w:pPr>
              <w:pStyle w:val="2"/>
              <w:rPr>
                <w:rFonts w:hint="eastAsia"/>
                <w:bCs/>
                <w:sz w:val="24"/>
                <w:szCs w:val="22"/>
                <w:lang w:eastAsia="zh-CN"/>
              </w:rPr>
            </w:pPr>
          </w:p>
          <w:p>
            <w:pPr>
              <w:pStyle w:val="2"/>
              <w:rPr>
                <w:rFonts w:hint="eastAsia"/>
                <w:bCs/>
                <w:sz w:val="24"/>
                <w:szCs w:val="22"/>
                <w:lang w:eastAsia="zh-CN"/>
              </w:rPr>
            </w:pPr>
          </w:p>
          <w:p>
            <w:pPr>
              <w:keepNext w:val="0"/>
              <w:keepLines w:val="0"/>
              <w:suppressLineNumbers w:val="0"/>
              <w:adjustRightInd w:val="0"/>
              <w:snapToGrid w:val="0"/>
              <w:spacing w:before="0" w:beforeAutospacing="0" w:after="0" w:afterAutospacing="0" w:line="360" w:lineRule="auto"/>
              <w:ind w:left="0" w:right="0" w:firstLine="420" w:firstLineChars="200"/>
            </w:pPr>
          </w:p>
        </w:tc>
      </w:tr>
    </w:tbl>
    <w:p>
      <w:pPr>
        <w:adjustRightInd w:val="0"/>
        <w:snapToGrid w:val="0"/>
        <w:spacing w:line="360" w:lineRule="auto"/>
        <w:rPr>
          <w:rFonts w:ascii="宋体" w:cs="宋体"/>
          <w:b/>
          <w:kern w:val="0"/>
          <w:sz w:val="28"/>
          <w:szCs w:val="28"/>
        </w:rPr>
        <w:sectPr>
          <w:pgSz w:w="11907" w:h="16840"/>
          <w:pgMar w:top="1701" w:right="1531" w:bottom="2127" w:left="1531" w:header="851" w:footer="851" w:gutter="0"/>
          <w:cols w:space="720" w:num="1"/>
          <w:docGrid w:linePitch="312" w:charSpace="0"/>
        </w:sectPr>
      </w:pPr>
    </w:p>
    <w:p>
      <w:pPr>
        <w:pStyle w:val="18"/>
        <w:spacing w:before="0" w:beforeAutospacing="0" w:after="0" w:afterAutospacing="0"/>
        <w:jc w:val="center"/>
        <w:outlineLvl w:val="0"/>
        <w:rPr>
          <w:rFonts w:ascii="黑体" w:hAnsi="黑体" w:eastAsia="黑体"/>
          <w:snapToGrid w:val="0"/>
          <w:sz w:val="30"/>
          <w:szCs w:val="30"/>
        </w:rPr>
      </w:pPr>
      <w:bookmarkStart w:id="6" w:name="_Toc6607"/>
      <w:r>
        <w:rPr>
          <w:rFonts w:hint="eastAsia" w:ascii="黑体" w:hAnsi="黑体" w:eastAsia="黑体"/>
          <w:snapToGrid w:val="0"/>
          <w:sz w:val="30"/>
          <w:szCs w:val="30"/>
        </w:rPr>
        <w:t>五、</w:t>
      </w:r>
      <w:bookmarkStart w:id="7" w:name="_Hlk54167917"/>
      <w:r>
        <w:rPr>
          <w:rFonts w:hint="eastAsia" w:ascii="黑体" w:hAnsi="黑体" w:eastAsia="黑体"/>
          <w:snapToGrid w:val="0"/>
          <w:sz w:val="30"/>
          <w:szCs w:val="30"/>
        </w:rPr>
        <w:t>环境保护措施监督检查清单</w:t>
      </w:r>
      <w:bookmarkEnd w:id="6"/>
      <w:bookmarkEnd w:id="7"/>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567"/>
        <w:gridCol w:w="1134"/>
        <w:gridCol w:w="1417"/>
        <w:gridCol w:w="2126"/>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tcBorders>
              <w:tl2br w:val="single" w:color="auto" w:sz="4" w:space="0"/>
            </w:tcBorders>
          </w:tcPr>
          <w:p>
            <w:pPr>
              <w:keepNext w:val="0"/>
              <w:keepLines w:val="0"/>
              <w:suppressLineNumbers w:val="0"/>
              <w:adjustRightInd w:val="0"/>
              <w:snapToGrid w:val="0"/>
              <w:spacing w:before="0" w:beforeAutospacing="0" w:after="0" w:afterAutospacing="0"/>
              <w:ind w:left="0" w:right="0" w:firstLine="840"/>
              <w:rPr>
                <w:szCs w:val="21"/>
              </w:rPr>
            </w:pPr>
            <w:r>
              <w:rPr>
                <w:rFonts w:hAnsi="宋体"/>
                <w:szCs w:val="21"/>
              </w:rPr>
              <w:t>内容</w:t>
            </w:r>
          </w:p>
          <w:p>
            <w:pPr>
              <w:keepNext w:val="0"/>
              <w:keepLines w:val="0"/>
              <w:suppressLineNumbers w:val="0"/>
              <w:adjustRightInd w:val="0"/>
              <w:snapToGrid w:val="0"/>
              <w:spacing w:before="0" w:beforeAutospacing="0" w:after="0" w:afterAutospacing="0"/>
              <w:ind w:left="0" w:right="0"/>
              <w:rPr>
                <w:szCs w:val="21"/>
              </w:rPr>
            </w:pPr>
            <w:r>
              <w:rPr>
                <w:rFonts w:hAnsi="宋体"/>
                <w:szCs w:val="21"/>
              </w:rPr>
              <w:t>要素</w:t>
            </w:r>
          </w:p>
        </w:tc>
        <w:tc>
          <w:tcPr>
            <w:tcW w:w="1701" w:type="dxa"/>
            <w:gridSpan w:val="2"/>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排放口</w:t>
            </w:r>
            <w:r>
              <w:rPr>
                <w:rFonts w:hint="eastAsia"/>
                <w:szCs w:val="21"/>
                <w:lang w:eastAsia="zh-CN"/>
              </w:rPr>
              <w:t>（</w:t>
            </w:r>
            <w:r>
              <w:rPr>
                <w:rFonts w:hAnsi="宋体"/>
                <w:szCs w:val="21"/>
              </w:rPr>
              <w:t>编号、名称</w:t>
            </w:r>
            <w:r>
              <w:rPr>
                <w:rFonts w:hint="eastAsia" w:hAnsi="宋体"/>
                <w:szCs w:val="21"/>
                <w:lang w:eastAsia="zh-CN"/>
              </w:rPr>
              <w:t>）</w:t>
            </w:r>
            <w:r>
              <w:rPr>
                <w:szCs w:val="21"/>
              </w:rPr>
              <w:t>/</w:t>
            </w:r>
            <w:r>
              <w:rPr>
                <w:rFonts w:hAnsi="宋体"/>
                <w:szCs w:val="21"/>
              </w:rPr>
              <w:t>污染源</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污染物项目</w:t>
            </w:r>
          </w:p>
        </w:tc>
        <w:tc>
          <w:tcPr>
            <w:tcW w:w="2126"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环境保护措施</w:t>
            </w:r>
          </w:p>
        </w:tc>
        <w:tc>
          <w:tcPr>
            <w:tcW w:w="201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38"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大气环境</w:t>
            </w:r>
          </w:p>
        </w:tc>
        <w:tc>
          <w:tcPr>
            <w:tcW w:w="567" w:type="dxa"/>
            <w:vMerge w:val="restart"/>
            <w:tcBorders>
              <w:right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rFonts w:hAnsi="宋体"/>
              </w:rPr>
              <w:t>有组织废气</w:t>
            </w:r>
          </w:p>
        </w:tc>
        <w:tc>
          <w:tcPr>
            <w:tcW w:w="1134" w:type="dxa"/>
            <w:tcBorders>
              <w:left w:val="single" w:color="auto" w:sz="4" w:space="0"/>
              <w:bottom w:val="single" w:color="auto" w:sz="4" w:space="0"/>
            </w:tcBorders>
            <w:vAlign w:val="center"/>
          </w:tcPr>
          <w:p>
            <w:pPr>
              <w:keepNext w:val="0"/>
              <w:keepLines w:val="0"/>
              <w:suppressLineNumbers w:val="0"/>
              <w:snapToGrid w:val="0"/>
              <w:spacing w:before="0" w:beforeAutospacing="0" w:after="0" w:afterAutospacing="0"/>
              <w:ind w:left="0" w:right="0"/>
              <w:jc w:val="center"/>
              <w:rPr>
                <w:szCs w:val="21"/>
              </w:rPr>
            </w:pPr>
            <w:r>
              <w:rPr>
                <w:szCs w:val="21"/>
              </w:rPr>
              <w:t>涂敷（FQ-1）</w:t>
            </w:r>
          </w:p>
        </w:tc>
        <w:tc>
          <w:tcPr>
            <w:tcW w:w="1417" w:type="dxa"/>
            <w:vAlign w:val="center"/>
          </w:tcPr>
          <w:p>
            <w:pPr>
              <w:keepNext w:val="0"/>
              <w:keepLines w:val="0"/>
              <w:suppressLineNumbers w:val="0"/>
              <w:snapToGrid w:val="0"/>
              <w:spacing w:before="0" w:beforeAutospacing="0" w:after="0" w:afterAutospacing="0"/>
              <w:ind w:left="0" w:right="0"/>
              <w:jc w:val="center"/>
              <w:rPr>
                <w:szCs w:val="21"/>
              </w:rPr>
            </w:pPr>
            <w:r>
              <w:t>粉尘</w:t>
            </w:r>
          </w:p>
        </w:tc>
        <w:tc>
          <w:tcPr>
            <w:tcW w:w="2126" w:type="dxa"/>
            <w:vAlign w:val="center"/>
          </w:tcPr>
          <w:p>
            <w:pPr>
              <w:keepNext w:val="0"/>
              <w:keepLines w:val="0"/>
              <w:suppressLineNumbers w:val="0"/>
              <w:snapToGrid w:val="0"/>
              <w:spacing w:before="0" w:beforeAutospacing="0" w:after="0" w:afterAutospacing="0"/>
              <w:ind w:left="0" w:right="0"/>
              <w:jc w:val="center"/>
              <w:rPr>
                <w:color w:val="000000"/>
                <w:szCs w:val="21"/>
                <w:highlight w:val="yellow"/>
              </w:rPr>
            </w:pPr>
            <w:r>
              <w:rPr>
                <w:rFonts w:hint="eastAsia"/>
                <w:szCs w:val="21"/>
              </w:rPr>
              <w:t>经设备自带的旋风分离塔+二级滤芯除尘器处理后通过1根15米高排气筒（FQ-1）排放</w:t>
            </w:r>
          </w:p>
        </w:tc>
        <w:tc>
          <w:tcPr>
            <w:tcW w:w="2018" w:type="dxa"/>
            <w:vMerge w:val="restart"/>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rPr>
              <w:t>《大气污染物综合排放标准》（DB32/4041-2021）表1标准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567" w:type="dxa"/>
            <w:vMerge w:val="continue"/>
            <w:tcBorders>
              <w:right w:val="single" w:color="auto" w:sz="4" w:space="0"/>
            </w:tcBorders>
            <w:vAlign w:val="center"/>
          </w:tcPr>
          <w:p>
            <w:pPr>
              <w:keepNext w:val="0"/>
              <w:keepLines w:val="0"/>
              <w:suppressLineNumbers w:val="0"/>
              <w:snapToGrid w:val="0"/>
              <w:spacing w:before="0" w:beforeAutospacing="0" w:after="0" w:afterAutospacing="0"/>
              <w:ind w:left="0" w:right="0"/>
              <w:jc w:val="center"/>
            </w:pPr>
          </w:p>
        </w:tc>
        <w:tc>
          <w:tcPr>
            <w:tcW w:w="1134" w:type="dxa"/>
            <w:tcBorders>
              <w:left w:val="single" w:color="auto" w:sz="4" w:space="0"/>
            </w:tcBorders>
            <w:vAlign w:val="center"/>
          </w:tcPr>
          <w:p>
            <w:pPr>
              <w:keepNext w:val="0"/>
              <w:keepLines w:val="0"/>
              <w:suppressLineNumbers w:val="0"/>
              <w:snapToGrid w:val="0"/>
              <w:spacing w:before="0" w:beforeAutospacing="0" w:after="0" w:afterAutospacing="0"/>
              <w:ind w:left="0" w:right="0"/>
              <w:jc w:val="center"/>
              <w:rPr>
                <w:rFonts w:hint="eastAsia" w:eastAsia="宋体"/>
                <w:lang w:eastAsia="zh-CN"/>
              </w:rPr>
            </w:pPr>
            <w:r>
              <w:rPr>
                <w:szCs w:val="21"/>
              </w:rPr>
              <w:t>固化</w:t>
            </w:r>
            <w:r>
              <w:rPr>
                <w:rFonts w:hint="eastAsia"/>
                <w:szCs w:val="21"/>
                <w:lang w:eastAsia="zh-CN"/>
              </w:rPr>
              <w:t>、</w:t>
            </w:r>
            <w:r>
              <w:rPr>
                <w:rFonts w:hAnsi="宋体"/>
              </w:rPr>
              <w:t>注塑成型</w:t>
            </w:r>
            <w:r>
              <w:rPr>
                <w:rFonts w:hint="eastAsia" w:hAnsi="宋体"/>
                <w:lang w:eastAsia="zh-CN"/>
              </w:rPr>
              <w:t>（</w:t>
            </w:r>
            <w:r>
              <w:t>FQ-1</w:t>
            </w:r>
            <w:r>
              <w:rPr>
                <w:rFonts w:hint="eastAsia"/>
                <w:lang w:eastAsia="zh-CN"/>
              </w:rPr>
              <w:t>）</w:t>
            </w:r>
          </w:p>
        </w:tc>
        <w:tc>
          <w:tcPr>
            <w:tcW w:w="1417" w:type="dxa"/>
            <w:vAlign w:val="center"/>
          </w:tcPr>
          <w:p>
            <w:pPr>
              <w:keepNext w:val="0"/>
              <w:keepLines w:val="0"/>
              <w:suppressLineNumbers w:val="0"/>
              <w:snapToGrid w:val="0"/>
              <w:spacing w:before="0" w:beforeAutospacing="0" w:after="0" w:afterAutospacing="0"/>
              <w:ind w:left="0" w:right="0"/>
              <w:jc w:val="center"/>
            </w:pPr>
            <w:r>
              <w:t>非甲烷总烃</w:t>
            </w:r>
          </w:p>
        </w:tc>
        <w:tc>
          <w:tcPr>
            <w:tcW w:w="2126" w:type="dxa"/>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经二级活性炭吸附处理后通过1根15米高排气筒（FQ-1）排放</w:t>
            </w:r>
          </w:p>
        </w:tc>
        <w:tc>
          <w:tcPr>
            <w:tcW w:w="201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567" w:type="dxa"/>
            <w:vMerge w:val="continue"/>
            <w:tcBorders>
              <w:right w:val="single" w:color="auto" w:sz="4" w:space="0"/>
            </w:tcBorders>
            <w:vAlign w:val="center"/>
          </w:tcPr>
          <w:p>
            <w:pPr>
              <w:keepNext w:val="0"/>
              <w:keepLines w:val="0"/>
              <w:suppressLineNumbers w:val="0"/>
              <w:snapToGrid w:val="0"/>
              <w:spacing w:before="0" w:beforeAutospacing="0" w:after="0" w:afterAutospacing="0"/>
              <w:ind w:left="0" w:right="0"/>
              <w:jc w:val="center"/>
            </w:pPr>
          </w:p>
        </w:tc>
        <w:tc>
          <w:tcPr>
            <w:tcW w:w="1134" w:type="dxa"/>
            <w:tcBorders>
              <w:top w:val="single" w:color="auto" w:sz="4" w:space="0"/>
              <w:left w:val="single" w:color="auto" w:sz="4" w:space="0"/>
            </w:tcBorders>
            <w:vAlign w:val="center"/>
          </w:tcPr>
          <w:p>
            <w:pPr>
              <w:keepNext w:val="0"/>
              <w:keepLines w:val="0"/>
              <w:suppressLineNumbers w:val="0"/>
              <w:snapToGrid w:val="0"/>
              <w:spacing w:before="0" w:beforeAutospacing="0" w:after="0" w:afterAutospacing="0"/>
              <w:ind w:left="0" w:right="0"/>
              <w:jc w:val="center"/>
              <w:rPr>
                <w:rFonts w:hAnsi="宋体"/>
              </w:rPr>
            </w:pPr>
            <w:r>
              <w:rPr>
                <w:rFonts w:hint="eastAsia" w:hAnsi="宋体"/>
              </w:rPr>
              <w:t>食堂（FQ-2）</w:t>
            </w:r>
          </w:p>
        </w:tc>
        <w:tc>
          <w:tcPr>
            <w:tcW w:w="1417" w:type="dxa"/>
            <w:vAlign w:val="center"/>
          </w:tcPr>
          <w:p>
            <w:pPr>
              <w:keepNext w:val="0"/>
              <w:keepLines w:val="0"/>
              <w:suppressLineNumbers w:val="0"/>
              <w:snapToGrid w:val="0"/>
              <w:spacing w:before="0" w:beforeAutospacing="0" w:after="0" w:afterAutospacing="0"/>
              <w:ind w:left="0" w:right="0"/>
              <w:jc w:val="center"/>
            </w:pPr>
            <w:r>
              <w:rPr>
                <w:rFonts w:hint="eastAsia"/>
              </w:rPr>
              <w:t>食堂油烟</w:t>
            </w:r>
          </w:p>
        </w:tc>
        <w:tc>
          <w:tcPr>
            <w:tcW w:w="2126" w:type="dxa"/>
            <w:vAlign w:val="center"/>
          </w:tcPr>
          <w:p>
            <w:pPr>
              <w:keepNext w:val="0"/>
              <w:keepLines w:val="0"/>
              <w:suppressLineNumbers w:val="0"/>
              <w:snapToGrid w:val="0"/>
              <w:spacing w:before="0" w:beforeAutospacing="0" w:after="0" w:afterAutospacing="0"/>
              <w:ind w:left="0" w:right="0"/>
              <w:jc w:val="center"/>
              <w:rPr>
                <w:szCs w:val="21"/>
              </w:rPr>
            </w:pPr>
            <w:r>
              <w:rPr>
                <w:rFonts w:hint="eastAsia"/>
                <w:szCs w:val="21"/>
              </w:rPr>
              <w:t>经油烟净化装置处理后通过1根8米高排气筒（FQ-2）排放</w:t>
            </w:r>
          </w:p>
        </w:tc>
        <w:tc>
          <w:tcPr>
            <w:tcW w:w="2018"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701" w:type="dxa"/>
            <w:gridSpan w:val="2"/>
            <w:vMerge w:val="restart"/>
            <w:vAlign w:val="center"/>
          </w:tcPr>
          <w:p>
            <w:pPr>
              <w:keepNext w:val="0"/>
              <w:keepLines w:val="0"/>
              <w:suppressLineNumbers w:val="0"/>
              <w:snapToGrid w:val="0"/>
              <w:spacing w:before="0" w:beforeAutospacing="0" w:after="0" w:afterAutospacing="0"/>
              <w:ind w:left="0" w:right="0"/>
              <w:jc w:val="center"/>
              <w:rPr>
                <w:szCs w:val="21"/>
              </w:rPr>
            </w:pPr>
            <w:r>
              <w:rPr>
                <w:rFonts w:hAnsi="宋体"/>
              </w:rPr>
              <w:t>无组织废气</w:t>
            </w:r>
          </w:p>
        </w:tc>
        <w:tc>
          <w:tcPr>
            <w:tcW w:w="1417" w:type="dxa"/>
            <w:vAlign w:val="center"/>
          </w:tcPr>
          <w:p>
            <w:pPr>
              <w:keepNext w:val="0"/>
              <w:keepLines w:val="0"/>
              <w:suppressLineNumbers w:val="0"/>
              <w:snapToGrid w:val="0"/>
              <w:spacing w:before="0" w:beforeAutospacing="0" w:after="0" w:afterAutospacing="0"/>
              <w:ind w:left="0" w:right="0"/>
              <w:jc w:val="center"/>
              <w:rPr>
                <w:szCs w:val="21"/>
              </w:rPr>
            </w:pPr>
            <w:r>
              <w:rPr>
                <w:szCs w:val="21"/>
              </w:rPr>
              <w:t>非甲烷总烃（厂界）</w:t>
            </w:r>
          </w:p>
        </w:tc>
        <w:tc>
          <w:tcPr>
            <w:tcW w:w="2126" w:type="dxa"/>
            <w:vMerge w:val="restart"/>
            <w:vAlign w:val="center"/>
          </w:tcPr>
          <w:p>
            <w:pPr>
              <w:keepNext w:val="0"/>
              <w:keepLines w:val="0"/>
              <w:suppressLineNumbers w:val="0"/>
              <w:snapToGrid w:val="0"/>
              <w:spacing w:before="0" w:beforeAutospacing="0" w:after="0" w:afterAutospacing="0"/>
              <w:ind w:left="0" w:right="0"/>
              <w:jc w:val="center"/>
              <w:rPr>
                <w:szCs w:val="21"/>
              </w:rPr>
            </w:pPr>
            <w:r>
              <w:t>加强车间通风</w:t>
            </w:r>
          </w:p>
        </w:tc>
        <w:tc>
          <w:tcPr>
            <w:tcW w:w="2018" w:type="dxa"/>
            <w:vMerge w:val="restart"/>
            <w:tcBorders>
              <w:top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szCs w:val="21"/>
                <w:highlight w:val="yellow"/>
              </w:rPr>
            </w:pPr>
            <w:r>
              <w:rPr>
                <w:rFonts w:hint="eastAsia"/>
              </w:rPr>
              <w:t>《大气污染物综合排放标准》（DB32/4041-2021）表3标准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701" w:type="dxa"/>
            <w:gridSpan w:val="2"/>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7" w:type="dxa"/>
            <w:vAlign w:val="center"/>
          </w:tcPr>
          <w:p>
            <w:pPr>
              <w:keepNext w:val="0"/>
              <w:keepLines w:val="0"/>
              <w:suppressLineNumbers w:val="0"/>
              <w:snapToGrid w:val="0"/>
              <w:spacing w:before="0" w:beforeAutospacing="0" w:after="0" w:afterAutospacing="0"/>
              <w:ind w:left="0" w:right="0"/>
              <w:jc w:val="center"/>
              <w:rPr>
                <w:rFonts w:hint="eastAsia" w:eastAsia="宋体"/>
                <w:szCs w:val="21"/>
                <w:lang w:eastAsia="zh-CN"/>
              </w:rPr>
            </w:pPr>
            <w:r>
              <w:rPr>
                <w:rFonts w:hint="eastAsia"/>
                <w:szCs w:val="21"/>
                <w:lang w:eastAsia="zh-CN"/>
              </w:rPr>
              <w:t>颗粒物</w:t>
            </w:r>
          </w:p>
        </w:tc>
        <w:tc>
          <w:tcPr>
            <w:tcW w:w="2126"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2018" w:type="dxa"/>
            <w:vMerge w:val="continue"/>
            <w:vAlign w:val="center"/>
          </w:tcPr>
          <w:p>
            <w:pPr>
              <w:keepNext w:val="0"/>
              <w:keepLines w:val="0"/>
              <w:suppressLineNumbers w:val="0"/>
              <w:adjustRightInd w:val="0"/>
              <w:snapToGrid w:val="0"/>
              <w:spacing w:before="0" w:beforeAutospacing="0" w:after="0" w:afterAutospacing="0"/>
              <w:ind w:left="0" w:right="0"/>
              <w:jc w:val="center"/>
              <w:rPr>
                <w:rFonts w:eastAsiaTheme="min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701" w:type="dxa"/>
            <w:gridSpan w:val="2"/>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NMHC</w:t>
            </w:r>
          </w:p>
          <w:p>
            <w:pPr>
              <w:keepNext w:val="0"/>
              <w:keepLines w:val="0"/>
              <w:suppressLineNumbers w:val="0"/>
              <w:adjustRightInd w:val="0"/>
              <w:snapToGrid w:val="0"/>
              <w:spacing w:before="0" w:beforeAutospacing="0" w:after="0" w:afterAutospacing="0"/>
              <w:ind w:left="0" w:right="0"/>
              <w:jc w:val="center"/>
              <w:rPr>
                <w:szCs w:val="21"/>
              </w:rPr>
            </w:pPr>
            <w:r>
              <w:rPr>
                <w:szCs w:val="21"/>
              </w:rPr>
              <w:t>（厂区内）</w:t>
            </w:r>
          </w:p>
        </w:tc>
        <w:tc>
          <w:tcPr>
            <w:tcW w:w="2126"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2018" w:type="dxa"/>
            <w:tcBorders>
              <w:top w:val="single" w:color="auto" w:sz="2" w:space="0"/>
            </w:tcBorders>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rPr>
              <w:t>《大气污染物综合排放标准》（DB32/4041-2021）表</w:t>
            </w:r>
            <w:r>
              <w:rPr>
                <w:rFonts w:hint="eastAsia"/>
                <w:lang w:val="en-US" w:eastAsia="zh-CN"/>
              </w:rPr>
              <w:t>2</w:t>
            </w:r>
            <w:r>
              <w:rPr>
                <w:rFonts w:hint="eastAsi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701" w:type="dxa"/>
            <w:gridSpan w:val="2"/>
            <w:vMerge w:val="continue"/>
            <w:vAlign w:val="center"/>
          </w:tcPr>
          <w:p>
            <w:pPr>
              <w:keepNext w:val="0"/>
              <w:keepLines w:val="0"/>
              <w:suppressLineNumbers w:val="0"/>
              <w:adjustRightInd w:val="0"/>
              <w:snapToGrid w:val="0"/>
              <w:spacing w:before="0" w:beforeAutospacing="0" w:after="0" w:afterAutospacing="0"/>
              <w:ind w:left="0" w:right="0"/>
              <w:jc w:val="center"/>
              <w:rPr>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焊接烟尘</w:t>
            </w:r>
          </w:p>
        </w:tc>
        <w:tc>
          <w:tcPr>
            <w:tcW w:w="2126"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经移动式除尘器处理后在车间内无组织排放</w:t>
            </w:r>
          </w:p>
        </w:tc>
        <w:tc>
          <w:tcPr>
            <w:tcW w:w="2018" w:type="dxa"/>
            <w:vAlign w:val="center"/>
          </w:tcPr>
          <w:p>
            <w:pPr>
              <w:keepNext w:val="0"/>
              <w:keepLines w:val="0"/>
              <w:suppressLineNumbers w:val="0"/>
              <w:adjustRightInd w:val="0"/>
              <w:snapToGrid w:val="0"/>
              <w:spacing w:before="0" w:beforeAutospacing="0" w:after="0" w:afterAutospacing="0"/>
              <w:ind w:left="0" w:right="0"/>
              <w:jc w:val="center"/>
            </w:pPr>
            <w:r>
              <w:rPr>
                <w:szCs w:val="21"/>
              </w:rPr>
              <w:t>《大气污染物综合排放标准》（DB32/4041-2021）中表</w:t>
            </w:r>
            <w:r>
              <w:rPr>
                <w:rFonts w:hint="eastAsia"/>
                <w:szCs w:val="21"/>
                <w:lang w:val="en-US" w:eastAsia="zh-CN"/>
              </w:rPr>
              <w:t>3</w:t>
            </w: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地表水环境</w:t>
            </w:r>
          </w:p>
        </w:tc>
        <w:tc>
          <w:tcPr>
            <w:tcW w:w="1701" w:type="dxa"/>
            <w:gridSpan w:val="2"/>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rPr>
              <w:t>生活污水</w:t>
            </w:r>
            <w:r>
              <w:rPr>
                <w:rFonts w:hint="eastAsia" w:hAnsi="宋体"/>
              </w:rPr>
              <w:t>和食堂废水</w:t>
            </w:r>
          </w:p>
        </w:tc>
        <w:tc>
          <w:tcPr>
            <w:tcW w:w="1417" w:type="dxa"/>
            <w:vAlign w:val="center"/>
          </w:tcPr>
          <w:p>
            <w:pPr>
              <w:keepNext w:val="0"/>
              <w:keepLines w:val="0"/>
              <w:suppressLineNumbers w:val="0"/>
              <w:kinsoku w:val="0"/>
              <w:snapToGrid w:val="0"/>
              <w:spacing w:before="0" w:beforeAutospacing="0" w:after="0" w:afterAutospacing="0"/>
              <w:ind w:left="0" w:right="0"/>
              <w:jc w:val="center"/>
              <w:rPr>
                <w:szCs w:val="21"/>
              </w:rPr>
            </w:pPr>
            <w:r>
              <w:rPr>
                <w:szCs w:val="21"/>
              </w:rPr>
              <w:t>COD、SS、NH</w:t>
            </w:r>
            <w:r>
              <w:rPr>
                <w:szCs w:val="21"/>
                <w:vertAlign w:val="subscript"/>
              </w:rPr>
              <w:t>3</w:t>
            </w:r>
            <w:r>
              <w:rPr>
                <w:szCs w:val="21"/>
              </w:rPr>
              <w:t>-N、TP、TN、动植物油</w:t>
            </w:r>
          </w:p>
        </w:tc>
        <w:tc>
          <w:tcPr>
            <w:tcW w:w="2126" w:type="dxa"/>
            <w:vAlign w:val="center"/>
          </w:tcPr>
          <w:p>
            <w:pPr>
              <w:keepNext w:val="0"/>
              <w:keepLines w:val="0"/>
              <w:widowControl/>
              <w:suppressLineNumbers w:val="0"/>
              <w:snapToGrid w:val="0"/>
              <w:spacing w:before="0" w:beforeAutospacing="0" w:after="0" w:afterAutospacing="0"/>
              <w:ind w:left="0" w:right="0"/>
              <w:jc w:val="center"/>
              <w:rPr>
                <w:szCs w:val="21"/>
              </w:rPr>
            </w:pPr>
            <w:r>
              <w:rPr>
                <w:szCs w:val="21"/>
              </w:rPr>
              <w:t>食堂废水经隔油池处理后与生活污水接管进武南污水处理厂处理</w:t>
            </w:r>
          </w:p>
        </w:tc>
        <w:tc>
          <w:tcPr>
            <w:tcW w:w="201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符合《污水排入城镇下水道水质标准》（GB/T31962-2015）要求，达标排放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声环境</w:t>
            </w:r>
          </w:p>
        </w:tc>
        <w:tc>
          <w:tcPr>
            <w:tcW w:w="1701" w:type="dxa"/>
            <w:gridSpan w:val="2"/>
            <w:vAlign w:val="center"/>
          </w:tcPr>
          <w:p>
            <w:pPr>
              <w:keepNext w:val="0"/>
              <w:keepLines w:val="0"/>
              <w:suppressLineNumbers w:val="0"/>
              <w:spacing w:before="0" w:beforeAutospacing="0" w:after="0" w:afterAutospacing="0"/>
              <w:ind w:left="0" w:right="0"/>
              <w:jc w:val="center"/>
              <w:rPr>
                <w:szCs w:val="21"/>
              </w:rPr>
            </w:pPr>
            <w:r>
              <w:rPr>
                <w:szCs w:val="21"/>
              </w:rPr>
              <w:t>机械设备</w:t>
            </w:r>
          </w:p>
        </w:tc>
        <w:tc>
          <w:tcPr>
            <w:tcW w:w="1417" w:type="dxa"/>
            <w:vAlign w:val="center"/>
          </w:tcPr>
          <w:p>
            <w:pPr>
              <w:keepNext w:val="0"/>
              <w:keepLines w:val="0"/>
              <w:suppressLineNumbers w:val="0"/>
              <w:spacing w:before="0" w:beforeAutospacing="0" w:after="0" w:afterAutospacing="0"/>
              <w:ind w:left="0" w:right="0"/>
              <w:jc w:val="center"/>
              <w:rPr>
                <w:szCs w:val="21"/>
              </w:rPr>
            </w:pPr>
            <w:r>
              <w:rPr>
                <w:szCs w:val="21"/>
              </w:rPr>
              <w:t>噪声</w:t>
            </w:r>
          </w:p>
        </w:tc>
        <w:tc>
          <w:tcPr>
            <w:tcW w:w="2126" w:type="dxa"/>
            <w:vAlign w:val="center"/>
          </w:tcPr>
          <w:p>
            <w:pPr>
              <w:keepNext w:val="0"/>
              <w:keepLines w:val="0"/>
              <w:suppressLineNumbers w:val="0"/>
              <w:spacing w:before="0" w:beforeAutospacing="0" w:after="0" w:afterAutospacing="0"/>
              <w:ind w:left="0" w:right="0"/>
              <w:jc w:val="center"/>
              <w:rPr>
                <w:szCs w:val="21"/>
              </w:rPr>
            </w:pPr>
            <w:r>
              <w:rPr>
                <w:szCs w:val="21"/>
              </w:rPr>
              <w:t>合理布局、减振、厂房隔声、距离衰减等措施</w:t>
            </w:r>
          </w:p>
        </w:tc>
        <w:tc>
          <w:tcPr>
            <w:tcW w:w="201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电磁辐射</w:t>
            </w:r>
          </w:p>
        </w:tc>
        <w:tc>
          <w:tcPr>
            <w:tcW w:w="1701" w:type="dxa"/>
            <w:gridSpan w:val="2"/>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w:t>
            </w:r>
          </w:p>
        </w:tc>
        <w:tc>
          <w:tcPr>
            <w:tcW w:w="2126"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w:t>
            </w:r>
          </w:p>
        </w:tc>
        <w:tc>
          <w:tcPr>
            <w:tcW w:w="201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固体废物</w:t>
            </w:r>
          </w:p>
        </w:tc>
        <w:tc>
          <w:tcPr>
            <w:tcW w:w="7262" w:type="dxa"/>
            <w:gridSpan w:val="5"/>
            <w:vAlign w:val="center"/>
          </w:tcPr>
          <w:p>
            <w:pPr>
              <w:keepNext w:val="0"/>
              <w:keepLines w:val="0"/>
              <w:suppressLineNumbers w:val="0"/>
              <w:spacing w:before="0" w:beforeAutospacing="0" w:after="0" w:afterAutospacing="0"/>
              <w:ind w:left="0" w:right="0" w:firstLine="420" w:firstLineChars="200"/>
              <w:jc w:val="left"/>
            </w:pPr>
            <w:r>
              <w:rPr>
                <w:rFonts w:hint="eastAsia"/>
              </w:rPr>
              <w:t>（1）</w:t>
            </w:r>
            <w:r>
              <w:t>固废贮存场所（设施）污染防治措施：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pPr>
            <w:r>
              <w:t>本项目建设一般固废堆场和危险废物堆场各1处。一般工业固体废物按照《一般工业固体废物贮存和填埋污染控制标准》（GB18599-2020）中的相关规定执行；危废贮存场地按照《危险废物贮存污染控制标准》（GB18597-2001）及其修改单</w:t>
            </w:r>
            <w:r>
              <w:rPr>
                <w:rFonts w:hint="eastAsia"/>
                <w:color w:val="0000FF"/>
              </w:rPr>
              <w:t>、</w:t>
            </w:r>
            <w:r>
              <w:t>《省生态环境厅关于进一步加强危险废物污染防治工作的实施意见》（苏环办[2019]327号）</w:t>
            </w:r>
            <w:r>
              <w:rPr>
                <w:rFonts w:hint="eastAsia"/>
              </w:rPr>
              <w:t>、</w:t>
            </w:r>
            <w:r>
              <w:t>《省生态环境厅关于进一步加强危险废物环境管理工作的通知》（苏环办［2021］207号）的要求进行设计和建设。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pPr>
            <w:r>
              <w:rPr>
                <w:rFonts w:hint="eastAsia"/>
              </w:rPr>
              <w:t>（2）</w:t>
            </w:r>
            <w:r>
              <w:t>运输过程的污染防治措施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jc w:val="left"/>
              <w:textAlignment w:val="auto"/>
            </w:pPr>
            <w:r>
              <w:t>危险废物必须及时运送至有资质的单位处置，运输过程必须符合国家及江苏省对危险废物的运输要求；从事危险废物收集、贮存、运输经营活动的单位应具有危险废物经营许可证，并按照其许可证的经营范围组织实施；承担危险废物运输的单位应获得交通运输部门颁发的危险货物运输资质。</w:t>
            </w:r>
          </w:p>
          <w:p>
            <w:pPr>
              <w:keepNext w:val="0"/>
              <w:keepLines w:val="0"/>
              <w:suppressLineNumbers w:val="0"/>
              <w:adjustRightInd w:val="0"/>
              <w:snapToGrid w:val="0"/>
              <w:spacing w:before="0" w:beforeAutospacing="0" w:after="0" w:afterAutospacing="0"/>
              <w:ind w:left="0" w:right="0" w:firstLine="420" w:firstLineChars="200"/>
              <w:jc w:val="left"/>
            </w:pPr>
            <w:r>
              <w:rPr>
                <w:rFonts w:hint="eastAsia"/>
              </w:rPr>
              <w:t>（3）</w:t>
            </w:r>
            <w:r>
              <w:t>固体废物处理处置方案</w:t>
            </w:r>
          </w:p>
          <w:p>
            <w:pPr>
              <w:keepNext w:val="0"/>
              <w:keepLines w:val="0"/>
              <w:suppressLineNumbers w:val="0"/>
              <w:adjustRightInd w:val="0"/>
              <w:snapToGrid w:val="0"/>
              <w:spacing w:before="0" w:beforeAutospacing="0" w:after="0" w:afterAutospacing="0"/>
              <w:ind w:left="0" w:right="0" w:firstLine="420" w:firstLineChars="200"/>
              <w:rPr>
                <w:sz w:val="21"/>
                <w:szCs w:val="21"/>
              </w:rPr>
            </w:pPr>
            <w:r>
              <w:t>一般固废：</w:t>
            </w:r>
            <w:r>
              <w:rPr>
                <w:rFonts w:hint="eastAsia"/>
                <w:sz w:val="21"/>
                <w:szCs w:val="21"/>
              </w:rPr>
              <w:t>废包装袋、不合格品、边角料、废滤芯</w:t>
            </w:r>
            <w:r>
              <w:rPr>
                <w:rFonts w:hint="eastAsia"/>
                <w:sz w:val="21"/>
                <w:szCs w:val="21"/>
                <w:lang w:eastAsia="zh-CN"/>
              </w:rPr>
              <w:t>、塑料边角料、收集粉尘（焊接）</w:t>
            </w:r>
            <w:r>
              <w:rPr>
                <w:rFonts w:hint="eastAsia"/>
                <w:sz w:val="21"/>
                <w:szCs w:val="21"/>
              </w:rPr>
              <w:t>收集后外售综合利用</w:t>
            </w:r>
            <w:r>
              <w:rPr>
                <w:rFonts w:hint="eastAsia"/>
                <w:sz w:val="21"/>
                <w:szCs w:val="21"/>
                <w:lang w:eastAsia="zh-CN"/>
              </w:rPr>
              <w:t>；</w:t>
            </w:r>
            <w:r>
              <w:rPr>
                <w:rFonts w:hint="eastAsia"/>
                <w:sz w:val="21"/>
                <w:szCs w:val="21"/>
              </w:rPr>
              <w:t>收集粉尘</w:t>
            </w:r>
            <w:r>
              <w:rPr>
                <w:rFonts w:hint="eastAsia"/>
                <w:sz w:val="21"/>
                <w:szCs w:val="21"/>
                <w:lang w:eastAsia="zh-CN"/>
              </w:rPr>
              <w:t>（涂敷）收集后</w:t>
            </w:r>
            <w:r>
              <w:rPr>
                <w:rFonts w:hint="eastAsia"/>
                <w:sz w:val="21"/>
                <w:szCs w:val="21"/>
              </w:rPr>
              <w:t>回用于生产；</w:t>
            </w:r>
            <w:r>
              <w:rPr>
                <w:rFonts w:hint="eastAsia" w:ascii="宋体" w:hAnsi="宋体" w:cs="宋体"/>
                <w:sz w:val="21"/>
                <w:szCs w:val="21"/>
              </w:rPr>
              <w:t>餐厨垃圾委托专业单位集中处理；</w:t>
            </w:r>
          </w:p>
          <w:p>
            <w:pPr>
              <w:keepNext w:val="0"/>
              <w:keepLines w:val="0"/>
              <w:suppressLineNumbers w:val="0"/>
              <w:adjustRightInd w:val="0"/>
              <w:snapToGrid w:val="0"/>
              <w:spacing w:before="0" w:beforeAutospacing="0" w:after="0" w:afterAutospacing="0"/>
              <w:ind w:left="0" w:right="0" w:firstLine="420" w:firstLineChars="200"/>
            </w:pPr>
            <w:r>
              <w:rPr>
                <w:rFonts w:hint="eastAsia"/>
              </w:rPr>
              <w:t>危险废物：废活性炭、废包装桶、废</w:t>
            </w:r>
            <w:r>
              <w:rPr>
                <w:rFonts w:hint="eastAsia"/>
                <w:lang w:eastAsia="zh-CN"/>
              </w:rPr>
              <w:t>矿物油</w:t>
            </w:r>
            <w:r>
              <w:rPr>
                <w:rFonts w:hint="eastAsia"/>
              </w:rPr>
              <w:t>收集后委托有资质单位处置；含油抹布手套委托环卫清运；</w:t>
            </w:r>
          </w:p>
          <w:p>
            <w:pPr>
              <w:keepNext w:val="0"/>
              <w:keepLines w:val="0"/>
              <w:suppressLineNumbers w:val="0"/>
              <w:adjustRightInd w:val="0"/>
              <w:snapToGrid w:val="0"/>
              <w:spacing w:before="0" w:beforeAutospacing="0" w:after="0" w:afterAutospacing="0"/>
              <w:ind w:left="0" w:right="0" w:firstLine="420" w:firstLineChars="200"/>
            </w:pPr>
            <w:r>
              <w:t>生活垃圾：由环卫部门统一清运。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土壤及地下水</w:t>
            </w:r>
          </w:p>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污染防治措施</w:t>
            </w:r>
          </w:p>
        </w:tc>
        <w:tc>
          <w:tcPr>
            <w:tcW w:w="7262" w:type="dxa"/>
            <w:gridSpan w:val="5"/>
            <w:vAlign w:val="center"/>
          </w:tcPr>
          <w:p>
            <w:pPr>
              <w:keepNext w:val="0"/>
              <w:keepLines w:val="0"/>
              <w:suppressLineNumbers w:val="0"/>
              <w:adjustRightInd w:val="0"/>
              <w:snapToGrid w:val="0"/>
              <w:spacing w:before="0" w:beforeAutospacing="0" w:after="0" w:afterAutospacing="0"/>
              <w:ind w:left="0" w:right="0" w:firstLine="420" w:firstLineChars="200"/>
              <w:rPr>
                <w:szCs w:val="21"/>
              </w:rPr>
            </w:pPr>
            <w:r>
              <w:rPr>
                <w:szCs w:val="21"/>
              </w:rPr>
              <w:t>危废</w:t>
            </w:r>
            <w:r>
              <w:rPr>
                <w:rFonts w:hint="eastAsia"/>
                <w:szCs w:val="21"/>
              </w:rPr>
              <w:t>仓库</w:t>
            </w:r>
            <w:r>
              <w:rPr>
                <w:szCs w:val="21"/>
              </w:rPr>
              <w:t>内地面、墙裙采用防腐、防渗处理，危废通过密闭的包装物包装后暂存在危废堆场内，定期委外处置，定期有专人巡视，故不会造成泄漏下渗，污染土壤、地下水。车间地面、应急池等进行硬化处理</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Ansi="宋体"/>
                <w:szCs w:val="21"/>
              </w:rPr>
              <w:t>生态保护措施</w:t>
            </w:r>
          </w:p>
        </w:tc>
        <w:tc>
          <w:tcPr>
            <w:tcW w:w="7262" w:type="dxa"/>
            <w:gridSpan w:val="5"/>
            <w:vAlign w:val="center"/>
          </w:tcPr>
          <w:p>
            <w:pPr>
              <w:keepNext w:val="0"/>
              <w:keepLines w:val="0"/>
              <w:suppressLineNumbers w:val="0"/>
              <w:adjustRightInd w:val="0"/>
              <w:snapToGrid w:val="0"/>
              <w:spacing w:before="0" w:beforeAutospacing="0" w:after="0" w:afterAutospacing="0"/>
              <w:ind w:left="0" w:right="0" w:firstLine="420" w:firstLineChars="200"/>
              <w:jc w:val="left"/>
            </w:pPr>
            <w:r>
              <w:t>根据《江苏省生态空间管控区域规划》（苏政发〔2020〕1号）和《省政府关于印发江苏省国家级生态保护红线规划的通知》（苏政发〔2018〕74号），不在常州市国家级生态保护红线和生态空间管控区域的保护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pacing w:val="-8"/>
                <w:szCs w:val="21"/>
              </w:rPr>
            </w:pPr>
            <w:r>
              <w:rPr>
                <w:rFonts w:hAnsi="宋体"/>
                <w:spacing w:val="-8"/>
                <w:szCs w:val="21"/>
              </w:rPr>
              <w:t>环境风险</w:t>
            </w:r>
          </w:p>
          <w:p>
            <w:pPr>
              <w:keepNext w:val="0"/>
              <w:keepLines w:val="0"/>
              <w:suppressLineNumbers w:val="0"/>
              <w:adjustRightInd w:val="0"/>
              <w:snapToGrid w:val="0"/>
              <w:spacing w:before="0" w:beforeAutospacing="0" w:after="0" w:afterAutospacing="0"/>
              <w:ind w:left="0" w:right="0"/>
              <w:jc w:val="center"/>
              <w:rPr>
                <w:spacing w:val="-8"/>
                <w:szCs w:val="21"/>
              </w:rPr>
            </w:pPr>
            <w:r>
              <w:rPr>
                <w:rFonts w:hAnsi="宋体"/>
                <w:spacing w:val="-8"/>
                <w:szCs w:val="21"/>
              </w:rPr>
              <w:t>防范措施</w:t>
            </w:r>
          </w:p>
        </w:tc>
        <w:tc>
          <w:tcPr>
            <w:tcW w:w="7262" w:type="dxa"/>
            <w:gridSpan w:val="5"/>
            <w:vAlign w:val="center"/>
          </w:tcPr>
          <w:p>
            <w:pPr>
              <w:keepNext w:val="0"/>
              <w:keepLines w:val="0"/>
              <w:suppressLineNumbers w:val="0"/>
              <w:adjustRightInd w:val="0"/>
              <w:snapToGrid w:val="0"/>
              <w:spacing w:before="0" w:beforeAutospacing="0" w:after="0" w:afterAutospacing="0"/>
              <w:ind w:left="0" w:right="0" w:firstLine="420" w:firstLineChars="200"/>
              <w:rPr>
                <w:szCs w:val="21"/>
              </w:rPr>
            </w:pPr>
            <w:r>
              <w:rPr>
                <w:szCs w:val="21"/>
              </w:rPr>
              <w:t>1、建立健全各种有关消防与安全生产的规章制度，建立岗位责任制。仓库、生产车间严禁明火，禁火区设置明显标志牌。</w:t>
            </w:r>
          </w:p>
          <w:p>
            <w:pPr>
              <w:keepNext w:val="0"/>
              <w:keepLines w:val="0"/>
              <w:suppressLineNumbers w:val="0"/>
              <w:adjustRightInd w:val="0"/>
              <w:snapToGrid w:val="0"/>
              <w:spacing w:before="0" w:beforeAutospacing="0" w:after="0" w:afterAutospacing="0"/>
              <w:ind w:left="0" w:right="0" w:firstLine="420" w:firstLineChars="200"/>
              <w:rPr>
                <w:szCs w:val="21"/>
              </w:rPr>
            </w:pPr>
            <w:r>
              <w:rPr>
                <w:szCs w:val="21"/>
              </w:rPr>
              <w:t>2、配置足量的灭火器及室内消防箱等消防设施，由专人保管和监护，并保持完好状态。</w:t>
            </w:r>
          </w:p>
          <w:p>
            <w:pPr>
              <w:keepNext w:val="0"/>
              <w:keepLines w:val="0"/>
              <w:suppressLineNumbers w:val="0"/>
              <w:adjustRightInd w:val="0"/>
              <w:snapToGrid w:val="0"/>
              <w:spacing w:before="0" w:beforeAutospacing="0" w:after="0" w:afterAutospacing="0"/>
              <w:ind w:left="0" w:right="0" w:firstLine="420" w:firstLineChars="200"/>
              <w:rPr>
                <w:szCs w:val="21"/>
              </w:rPr>
            </w:pPr>
            <w:r>
              <w:rPr>
                <w:szCs w:val="21"/>
              </w:rPr>
              <w:t>3、进行定期的培训和训练。对有火灾危险的场所设置自动报警系统，一旦发生火灾，立即做出应急反应。</w:t>
            </w:r>
          </w:p>
          <w:p>
            <w:pPr>
              <w:keepNext w:val="0"/>
              <w:keepLines w:val="0"/>
              <w:suppressLineNumbers w:val="0"/>
              <w:adjustRightInd w:val="0"/>
              <w:snapToGrid w:val="0"/>
              <w:spacing w:before="0" w:beforeAutospacing="0" w:after="0" w:afterAutospacing="0"/>
              <w:ind w:left="0" w:right="0" w:firstLine="420" w:firstLineChars="200"/>
              <w:rPr>
                <w:szCs w:val="21"/>
              </w:rPr>
            </w:pPr>
            <w:r>
              <w:rPr>
                <w:szCs w:val="21"/>
              </w:rPr>
              <w:t>4、危废仓库设置监控系统。在库的出入口、内部等关键位置安装视频监控设施，进行实时监控，并与中控室联网</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1538" w:type="dxa"/>
            <w:vAlign w:val="center"/>
          </w:tcPr>
          <w:p>
            <w:pPr>
              <w:keepNext w:val="0"/>
              <w:keepLines w:val="0"/>
              <w:suppressLineNumbers w:val="0"/>
              <w:adjustRightInd w:val="0"/>
              <w:snapToGrid w:val="0"/>
              <w:spacing w:before="0" w:beforeAutospacing="0" w:after="0" w:afterAutospacing="0"/>
              <w:ind w:left="0" w:right="0"/>
              <w:jc w:val="center"/>
              <w:rPr>
                <w:spacing w:val="-8"/>
                <w:szCs w:val="21"/>
              </w:rPr>
            </w:pPr>
            <w:r>
              <w:rPr>
                <w:rFonts w:hAnsi="宋体"/>
                <w:spacing w:val="-8"/>
                <w:szCs w:val="21"/>
              </w:rPr>
              <w:t>其他环境</w:t>
            </w:r>
          </w:p>
          <w:p>
            <w:pPr>
              <w:keepNext w:val="0"/>
              <w:keepLines w:val="0"/>
              <w:suppressLineNumbers w:val="0"/>
              <w:adjustRightInd w:val="0"/>
              <w:snapToGrid w:val="0"/>
              <w:spacing w:before="0" w:beforeAutospacing="0" w:after="0" w:afterAutospacing="0"/>
              <w:ind w:left="0" w:right="0"/>
              <w:jc w:val="center"/>
              <w:rPr>
                <w:spacing w:val="-8"/>
                <w:szCs w:val="21"/>
              </w:rPr>
            </w:pPr>
            <w:r>
              <w:rPr>
                <w:rFonts w:hAnsi="宋体"/>
                <w:spacing w:val="-8"/>
                <w:szCs w:val="21"/>
              </w:rPr>
              <w:t>管理要求</w:t>
            </w:r>
          </w:p>
        </w:tc>
        <w:tc>
          <w:tcPr>
            <w:tcW w:w="7262" w:type="dxa"/>
            <w:gridSpan w:val="5"/>
            <w:vAlign w:val="center"/>
          </w:tcPr>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（1）保持与环境保护主管机构的密切联系，及时了解国家、地方对本项目的有关环境保护的法律、法规</w:t>
            </w:r>
            <w:r>
              <w:rPr>
                <w:rFonts w:hint="eastAsia"/>
                <w:szCs w:val="21"/>
                <w:lang w:eastAsia="zh-CN"/>
              </w:rPr>
              <w:t>和其他</w:t>
            </w:r>
            <w:r>
              <w:rPr>
                <w:szCs w:val="21"/>
              </w:rPr>
              <w:t>要求，及时向环境保护主管机构反映与项目有关的污染因素、存在的问题、采取的污染控制对策等环境保护方面的内容，听取环境保护主管机构的批示意见；</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（2）及时将国家、地方与本项目环境保护有关的法律、法规</w:t>
            </w:r>
            <w:r>
              <w:rPr>
                <w:rFonts w:hint="eastAsia"/>
                <w:szCs w:val="21"/>
                <w:lang w:eastAsia="zh-CN"/>
              </w:rPr>
              <w:t>和其他</w:t>
            </w:r>
            <w:r>
              <w:rPr>
                <w:szCs w:val="21"/>
              </w:rPr>
              <w:t>要求向单位负责人汇报，及时向本单位有关机构、人员进行通报，组织职工进行环境保护方面的教育、培训，提高环保意识；</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（3）及时向单位负责人汇报与本项目有关的污染因素、存在问题、采取的污染控制对策、实施情况等，提出改进建议；</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（4）负责制定、监督实施本单位的有关环境保护管理规章制度，负责实施污染控制措施、管理污染治理设施，并进行详细的记录、以备检查；</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5）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（6）按《江苏省排污口设置及规范化整治管理办法》</w:t>
            </w:r>
            <w:r>
              <w:rPr>
                <w:rFonts w:hint="eastAsia"/>
                <w:szCs w:val="21"/>
                <w:lang w:eastAsia="zh-CN"/>
              </w:rPr>
              <w:t>（</w:t>
            </w:r>
            <w:r>
              <w:rPr>
                <w:szCs w:val="21"/>
              </w:rPr>
              <w:t>苏环控[97]122号</w:t>
            </w:r>
            <w:r>
              <w:rPr>
                <w:rFonts w:hint="eastAsia"/>
                <w:szCs w:val="21"/>
                <w:lang w:eastAsia="zh-CN"/>
              </w:rPr>
              <w:t>）</w:t>
            </w:r>
            <w:r>
              <w:rPr>
                <w:szCs w:val="21"/>
              </w:rPr>
              <w:t>要求，对废气排口、固定噪声污染源、固废临时堆场进行规范化设置。</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szCs w:val="21"/>
              </w:rPr>
              <w:t>（7）根据《企业事业单位环境信息公开办法》（环境保护部令第31号）及《关于印发排污许可证管理暂行规定的通知》（环水体[2016]186号）要求，向社会公开如下信息：</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rFonts w:hint="eastAsia" w:ascii="宋体" w:hAnsi="宋体" w:cs="宋体"/>
                <w:szCs w:val="21"/>
              </w:rPr>
              <w:t>①</w:t>
            </w:r>
            <w:r>
              <w:rPr>
                <w:szCs w:val="21"/>
              </w:rPr>
              <w:t>基础信息，包括单位名称、组织机构代码、法定代表人、生产地址、联系方式，以及生产经营和管理服务的主要内容、产品及规模；</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rFonts w:hint="eastAsia" w:ascii="宋体" w:hAnsi="宋体" w:cs="宋体"/>
                <w:szCs w:val="21"/>
              </w:rPr>
              <w:t>②</w:t>
            </w:r>
            <w:r>
              <w:rPr>
                <w:szCs w:val="21"/>
              </w:rPr>
              <w:t>排污信息，包括主要污染物及特征污染物的名称、排放方式、排放口数量和分布情况、排放浓度和总量、超标情况，以及执行的污染物排放标准、核定的排放总量；</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rFonts w:hint="eastAsia" w:ascii="宋体" w:hAnsi="宋体" w:cs="宋体"/>
                <w:szCs w:val="21"/>
              </w:rPr>
              <w:t>③</w:t>
            </w:r>
            <w:r>
              <w:rPr>
                <w:szCs w:val="21"/>
              </w:rPr>
              <w:t>防治污染设施的建设和运行情况；</w:t>
            </w:r>
          </w:p>
          <w:p>
            <w:pPr>
              <w:keepNext w:val="0"/>
              <w:keepLines w:val="0"/>
              <w:suppressLineNumbers w:val="0"/>
              <w:adjustRightInd w:val="0"/>
              <w:snapToGrid w:val="0"/>
              <w:spacing w:before="0" w:beforeAutospacing="0" w:after="0" w:afterAutospacing="0"/>
              <w:ind w:left="0" w:right="0" w:firstLine="420" w:firstLineChars="200"/>
              <w:jc w:val="left"/>
              <w:rPr>
                <w:szCs w:val="21"/>
              </w:rPr>
            </w:pPr>
            <w:r>
              <w:rPr>
                <w:rFonts w:hint="eastAsia" w:ascii="宋体" w:hAnsi="宋体" w:cs="宋体"/>
                <w:szCs w:val="21"/>
              </w:rPr>
              <w:t>④</w:t>
            </w:r>
            <w:r>
              <w:rPr>
                <w:szCs w:val="21"/>
              </w:rPr>
              <w:t>建设项目环境影响评价及其他环境保护行政许可情况；</w:t>
            </w:r>
          </w:p>
          <w:p>
            <w:pPr>
              <w:keepNext w:val="0"/>
              <w:keepLines w:val="0"/>
              <w:suppressLineNumbers w:val="0"/>
              <w:adjustRightInd w:val="0"/>
              <w:snapToGrid w:val="0"/>
              <w:spacing w:before="0" w:beforeAutospacing="0" w:after="0" w:afterAutospacing="0"/>
              <w:ind w:left="0" w:right="0" w:firstLine="420" w:firstLineChars="200"/>
              <w:rPr>
                <w:szCs w:val="21"/>
              </w:rPr>
            </w:pPr>
            <w:r>
              <w:rPr>
                <w:rFonts w:hint="eastAsia" w:ascii="宋体" w:hAnsi="宋体" w:cs="宋体"/>
                <w:szCs w:val="21"/>
              </w:rPr>
              <w:t>⑤</w:t>
            </w:r>
            <w:r>
              <w:rPr>
                <w:szCs w:val="21"/>
              </w:rPr>
              <w:t>编制突发环境事件应急预案。</w:t>
            </w:r>
          </w:p>
        </w:tc>
      </w:tr>
    </w:tbl>
    <w:p>
      <w:pPr>
        <w:pStyle w:val="18"/>
        <w:spacing w:before="0" w:beforeAutospacing="0" w:after="0" w:afterAutospacing="0"/>
        <w:jc w:val="center"/>
        <w:outlineLvl w:val="0"/>
        <w:rPr>
          <w:rFonts w:ascii="黑体" w:hAnsi="黑体" w:eastAsia="黑体"/>
          <w:snapToGrid w:val="0"/>
          <w:sz w:val="30"/>
          <w:szCs w:val="30"/>
        </w:rPr>
      </w:pPr>
      <w:r>
        <w:rPr>
          <w:snapToGrid w:val="0"/>
        </w:rPr>
        <w:br w:type="page"/>
      </w:r>
      <w:bookmarkStart w:id="8" w:name="_Toc18773"/>
      <w:r>
        <w:rPr>
          <w:rFonts w:hint="eastAsia" w:ascii="黑体" w:hAnsi="黑体" w:eastAsia="黑体"/>
          <w:snapToGrid w:val="0"/>
          <w:sz w:val="30"/>
          <w:szCs w:val="30"/>
        </w:rPr>
        <w:t>六、结论</w:t>
      </w:r>
      <w:bookmarkEnd w:id="8"/>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keepNext w:val="0"/>
              <w:keepLines w:val="0"/>
              <w:suppressLineNumbers w:val="0"/>
              <w:spacing w:before="0" w:beforeAutospacing="0" w:after="0" w:afterAutospacing="0" w:line="360" w:lineRule="auto"/>
              <w:ind w:left="0" w:right="0" w:firstLine="480" w:firstLineChars="200"/>
              <w:rPr>
                <w:sz w:val="24"/>
              </w:rPr>
            </w:pPr>
            <w:r>
              <w:rPr>
                <w:rFonts w:ascii="宋体" w:hAnsi="宋体" w:cs="宋体"/>
                <w:sz w:val="24"/>
              </w:rPr>
              <w:t>本项目符合国家及地方相关法律法规、产业政策和城市总体规划。项目建成运行后将产生一定程度的废气、废水、固废及噪声的污染，全面落实本评价拟定的各项环境保护措施，项目对周围环境的影响可以控制在国家有关标准和要求的允许范围以内，各污染物能够满足国家和地方规定的污染物排放标准，不改变当地的环境质量功能属性。因此，建设单位在落实本报告提出的各项污染防治措施的前提下，项目的建设是可行的。</w:t>
            </w:r>
          </w:p>
        </w:tc>
      </w:tr>
    </w:tbl>
    <w:p>
      <w:pPr>
        <w:rPr>
          <w:rFonts w:ascii="宋体"/>
        </w:rPr>
        <w:sectPr>
          <w:pgSz w:w="11906" w:h="16838"/>
          <w:pgMar w:top="1701" w:right="1531" w:bottom="1701" w:left="1531" w:header="851" w:footer="851" w:gutter="0"/>
          <w:cols w:space="720" w:num="1"/>
          <w:docGrid w:linePitch="312" w:charSpace="0"/>
        </w:sectPr>
      </w:pPr>
    </w:p>
    <w:p>
      <w:pPr>
        <w:pStyle w:val="18"/>
        <w:adjustRightInd w:val="0"/>
        <w:spacing w:before="0" w:beforeAutospacing="0" w:after="0" w:afterAutospacing="0"/>
        <w:contextualSpacing/>
        <w:outlineLvl w:val="0"/>
        <w:rPr>
          <w:rFonts w:ascii="黑体" w:hAnsi="黑体" w:eastAsia="黑体"/>
          <w:snapToGrid w:val="0"/>
          <w:sz w:val="32"/>
          <w:szCs w:val="32"/>
        </w:rPr>
      </w:pPr>
      <w:bookmarkStart w:id="9" w:name="_Toc31745"/>
      <w:r>
        <w:rPr>
          <w:rFonts w:hint="eastAsia" w:ascii="黑体" w:hAnsi="黑体" w:eastAsia="黑体"/>
          <w:snapToGrid w:val="0"/>
          <w:sz w:val="32"/>
          <w:szCs w:val="32"/>
        </w:rPr>
        <w:t>附表</w:t>
      </w:r>
      <w:bookmarkEnd w:id="9"/>
    </w:p>
    <w:p>
      <w:pPr>
        <w:pStyle w:val="18"/>
        <w:adjustRightInd w:val="0"/>
        <w:spacing w:before="0" w:beforeAutospacing="0" w:after="0" w:afterAutospacing="0"/>
        <w:contextualSpacing/>
        <w:jc w:val="center"/>
        <w:outlineLvl w:val="0"/>
        <w:rPr>
          <w:rFonts w:hint="default" w:ascii="Times New Roman" w:hAnsi="Times New Roman" w:eastAsia="宋体" w:cs="Times New Roman"/>
          <w:b/>
          <w:bCs/>
          <w:snapToGrid w:val="0"/>
          <w:sz w:val="38"/>
          <w:szCs w:val="38"/>
        </w:rPr>
      </w:pPr>
      <w:bookmarkStart w:id="10" w:name="_Toc5498"/>
      <w:r>
        <w:rPr>
          <w:rFonts w:hint="default" w:ascii="Times New Roman" w:hAnsi="Times New Roman" w:eastAsia="宋体" w:cs="Times New Roman"/>
          <w:b/>
          <w:bCs/>
          <w:snapToGrid w:val="0"/>
          <w:sz w:val="38"/>
          <w:szCs w:val="38"/>
        </w:rPr>
        <w:t>建设项目污染物排放量汇总表（t/a）</w:t>
      </w:r>
      <w:bookmarkEnd w:id="10"/>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64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tcBorders>
              <w:tl2br w:val="single" w:color="auto" w:sz="4" w:space="0"/>
            </w:tcBorders>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pPr>
              <w:pStyle w:val="36"/>
              <w:keepNext w:val="0"/>
              <w:keepLines w:val="0"/>
              <w:suppressLineNumbers w:val="0"/>
              <w:spacing w:before="0" w:beforeLines="0" w:beforeAutospacing="0" w:after="0" w:afterLines="0" w:afterAutospacing="0" w:line="240" w:lineRule="auto"/>
              <w:ind w:left="0" w:right="0"/>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pPr>
              <w:pStyle w:val="36"/>
              <w:keepNext w:val="0"/>
              <w:keepLines w:val="0"/>
              <w:suppressLineNumbers w:val="0"/>
              <w:spacing w:before="0" w:beforeLines="0" w:beforeAutospacing="0" w:after="0" w:afterLines="0" w:afterAutospacing="0"/>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int="eastAsia" w:hAnsi="宋体" w:cs="宋体"/>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int="eastAsia" w:hAnsi="宋体" w:cs="宋体"/>
                <w:kern w:val="2"/>
                <w:szCs w:val="21"/>
              </w:rPr>
              <w:t>⑤</w:t>
            </w:r>
            <w:r>
              <w:rPr>
                <w:rFonts w:ascii="Times New Roman" w:eastAsia="黑体"/>
                <w:snapToGrid w:val="0"/>
                <w:color w:val="000000"/>
                <w:spacing w:val="-16"/>
                <w:kern w:val="21"/>
                <w:szCs w:val="21"/>
              </w:rPr>
              <w:fldChar w:fldCharType="end"/>
            </w:r>
          </w:p>
        </w:tc>
        <w:tc>
          <w:tcPr>
            <w:tcW w:w="1641"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int="eastAsia" w:hAnsi="宋体" w:cs="宋体"/>
                <w:kern w:val="2"/>
                <w:szCs w:val="21"/>
              </w:rPr>
              <w:t>⑥</w:t>
            </w:r>
            <w:r>
              <w:rPr>
                <w:rFonts w:ascii="Times New Roman" w:eastAsia="黑体"/>
                <w:snapToGrid w:val="0"/>
                <w:color w:val="000000"/>
                <w:spacing w:val="-16"/>
                <w:kern w:val="21"/>
                <w:szCs w:val="21"/>
              </w:rPr>
              <w:fldChar w:fldCharType="end"/>
            </w:r>
          </w:p>
        </w:tc>
        <w:tc>
          <w:tcPr>
            <w:tcW w:w="1144" w:type="dxa"/>
            <w:tcMar>
              <w:left w:w="28" w:type="dxa"/>
              <w:right w:w="28" w:type="dxa"/>
            </w:tcMar>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pPr>
              <w:pStyle w:val="36"/>
              <w:keepNext w:val="0"/>
              <w:keepLines w:val="0"/>
              <w:suppressLineNumbers w:val="0"/>
              <w:spacing w:before="0" w:beforeLines="0" w:beforeAutospacing="0" w:after="0" w:afterLines="0" w:afterAutospacing="0" w:line="240" w:lineRule="auto"/>
              <w:ind w:left="0" w:right="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⑦</w:t>
            </w:r>
            <w:r>
              <w:rPr>
                <w:rFonts w:ascii="Times New Roman" w:eastAsia="黑体"/>
                <w:snapToGrid w:val="0"/>
                <w:color w:val="000000"/>
                <w:spacing w:val="-6"/>
                <w:kern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VOCs</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eastAsia="宋体"/>
                <w:snapToGrid w:val="0"/>
                <w:color w:val="000000"/>
                <w:kern w:val="21"/>
                <w:szCs w:val="21"/>
                <w:lang w:val="en-US" w:eastAsia="zh-CN"/>
              </w:rPr>
            </w:pPr>
            <w:r>
              <w:rPr>
                <w:rFonts w:hint="eastAsia" w:ascii="Times New Roman"/>
                <w:snapToGrid w:val="0"/>
                <w:color w:val="000000"/>
                <w:kern w:val="21"/>
                <w:szCs w:val="21"/>
              </w:rPr>
              <w:t>0.</w:t>
            </w:r>
            <w:r>
              <w:rPr>
                <w:rFonts w:hint="eastAsia" w:ascii="Times New Roman"/>
                <w:snapToGrid w:val="0"/>
                <w:color w:val="000000"/>
                <w:kern w:val="21"/>
                <w:szCs w:val="21"/>
                <w:lang w:val="en-US" w:eastAsia="zh-CN"/>
              </w:rPr>
              <w:t>111</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snapToGrid w:val="0"/>
                <w:color w:val="000000"/>
                <w:kern w:val="21"/>
                <w:szCs w:val="21"/>
                <w:lang w:val="en-US"/>
              </w:rPr>
            </w:pPr>
            <w:r>
              <w:rPr>
                <w:rFonts w:hint="eastAsia" w:ascii="Times New Roman"/>
                <w:snapToGrid w:val="0"/>
                <w:color w:val="000000"/>
                <w:kern w:val="21"/>
                <w:szCs w:val="21"/>
              </w:rPr>
              <w:t>0.</w:t>
            </w:r>
            <w:r>
              <w:rPr>
                <w:rFonts w:hint="eastAsia" w:ascii="Times New Roman"/>
                <w:snapToGrid w:val="0"/>
                <w:color w:val="000000"/>
                <w:kern w:val="21"/>
                <w:szCs w:val="21"/>
                <w:lang w:val="en-US" w:eastAsia="zh-CN"/>
              </w:rPr>
              <w:t>111</w:t>
            </w:r>
          </w:p>
        </w:tc>
        <w:tc>
          <w:tcPr>
            <w:tcW w:w="1144"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eastAsia="宋体"/>
                <w:snapToGrid w:val="0"/>
                <w:color w:val="000000"/>
                <w:kern w:val="21"/>
                <w:szCs w:val="21"/>
                <w:lang w:val="en-US" w:eastAsia="zh-CN"/>
              </w:rPr>
            </w:pPr>
            <w:r>
              <w:rPr>
                <w:rFonts w:hint="eastAsia" w:ascii="Times New Roman"/>
                <w:szCs w:val="21"/>
              </w:rPr>
              <w:t>+0.</w:t>
            </w:r>
            <w:r>
              <w:rPr>
                <w:rFonts w:hint="eastAsia" w:ascii="Times New Roman"/>
                <w:szCs w:val="21"/>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颗粒物</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eastAsia="宋体"/>
                <w:snapToGrid w:val="0"/>
                <w:color w:val="000000"/>
                <w:kern w:val="21"/>
                <w:szCs w:val="21"/>
                <w:lang w:val="en-US" w:eastAsia="zh-CN"/>
              </w:rPr>
            </w:pPr>
            <w:r>
              <w:rPr>
                <w:rFonts w:hint="eastAsia" w:ascii="Times New Roman"/>
                <w:snapToGrid w:val="0"/>
                <w:color w:val="000000"/>
                <w:kern w:val="21"/>
                <w:szCs w:val="21"/>
              </w:rPr>
              <w:t>0.0</w:t>
            </w:r>
            <w:r>
              <w:rPr>
                <w:rFonts w:hint="eastAsia" w:ascii="Times New Roman"/>
                <w:snapToGrid w:val="0"/>
                <w:color w:val="000000"/>
                <w:kern w:val="21"/>
                <w:szCs w:val="21"/>
                <w:lang w:val="en-US" w:eastAsia="zh-CN"/>
              </w:rPr>
              <w:t>98</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0.0</w:t>
            </w:r>
            <w:r>
              <w:rPr>
                <w:rFonts w:hint="eastAsia" w:ascii="Times New Roman"/>
                <w:snapToGrid w:val="0"/>
                <w:color w:val="000000"/>
                <w:kern w:val="21"/>
                <w:szCs w:val="21"/>
                <w:lang w:val="en-US" w:eastAsia="zh-CN"/>
              </w:rPr>
              <w:t>98</w:t>
            </w:r>
          </w:p>
        </w:tc>
        <w:tc>
          <w:tcPr>
            <w:tcW w:w="1144" w:type="dxa"/>
            <w:vAlign w:val="center"/>
          </w:tcPr>
          <w:p>
            <w:pPr>
              <w:pStyle w:val="36"/>
              <w:keepNext w:val="0"/>
              <w:keepLines w:val="0"/>
              <w:suppressLineNumbers w:val="0"/>
              <w:spacing w:before="0" w:beforeLines="0" w:beforeAutospacing="0" w:after="0" w:afterLines="0" w:afterAutospacing="0" w:line="240" w:lineRule="auto"/>
              <w:ind w:left="0" w:right="0"/>
              <w:rPr>
                <w:rFonts w:hint="default" w:ascii="Times New Roman" w:eastAsia="宋体"/>
                <w:snapToGrid w:val="0"/>
                <w:color w:val="000000"/>
                <w:kern w:val="21"/>
                <w:szCs w:val="21"/>
                <w:lang w:val="en-US" w:eastAsia="zh-CN"/>
              </w:rPr>
            </w:pPr>
            <w:r>
              <w:rPr>
                <w:rFonts w:hint="eastAsia" w:ascii="Times New Roman"/>
                <w:szCs w:val="21"/>
              </w:rPr>
              <w:t>+0.0</w:t>
            </w:r>
            <w:r>
              <w:rPr>
                <w:rFonts w:hint="eastAsia" w:ascii="Times New Roman"/>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8"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szCs w:val="21"/>
              </w:rPr>
              <w:t>水量</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3456</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3456</w:t>
            </w:r>
          </w:p>
        </w:tc>
        <w:tc>
          <w:tcPr>
            <w:tcW w:w="1144" w:type="dxa"/>
            <w:vAlign w:val="center"/>
          </w:tcPr>
          <w:p>
            <w:pPr>
              <w:keepNext w:val="0"/>
              <w:keepLines w:val="0"/>
              <w:suppressLineNumbers w:val="0"/>
              <w:spacing w:before="0" w:beforeAutospacing="0" w:after="0" w:afterAutospacing="0"/>
              <w:ind w:left="0" w:leftChars="0" w:right="0" w:rightChars="0"/>
              <w:jc w:val="center"/>
              <w:rPr>
                <w:szCs w:val="21"/>
              </w:rPr>
            </w:pPr>
            <w:r>
              <w:rPr>
                <w:rFonts w:hint="eastAsia"/>
                <w:szCs w:val="21"/>
                <w:lang w:val="en-US" w:eastAsia="zh-CN"/>
              </w:rPr>
              <w:t>+3456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szCs w:val="21"/>
              </w:rPr>
              <w:t>COD</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1.</w:t>
            </w:r>
            <w:r>
              <w:rPr>
                <w:rFonts w:hint="eastAsia"/>
                <w:lang w:val="en-US" w:eastAsia="zh-CN"/>
              </w:rPr>
              <w:t>382</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1.</w:t>
            </w:r>
            <w:r>
              <w:rPr>
                <w:rFonts w:hint="eastAsia"/>
                <w:lang w:val="en-US" w:eastAsia="zh-CN"/>
              </w:rPr>
              <w:t>382</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w:t>
            </w:r>
            <w:r>
              <w:rPr>
                <w:rFonts w:hint="eastAsia"/>
              </w:rPr>
              <w:t>1.</w:t>
            </w:r>
            <w:r>
              <w:rPr>
                <w:rFonts w:hint="eastAsia"/>
                <w:lang w:val="en-US" w:eastAsia="zh-CN"/>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szCs w:val="21"/>
              </w:rPr>
              <w:t>SS</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1.037</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1.037</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rFonts w:hint="eastAsia"/>
                <w:szCs w:val="21"/>
              </w:rPr>
              <w:t>氨氮</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0864</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0864</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w:t>
            </w:r>
            <w:r>
              <w:t>0.</w:t>
            </w:r>
            <w:r>
              <w:rPr>
                <w:rFonts w:hint="eastAsia"/>
                <w:lang w:val="en-US" w:eastAsia="zh-CN"/>
              </w:rPr>
              <w:t>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rFonts w:hint="eastAsia"/>
                <w:szCs w:val="21"/>
              </w:rPr>
              <w:t>TP</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t>0.0</w:t>
            </w:r>
            <w:r>
              <w:rPr>
                <w:rFonts w:hint="eastAsia"/>
                <w:lang w:val="en-US" w:eastAsia="zh-CN"/>
              </w:rPr>
              <w:t>1728</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t>0.0</w:t>
            </w:r>
            <w:r>
              <w:rPr>
                <w:rFonts w:hint="eastAsia"/>
                <w:lang w:val="en-US" w:eastAsia="zh-CN"/>
              </w:rPr>
              <w:t>1728</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w:t>
            </w:r>
            <w:r>
              <w:t>0.0</w:t>
            </w:r>
            <w:r>
              <w:rPr>
                <w:rFonts w:hint="eastAsia"/>
                <w:lang w:val="en-US" w:eastAsia="zh-CN"/>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szCs w:val="21"/>
              </w:rPr>
              <w:t>T</w:t>
            </w:r>
            <w:r>
              <w:rPr>
                <w:rFonts w:hint="eastAsia"/>
                <w:szCs w:val="21"/>
              </w:rPr>
              <w:t>N</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1728</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t>0.</w:t>
            </w:r>
            <w:r>
              <w:rPr>
                <w:rFonts w:hint="eastAsia"/>
                <w:lang w:val="en-US" w:eastAsia="zh-CN"/>
              </w:rPr>
              <w:t>1728</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w:t>
            </w:r>
            <w:r>
              <w:t>0.</w:t>
            </w:r>
            <w:r>
              <w:rPr>
                <w:rFonts w:hint="eastAsia"/>
                <w:lang w:val="en-US" w:eastAsia="zh-CN"/>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spacing w:before="0" w:beforeAutospacing="0" w:after="0" w:afterAutospacing="0"/>
              <w:ind w:left="0" w:right="0"/>
              <w:jc w:val="center"/>
              <w:rPr>
                <w:szCs w:val="21"/>
              </w:rPr>
            </w:pPr>
            <w:r>
              <w:rPr>
                <w:rFonts w:hint="eastAsia"/>
                <w:szCs w:val="21"/>
              </w:rPr>
              <w:t>动植物油</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w:t>
            </w:r>
            <w:r>
              <w:rPr>
                <w:rFonts w:hint="eastAsia"/>
                <w:lang w:val="en-US" w:eastAsia="zh-CN"/>
              </w:rPr>
              <w:t>23</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rPr>
              <w:t>0.0</w:t>
            </w:r>
            <w:r>
              <w:rPr>
                <w:rFonts w:hint="eastAsia"/>
                <w:lang w:val="en-US" w:eastAsia="zh-CN"/>
              </w:rPr>
              <w:t>23</w:t>
            </w:r>
          </w:p>
        </w:tc>
        <w:tc>
          <w:tcPr>
            <w:tcW w:w="1144" w:type="dxa"/>
            <w:vAlign w:val="center"/>
          </w:tcPr>
          <w:p>
            <w:pPr>
              <w:keepNext w:val="0"/>
              <w:keepLines w:val="0"/>
              <w:suppressLineNumbers w:val="0"/>
              <w:adjustRightInd w:val="0"/>
              <w:snapToGrid w:val="0"/>
              <w:spacing w:before="0" w:beforeAutospacing="0" w:after="0" w:afterAutospacing="0"/>
              <w:ind w:left="0" w:leftChars="0" w:right="0" w:rightChars="0"/>
              <w:jc w:val="center"/>
            </w:pPr>
            <w:r>
              <w:rPr>
                <w:rFonts w:hint="eastAsia"/>
                <w:lang w:val="en-US" w:eastAsia="zh-CN"/>
              </w:rPr>
              <w:t>+</w:t>
            </w:r>
            <w:r>
              <w:rPr>
                <w:rFonts w:hint="eastAsia"/>
              </w:rPr>
              <w:t>0.0</w:t>
            </w:r>
            <w:r>
              <w:rPr>
                <w:rFonts w:hint="eastAsia"/>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一般工业</w:t>
            </w:r>
          </w:p>
          <w:p>
            <w:pPr>
              <w:pStyle w:val="36"/>
              <w:keepNext w:val="0"/>
              <w:keepLines w:val="0"/>
              <w:suppressLineNumbers w:val="0"/>
              <w:spacing w:before="24" w:beforeAutospacing="0" w:after="24" w:afterAutospacing="0"/>
              <w:ind w:left="0" w:right="0"/>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t>废包装袋</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不合格品</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12</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12</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w:t>
            </w:r>
            <w:r>
              <w:rPr>
                <w:rFonts w:hint="eastAsia"/>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边角料</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1200</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1200</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rPr>
              <w:t>收集粉尘</w:t>
            </w:r>
            <w:r>
              <w:rPr>
                <w:rFonts w:hint="eastAsia"/>
                <w:lang w:eastAsia="zh-CN"/>
              </w:rPr>
              <w:t>（涂敷）</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9.802</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9.802</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w:t>
            </w:r>
            <w:r>
              <w:rPr>
                <w:rFonts w:hint="eastAsia"/>
                <w:szCs w:val="21"/>
                <w:lang w:val="en-US" w:eastAsia="zh-CN"/>
              </w:rPr>
              <w:t>9.802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kern w:val="2"/>
                <w:sz w:val="21"/>
                <w:szCs w:val="24"/>
                <w:lang w:val="en-US" w:eastAsia="zh-CN" w:bidi="ar-SA"/>
              </w:rPr>
            </w:pPr>
            <w:r>
              <w:rPr>
                <w:rFonts w:hint="eastAsia"/>
              </w:rPr>
              <w:t>收集粉尘</w:t>
            </w:r>
            <w:r>
              <w:rPr>
                <w:rFonts w:hint="eastAsia"/>
                <w:lang w:eastAsia="zh-CN"/>
              </w:rPr>
              <w:t>（焊接）</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eastAsia="zh-CN"/>
              </w:rPr>
            </w:pPr>
            <w:r>
              <w:rPr>
                <w:rFonts w:hint="eastAsia"/>
                <w:szCs w:val="21"/>
                <w:lang w:val="en-US" w:eastAsia="zh-CN"/>
              </w:rPr>
              <w:t>0.0014</w:t>
            </w:r>
          </w:p>
        </w:tc>
        <w:tc>
          <w:tcPr>
            <w:tcW w:w="1761" w:type="dxa"/>
            <w:vAlign w:val="center"/>
          </w:tcPr>
          <w:p>
            <w:pPr>
              <w:keepNext w:val="0"/>
              <w:keepLines w:val="0"/>
              <w:suppressLineNumbers w:val="0"/>
              <w:spacing w:before="0" w:beforeAutospacing="0" w:after="0" w:afterAutospacing="0"/>
              <w:ind w:left="0" w:right="0"/>
              <w:jc w:val="center"/>
              <w:rPr>
                <w:rFonts w:hint="eastAsia"/>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eastAsia="zh-CN"/>
              </w:rPr>
            </w:pPr>
            <w:r>
              <w:rPr>
                <w:rFonts w:hint="eastAsia"/>
                <w:szCs w:val="21"/>
                <w:lang w:val="en-US" w:eastAsia="zh-CN"/>
              </w:rPr>
              <w:t>0.0014</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rPr>
            </w:pPr>
            <w:r>
              <w:rPr>
                <w:rFonts w:hint="eastAsia"/>
                <w:szCs w:val="21"/>
              </w:rPr>
              <w:t>+</w:t>
            </w:r>
            <w:r>
              <w:rPr>
                <w:rFonts w:hint="eastAsia"/>
                <w:szCs w:val="21"/>
                <w:lang w:val="en-US" w:eastAsia="zh-CN"/>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废滤芯</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0.18</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0.18</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rPr>
                <w:rFonts w:hint="eastAsia" w:eastAsia="宋体"/>
                <w:lang w:eastAsia="zh-CN"/>
              </w:rPr>
            </w:pPr>
            <w:r>
              <w:rPr>
                <w:rFonts w:hint="eastAsia"/>
                <w:lang w:eastAsia="zh-CN"/>
              </w:rPr>
              <w:t>塑料边角料</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hint="eastAsia"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rPr>
            </w:pPr>
            <w:r>
              <w:rPr>
                <w:rFonts w:hint="eastAsia"/>
                <w:szCs w:val="21"/>
                <w:lang w:val="en-US" w:eastAsia="zh-CN"/>
              </w:rPr>
              <w:t>2.5</w:t>
            </w:r>
          </w:p>
        </w:tc>
        <w:tc>
          <w:tcPr>
            <w:tcW w:w="1761" w:type="dxa"/>
            <w:vAlign w:val="center"/>
          </w:tcPr>
          <w:p>
            <w:pPr>
              <w:keepNext w:val="0"/>
              <w:keepLines w:val="0"/>
              <w:suppressLineNumbers w:val="0"/>
              <w:spacing w:before="0" w:beforeAutospacing="0" w:after="0" w:afterAutospacing="0"/>
              <w:ind w:left="0" w:right="0"/>
              <w:jc w:val="center"/>
              <w:rPr>
                <w:rFonts w:hint="eastAsia"/>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rPr>
            </w:pPr>
            <w:r>
              <w:rPr>
                <w:rFonts w:hint="eastAsia"/>
                <w:szCs w:val="21"/>
                <w:lang w:val="en-US" w:eastAsia="zh-CN"/>
              </w:rPr>
              <w:t>2.5</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default"/>
                <w:szCs w:val="21"/>
                <w:lang w:val="en-US"/>
              </w:rPr>
            </w:pPr>
            <w:r>
              <w:rPr>
                <w:rFonts w:hint="eastAsia"/>
                <w:szCs w:val="21"/>
              </w:rPr>
              <w:t>+</w:t>
            </w:r>
            <w:r>
              <w:rPr>
                <w:rFonts w:hint="eastAsia"/>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餐厨垃圾</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15</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15</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危险废物</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t>废活性炭</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4.9</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lang w:val="en-US" w:eastAsia="zh-CN"/>
              </w:rPr>
              <w:t>4.9</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default" w:eastAsia="宋体"/>
                <w:szCs w:val="21"/>
                <w:lang w:val="en-US" w:eastAsia="zh-CN"/>
              </w:rPr>
            </w:pPr>
            <w:r>
              <w:rPr>
                <w:rFonts w:hint="eastAsia"/>
                <w:szCs w:val="21"/>
              </w:rPr>
              <w:t>+</w:t>
            </w:r>
            <w:r>
              <w:rPr>
                <w:rFonts w:hint="eastAsia"/>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废包装桶</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废</w:t>
            </w:r>
            <w:r>
              <w:rPr>
                <w:rFonts w:hint="eastAsia"/>
                <w:lang w:eastAsia="zh-CN"/>
              </w:rPr>
              <w:t>矿物</w:t>
            </w:r>
            <w:r>
              <w:rPr>
                <w:rFonts w:hint="eastAsia"/>
              </w:rPr>
              <w:t>油</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lang w:val="en-US" w:eastAsia="zh-CN"/>
              </w:rPr>
              <w:t>4</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lang w:val="en-US" w:eastAsia="zh-CN"/>
              </w:rPr>
              <w:t>4</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rFonts w:hint="eastAsia" w:eastAsia="宋体"/>
                <w:szCs w:val="21"/>
                <w:lang w:eastAsia="zh-CN"/>
              </w:rPr>
            </w:pPr>
            <w:r>
              <w:rPr>
                <w:rFonts w:hint="eastAsia"/>
                <w:szCs w:val="21"/>
              </w:rPr>
              <w:t>+</w:t>
            </w: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p>
        </w:tc>
        <w:tc>
          <w:tcPr>
            <w:tcW w:w="1417" w:type="dxa"/>
            <w:vAlign w:val="center"/>
          </w:tcPr>
          <w:p>
            <w:pPr>
              <w:keepNext w:val="0"/>
              <w:keepLines w:val="0"/>
              <w:suppressLineNumbers w:val="0"/>
              <w:adjustRightInd w:val="0"/>
              <w:snapToGrid w:val="0"/>
              <w:spacing w:before="0" w:beforeAutospacing="0" w:after="0" w:afterAutospacing="0"/>
              <w:ind w:left="0" w:right="0"/>
              <w:jc w:val="center"/>
            </w:pPr>
            <w:r>
              <w:rPr>
                <w:rFonts w:hint="eastAsia"/>
              </w:rPr>
              <w:t>含油抹布手套（豁免）</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0.2</w:t>
            </w:r>
          </w:p>
        </w:tc>
        <w:tc>
          <w:tcPr>
            <w:tcW w:w="1761" w:type="dxa"/>
            <w:vAlign w:val="center"/>
          </w:tcPr>
          <w:p>
            <w:pPr>
              <w:keepNext w:val="0"/>
              <w:keepLines w:val="0"/>
              <w:suppressLineNumbers w:val="0"/>
              <w:spacing w:before="0" w:beforeAutospacing="0" w:after="0" w:afterAutospacing="0"/>
              <w:ind w:left="0" w:right="0"/>
              <w:jc w:val="cente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0.2</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ascii="Times New Roman"/>
                <w:snapToGrid w:val="0"/>
                <w:color w:val="000000"/>
                <w:kern w:val="21"/>
                <w:szCs w:val="21"/>
              </w:rPr>
              <w:t>生活垃圾</w:t>
            </w:r>
          </w:p>
        </w:tc>
        <w:tc>
          <w:tcPr>
            <w:tcW w:w="1417" w:type="dxa"/>
            <w:vAlign w:val="center"/>
          </w:tcPr>
          <w:p>
            <w:pPr>
              <w:keepNext w:val="0"/>
              <w:keepLines w:val="0"/>
              <w:suppressLineNumbers w:val="0"/>
              <w:adjustRightInd w:val="0"/>
              <w:snapToGrid w:val="0"/>
              <w:spacing w:before="0" w:beforeAutospacing="0" w:after="0" w:afterAutospacing="0"/>
              <w:ind w:left="0" w:right="0"/>
              <w:jc w:val="center"/>
              <w:rPr>
                <w:szCs w:val="21"/>
              </w:rPr>
            </w:pPr>
            <w:r>
              <w:t>生活垃圾</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276"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701" w:type="dxa"/>
            <w:vAlign w:val="center"/>
          </w:tcPr>
          <w:p>
            <w:pPr>
              <w:pStyle w:val="36"/>
              <w:keepNext w:val="0"/>
              <w:keepLines w:val="0"/>
              <w:suppressLineNumbers w:val="0"/>
              <w:spacing w:before="0" w:beforeLines="0" w:beforeAutospacing="0" w:after="0" w:afterLines="0" w:afterAutospacing="0" w:line="240" w:lineRule="auto"/>
              <w:ind w:left="0" w:right="0"/>
              <w:rPr>
                <w:rFonts w:ascii="Times New Roman"/>
                <w:snapToGrid w:val="0"/>
                <w:color w:val="000000"/>
                <w:kern w:val="21"/>
                <w:szCs w:val="21"/>
              </w:rPr>
            </w:pPr>
            <w:r>
              <w:rPr>
                <w:rFonts w:hint="eastAsia" w:ascii="Times New Roman"/>
                <w:snapToGrid w:val="0"/>
                <w:color w:val="000000"/>
                <w:kern w:val="21"/>
                <w:szCs w:val="21"/>
              </w:rPr>
              <w:t>0</w:t>
            </w:r>
          </w:p>
        </w:tc>
        <w:tc>
          <w:tcPr>
            <w:tcW w:w="1559"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36</w:t>
            </w:r>
          </w:p>
        </w:tc>
        <w:tc>
          <w:tcPr>
            <w:tcW w:w="1761" w:type="dxa"/>
            <w:vAlign w:val="center"/>
          </w:tcPr>
          <w:p>
            <w:pPr>
              <w:keepNext w:val="0"/>
              <w:keepLines w:val="0"/>
              <w:suppressLineNumbers w:val="0"/>
              <w:spacing w:before="0" w:beforeAutospacing="0" w:after="0" w:afterAutospacing="0"/>
              <w:ind w:left="0" w:right="0"/>
              <w:jc w:val="center"/>
              <w:rPr>
                <w:snapToGrid w:val="0"/>
                <w:color w:val="000000"/>
                <w:kern w:val="21"/>
                <w:szCs w:val="21"/>
              </w:rPr>
            </w:pPr>
            <w:r>
              <w:rPr>
                <w:rFonts w:hint="eastAsia"/>
                <w:snapToGrid w:val="0"/>
                <w:color w:val="000000"/>
                <w:kern w:val="21"/>
                <w:szCs w:val="21"/>
              </w:rPr>
              <w:t>0</w:t>
            </w:r>
          </w:p>
        </w:tc>
        <w:tc>
          <w:tcPr>
            <w:tcW w:w="1641"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36</w:t>
            </w:r>
          </w:p>
        </w:tc>
        <w:tc>
          <w:tcPr>
            <w:tcW w:w="1144" w:type="dxa"/>
            <w:vAlign w:val="center"/>
          </w:tcPr>
          <w:p>
            <w:pPr>
              <w:keepNext w:val="0"/>
              <w:keepLines w:val="0"/>
              <w:suppressLineNumbers w:val="0"/>
              <w:adjustRightInd w:val="0"/>
              <w:snapToGrid w:val="0"/>
              <w:spacing w:before="0" w:beforeAutospacing="0" w:after="0" w:afterAutospacing="0"/>
              <w:ind w:left="0" w:right="0"/>
              <w:jc w:val="center"/>
              <w:rPr>
                <w:szCs w:val="21"/>
              </w:rPr>
            </w:pPr>
            <w:r>
              <w:rPr>
                <w:rFonts w:hint="eastAsia"/>
                <w:szCs w:val="21"/>
              </w:rPr>
              <w:t>+36</w:t>
            </w:r>
          </w:p>
        </w:tc>
      </w:tr>
    </w:tbl>
    <w:p>
      <w:pPr>
        <w:pStyle w:val="36"/>
        <w:spacing w:beforeLines="0" w:afterLines="0" w:line="240" w:lineRule="auto"/>
        <w:jc w:val="left"/>
        <w:rPr>
          <w:rFonts w:hAnsi="宋体"/>
          <w:snapToGrid w:val="0"/>
          <w:color w:val="000000"/>
          <w:spacing w:val="-6"/>
          <w:kern w:val="21"/>
          <w:szCs w:val="21"/>
        </w:rPr>
        <w:sectPr>
          <w:footerReference r:id="rId8" w:type="default"/>
          <w:pgSz w:w="16838" w:h="11906" w:orient="landscape"/>
          <w:pgMar w:top="1701" w:right="1531" w:bottom="1701" w:left="1531" w:header="851" w:footer="851" w:gutter="0"/>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rPr>
          <w:rFonts w:ascii="宋体" w:hAnsi="宋体" w:eastAsia="黑体"/>
        </w:rPr>
      </w:pPr>
    </w:p>
    <w:p>
      <w:pPr>
        <w:adjustRightInd w:val="0"/>
        <w:snapToGrid w:val="0"/>
        <w:spacing w:line="480" w:lineRule="exact"/>
        <w:ind w:firstLine="480"/>
        <w:outlineLvl w:val="0"/>
        <w:rPr>
          <w:rFonts w:ascii="宋体" w:hAnsi="宋体" w:cs="宋体"/>
          <w:b/>
          <w:bCs/>
        </w:rPr>
      </w:pPr>
      <w:bookmarkStart w:id="11" w:name="_Toc5383"/>
      <w:r>
        <w:rPr>
          <w:rFonts w:hint="eastAsia" w:ascii="宋体" w:hAnsi="宋体" w:cs="宋体"/>
          <w:b/>
          <w:bCs/>
          <w:sz w:val="24"/>
        </w:rPr>
        <w:t>附件</w:t>
      </w:r>
      <w:bookmarkEnd w:id="11"/>
    </w:p>
    <w:p>
      <w:pPr>
        <w:adjustRightInd w:val="0"/>
        <w:snapToGrid w:val="0"/>
        <w:spacing w:line="480" w:lineRule="exact"/>
        <w:ind w:firstLine="480"/>
        <w:outlineLvl w:val="0"/>
        <w:rPr>
          <w:rFonts w:cs="宋体"/>
        </w:rPr>
      </w:pPr>
      <w:bookmarkStart w:id="12" w:name="_Toc20775"/>
      <w:r>
        <w:rPr>
          <w:rFonts w:hint="eastAsia" w:cs="宋体"/>
          <w:sz w:val="24"/>
        </w:rPr>
        <w:t>附件1  委托书</w:t>
      </w:r>
      <w:bookmarkEnd w:id="12"/>
    </w:p>
    <w:p>
      <w:pPr>
        <w:adjustRightInd w:val="0"/>
        <w:snapToGrid w:val="0"/>
        <w:spacing w:line="480" w:lineRule="exact"/>
        <w:ind w:firstLine="480"/>
        <w:outlineLvl w:val="0"/>
        <w:rPr>
          <w:rFonts w:cs="宋体"/>
        </w:rPr>
      </w:pPr>
      <w:bookmarkStart w:id="13" w:name="_Toc20573"/>
      <w:r>
        <w:rPr>
          <w:rFonts w:hint="eastAsia" w:cs="宋体"/>
          <w:sz w:val="24"/>
        </w:rPr>
        <w:t>附件2  项目备案通知书</w:t>
      </w:r>
      <w:bookmarkEnd w:id="13"/>
    </w:p>
    <w:p>
      <w:pPr>
        <w:adjustRightInd w:val="0"/>
        <w:snapToGrid w:val="0"/>
        <w:spacing w:line="480" w:lineRule="exact"/>
        <w:ind w:firstLine="480"/>
        <w:outlineLvl w:val="0"/>
        <w:rPr>
          <w:rFonts w:cs="宋体"/>
        </w:rPr>
      </w:pPr>
      <w:bookmarkStart w:id="14" w:name="_Toc19494"/>
      <w:r>
        <w:rPr>
          <w:rFonts w:hint="eastAsia" w:cs="宋体"/>
          <w:sz w:val="24"/>
        </w:rPr>
        <w:t>附件3  环境影响申报登记表及答复意见</w:t>
      </w:r>
      <w:bookmarkEnd w:id="14"/>
    </w:p>
    <w:p>
      <w:pPr>
        <w:adjustRightInd w:val="0"/>
        <w:snapToGrid w:val="0"/>
        <w:spacing w:line="480" w:lineRule="exact"/>
        <w:ind w:firstLine="480"/>
        <w:outlineLvl w:val="0"/>
        <w:rPr>
          <w:sz w:val="24"/>
          <w:szCs w:val="22"/>
        </w:rPr>
      </w:pPr>
      <w:bookmarkStart w:id="15" w:name="_Toc28669"/>
      <w:r>
        <w:rPr>
          <w:rFonts w:hint="eastAsia"/>
          <w:sz w:val="24"/>
          <w:szCs w:val="22"/>
        </w:rPr>
        <w:t>附件4  原有项目环评批复</w:t>
      </w:r>
      <w:bookmarkEnd w:id="15"/>
    </w:p>
    <w:p>
      <w:pPr>
        <w:adjustRightInd w:val="0"/>
        <w:snapToGrid w:val="0"/>
        <w:spacing w:line="480" w:lineRule="exact"/>
        <w:ind w:firstLine="480"/>
        <w:outlineLvl w:val="0"/>
        <w:rPr>
          <w:sz w:val="24"/>
          <w:szCs w:val="22"/>
        </w:rPr>
      </w:pPr>
      <w:bookmarkStart w:id="16" w:name="_Toc29843"/>
      <w:r>
        <w:rPr>
          <w:sz w:val="24"/>
          <w:szCs w:val="22"/>
        </w:rPr>
        <w:t>附件</w:t>
      </w:r>
      <w:r>
        <w:rPr>
          <w:rFonts w:hint="eastAsia"/>
          <w:sz w:val="24"/>
          <w:szCs w:val="22"/>
        </w:rPr>
        <w:t>5</w:t>
      </w:r>
      <w:r>
        <w:rPr>
          <w:sz w:val="24"/>
          <w:szCs w:val="22"/>
        </w:rPr>
        <w:t xml:space="preserve">  营业执照</w:t>
      </w:r>
      <w:bookmarkEnd w:id="16"/>
    </w:p>
    <w:p>
      <w:pPr>
        <w:adjustRightInd w:val="0"/>
        <w:snapToGrid w:val="0"/>
        <w:spacing w:line="480" w:lineRule="exact"/>
        <w:ind w:firstLine="480"/>
        <w:outlineLvl w:val="0"/>
        <w:rPr>
          <w:sz w:val="24"/>
          <w:szCs w:val="22"/>
        </w:rPr>
      </w:pPr>
      <w:bookmarkStart w:id="17" w:name="_Toc13680"/>
      <w:r>
        <w:rPr>
          <w:sz w:val="24"/>
          <w:szCs w:val="22"/>
        </w:rPr>
        <w:t>附件</w:t>
      </w:r>
      <w:r>
        <w:rPr>
          <w:rFonts w:hint="eastAsia"/>
          <w:sz w:val="24"/>
          <w:szCs w:val="22"/>
        </w:rPr>
        <w:t>6</w:t>
      </w:r>
      <w:r>
        <w:rPr>
          <w:sz w:val="24"/>
          <w:szCs w:val="22"/>
        </w:rPr>
        <w:t xml:space="preserve">  土地情况说明、用地红线图</w:t>
      </w:r>
      <w:bookmarkEnd w:id="17"/>
    </w:p>
    <w:p>
      <w:pPr>
        <w:adjustRightInd w:val="0"/>
        <w:snapToGrid w:val="0"/>
        <w:spacing w:line="480" w:lineRule="exact"/>
        <w:ind w:firstLine="480"/>
        <w:outlineLvl w:val="0"/>
        <w:rPr>
          <w:sz w:val="24"/>
          <w:szCs w:val="22"/>
        </w:rPr>
      </w:pPr>
      <w:bookmarkStart w:id="18" w:name="_Toc27181"/>
      <w:r>
        <w:rPr>
          <w:sz w:val="24"/>
          <w:szCs w:val="22"/>
        </w:rPr>
        <w:t>附件</w:t>
      </w:r>
      <w:r>
        <w:rPr>
          <w:rFonts w:hint="eastAsia"/>
          <w:sz w:val="24"/>
          <w:szCs w:val="22"/>
        </w:rPr>
        <w:t>7</w:t>
      </w:r>
      <w:r>
        <w:rPr>
          <w:sz w:val="24"/>
          <w:szCs w:val="22"/>
        </w:rPr>
        <w:t xml:space="preserve">  污水接管协议</w:t>
      </w:r>
      <w:bookmarkEnd w:id="18"/>
    </w:p>
    <w:p>
      <w:pPr>
        <w:adjustRightInd w:val="0"/>
        <w:snapToGrid w:val="0"/>
        <w:spacing w:line="480" w:lineRule="exact"/>
        <w:ind w:firstLine="480"/>
        <w:outlineLvl w:val="0"/>
        <w:rPr>
          <w:sz w:val="24"/>
          <w:szCs w:val="22"/>
        </w:rPr>
      </w:pPr>
      <w:bookmarkStart w:id="19" w:name="_Toc31853"/>
      <w:r>
        <w:rPr>
          <w:sz w:val="24"/>
          <w:szCs w:val="22"/>
        </w:rPr>
        <w:t>附件</w:t>
      </w:r>
      <w:r>
        <w:rPr>
          <w:rFonts w:hint="eastAsia"/>
          <w:sz w:val="24"/>
          <w:szCs w:val="22"/>
        </w:rPr>
        <w:t>8</w:t>
      </w:r>
      <w:r>
        <w:rPr>
          <w:sz w:val="24"/>
          <w:szCs w:val="22"/>
        </w:rPr>
        <w:t xml:space="preserve">  </w:t>
      </w:r>
      <w:r>
        <w:rPr>
          <w:rFonts w:hint="eastAsia"/>
          <w:sz w:val="24"/>
          <w:szCs w:val="22"/>
        </w:rPr>
        <w:t>现状</w:t>
      </w:r>
      <w:r>
        <w:rPr>
          <w:sz w:val="24"/>
          <w:szCs w:val="22"/>
        </w:rPr>
        <w:t>监测报告</w:t>
      </w:r>
      <w:bookmarkEnd w:id="19"/>
    </w:p>
    <w:p>
      <w:pPr>
        <w:adjustRightInd w:val="0"/>
        <w:snapToGrid w:val="0"/>
        <w:spacing w:line="480" w:lineRule="exact"/>
        <w:ind w:firstLine="480"/>
        <w:outlineLvl w:val="0"/>
        <w:rPr>
          <w:sz w:val="24"/>
          <w:szCs w:val="22"/>
        </w:rPr>
      </w:pPr>
      <w:bookmarkStart w:id="20" w:name="_Toc12534"/>
      <w:r>
        <w:rPr>
          <w:sz w:val="24"/>
          <w:szCs w:val="22"/>
        </w:rPr>
        <w:t>附件</w:t>
      </w:r>
      <w:r>
        <w:rPr>
          <w:rFonts w:hint="eastAsia"/>
          <w:sz w:val="24"/>
          <w:szCs w:val="22"/>
        </w:rPr>
        <w:t>9</w:t>
      </w:r>
      <w:r>
        <w:rPr>
          <w:sz w:val="24"/>
          <w:szCs w:val="22"/>
        </w:rPr>
        <w:t xml:space="preserve">  编制主持人现场照片</w:t>
      </w:r>
      <w:bookmarkEnd w:id="20"/>
    </w:p>
    <w:p>
      <w:pPr>
        <w:adjustRightInd w:val="0"/>
        <w:snapToGrid w:val="0"/>
        <w:spacing w:line="480" w:lineRule="exact"/>
        <w:ind w:firstLine="480"/>
        <w:outlineLvl w:val="0"/>
        <w:rPr>
          <w:sz w:val="24"/>
          <w:szCs w:val="22"/>
        </w:rPr>
      </w:pPr>
      <w:bookmarkStart w:id="21" w:name="_Toc9722"/>
      <w:r>
        <w:rPr>
          <w:sz w:val="24"/>
          <w:szCs w:val="22"/>
        </w:rPr>
        <w:t>附件1</w:t>
      </w:r>
      <w:r>
        <w:rPr>
          <w:rFonts w:hint="eastAsia"/>
          <w:sz w:val="24"/>
          <w:szCs w:val="22"/>
          <w:lang w:val="en-US" w:eastAsia="zh-CN"/>
        </w:rPr>
        <w:t>0</w:t>
      </w:r>
      <w:r>
        <w:rPr>
          <w:sz w:val="24"/>
          <w:szCs w:val="22"/>
        </w:rPr>
        <w:t xml:space="preserve"> 公示委托书</w:t>
      </w:r>
      <w:bookmarkEnd w:id="21"/>
    </w:p>
    <w:p>
      <w:pPr>
        <w:adjustRightInd w:val="0"/>
        <w:snapToGrid w:val="0"/>
        <w:spacing w:line="480" w:lineRule="exact"/>
        <w:ind w:firstLine="480"/>
        <w:outlineLvl w:val="0"/>
        <w:rPr>
          <w:sz w:val="24"/>
          <w:szCs w:val="22"/>
        </w:rPr>
      </w:pPr>
      <w:bookmarkStart w:id="22" w:name="_Toc16866"/>
      <w:r>
        <w:rPr>
          <w:sz w:val="24"/>
          <w:szCs w:val="22"/>
        </w:rPr>
        <w:t>附件1</w:t>
      </w:r>
      <w:r>
        <w:rPr>
          <w:rFonts w:hint="eastAsia"/>
          <w:sz w:val="24"/>
          <w:szCs w:val="22"/>
          <w:lang w:val="en-US" w:eastAsia="zh-CN"/>
        </w:rPr>
        <w:t>1</w:t>
      </w:r>
      <w:r>
        <w:rPr>
          <w:sz w:val="24"/>
          <w:szCs w:val="22"/>
        </w:rPr>
        <w:t xml:space="preserve"> 全文本公开证明材料</w:t>
      </w:r>
      <w:bookmarkEnd w:id="22"/>
    </w:p>
    <w:p>
      <w:pPr>
        <w:adjustRightInd w:val="0"/>
        <w:snapToGrid w:val="0"/>
        <w:spacing w:line="480" w:lineRule="exact"/>
        <w:ind w:firstLine="480"/>
        <w:outlineLvl w:val="0"/>
        <w:rPr>
          <w:sz w:val="24"/>
          <w:szCs w:val="22"/>
        </w:rPr>
      </w:pPr>
      <w:bookmarkStart w:id="23" w:name="_Toc12095"/>
      <w:r>
        <w:rPr>
          <w:sz w:val="24"/>
          <w:szCs w:val="22"/>
        </w:rPr>
        <w:t>附件1</w:t>
      </w:r>
      <w:r>
        <w:rPr>
          <w:rFonts w:hint="eastAsia"/>
          <w:sz w:val="24"/>
          <w:szCs w:val="22"/>
          <w:lang w:val="en-US" w:eastAsia="zh-CN"/>
        </w:rPr>
        <w:t>2</w:t>
      </w:r>
      <w:r>
        <w:rPr>
          <w:sz w:val="24"/>
          <w:szCs w:val="22"/>
        </w:rPr>
        <w:t xml:space="preserve"> 建设单位承诺书</w:t>
      </w:r>
      <w:bookmarkEnd w:id="23"/>
    </w:p>
    <w:p>
      <w:pPr>
        <w:adjustRightInd w:val="0"/>
        <w:snapToGrid w:val="0"/>
        <w:spacing w:line="480" w:lineRule="exact"/>
        <w:ind w:firstLine="480"/>
        <w:outlineLvl w:val="0"/>
      </w:pPr>
      <w:bookmarkStart w:id="24" w:name="_Toc2267"/>
      <w:r>
        <w:rPr>
          <w:rFonts w:hint="eastAsia" w:cs="宋体"/>
          <w:sz w:val="24"/>
        </w:rPr>
        <w:t>附件1</w:t>
      </w:r>
      <w:r>
        <w:rPr>
          <w:rFonts w:hint="eastAsia" w:cs="宋体"/>
          <w:sz w:val="24"/>
          <w:lang w:val="en-US" w:eastAsia="zh-CN"/>
        </w:rPr>
        <w:t>3</w:t>
      </w:r>
      <w:r>
        <w:rPr>
          <w:rFonts w:hint="eastAsia" w:cs="宋体"/>
          <w:sz w:val="24"/>
        </w:rPr>
        <w:t xml:space="preserve"> </w:t>
      </w:r>
      <w:r>
        <w:rPr>
          <w:rFonts w:hint="eastAsia" w:cs="宋体"/>
          <w:sz w:val="24"/>
          <w:lang w:eastAsia="zh-CN"/>
        </w:rPr>
        <w:t>原辅料</w:t>
      </w:r>
      <w:r>
        <w:rPr>
          <w:rFonts w:hint="eastAsia" w:cs="宋体"/>
          <w:sz w:val="24"/>
        </w:rPr>
        <w:t>MSDS</w:t>
      </w:r>
      <w:bookmarkEnd w:id="24"/>
    </w:p>
    <w:p>
      <w:pPr>
        <w:adjustRightInd w:val="0"/>
        <w:snapToGrid w:val="0"/>
        <w:spacing w:line="480" w:lineRule="exact"/>
        <w:ind w:firstLine="480"/>
        <w:outlineLvl w:val="0"/>
        <w:rPr>
          <w:rFonts w:cs="宋体"/>
          <w:sz w:val="24"/>
        </w:rPr>
      </w:pPr>
      <w:bookmarkStart w:id="25" w:name="_Toc10271"/>
      <w:r>
        <w:rPr>
          <w:rFonts w:hint="eastAsia" w:cs="宋体"/>
          <w:sz w:val="24"/>
        </w:rPr>
        <w:t>附件1</w:t>
      </w:r>
      <w:r>
        <w:rPr>
          <w:rFonts w:hint="eastAsia" w:cs="宋体"/>
          <w:sz w:val="24"/>
          <w:lang w:val="en-US" w:eastAsia="zh-CN"/>
        </w:rPr>
        <w:t>4</w:t>
      </w:r>
      <w:r>
        <w:rPr>
          <w:rFonts w:hint="eastAsia" w:cs="宋体"/>
          <w:sz w:val="24"/>
          <w:lang w:eastAsia="zh-CN"/>
        </w:rPr>
        <w:t>洛阳</w:t>
      </w:r>
      <w:r>
        <w:rPr>
          <w:rFonts w:hint="eastAsia" w:cs="宋体"/>
          <w:sz w:val="24"/>
        </w:rPr>
        <w:t>工业集中区规划环评批复</w:t>
      </w:r>
      <w:bookmarkEnd w:id="25"/>
    </w:p>
    <w:p>
      <w:pPr>
        <w:adjustRightInd w:val="0"/>
        <w:snapToGrid w:val="0"/>
        <w:spacing w:line="480" w:lineRule="exact"/>
        <w:ind w:firstLine="480"/>
        <w:rPr>
          <w:rFonts w:cs="宋体"/>
          <w:sz w:val="24"/>
        </w:rPr>
      </w:pPr>
    </w:p>
    <w:p>
      <w:pPr>
        <w:adjustRightInd w:val="0"/>
        <w:snapToGrid w:val="0"/>
        <w:spacing w:line="480" w:lineRule="exact"/>
        <w:ind w:firstLine="480"/>
        <w:rPr>
          <w:rFonts w:cs="宋体"/>
          <w:sz w:val="24"/>
        </w:rPr>
      </w:pPr>
    </w:p>
    <w:p>
      <w:pPr>
        <w:adjustRightInd w:val="0"/>
        <w:snapToGrid w:val="0"/>
        <w:spacing w:line="480" w:lineRule="exact"/>
        <w:ind w:firstLine="480"/>
        <w:rPr>
          <w:rFonts w:ascii="宋体" w:hAnsi="宋体" w:cs="宋体"/>
          <w:b/>
          <w:bCs/>
        </w:rPr>
      </w:pPr>
      <w:r>
        <w:rPr>
          <w:rFonts w:hint="eastAsia" w:ascii="宋体" w:hAnsi="宋体" w:cs="宋体"/>
          <w:b/>
          <w:bCs/>
          <w:sz w:val="24"/>
        </w:rPr>
        <w:t>附图</w:t>
      </w:r>
    </w:p>
    <w:p>
      <w:pPr>
        <w:adjustRightInd w:val="0"/>
        <w:snapToGrid w:val="0"/>
        <w:spacing w:line="480" w:lineRule="exact"/>
        <w:ind w:firstLine="480"/>
        <w:outlineLvl w:val="0"/>
        <w:rPr>
          <w:rFonts w:ascii="宋体" w:hAnsi="宋体" w:cs="宋体"/>
        </w:rPr>
      </w:pPr>
      <w:bookmarkStart w:id="26" w:name="_Toc21114"/>
      <w:r>
        <w:rPr>
          <w:rFonts w:hint="eastAsia" w:ascii="宋体" w:hAnsi="宋体" w:cs="宋体"/>
          <w:sz w:val="24"/>
        </w:rPr>
        <w:t>附图</w:t>
      </w:r>
      <w:r>
        <w:rPr>
          <w:rFonts w:hint="eastAsia" w:cs="宋体"/>
          <w:sz w:val="24"/>
        </w:rPr>
        <w:t>1</w:t>
      </w:r>
      <w:r>
        <w:rPr>
          <w:rFonts w:hint="eastAsia" w:ascii="宋体" w:hAnsi="宋体" w:cs="宋体"/>
          <w:sz w:val="24"/>
        </w:rPr>
        <w:t xml:space="preserve">  项目地理位置示意图</w:t>
      </w:r>
      <w:bookmarkEnd w:id="26"/>
    </w:p>
    <w:p>
      <w:pPr>
        <w:adjustRightInd w:val="0"/>
        <w:snapToGrid w:val="0"/>
        <w:spacing w:line="480" w:lineRule="exact"/>
        <w:ind w:firstLine="480"/>
        <w:outlineLvl w:val="0"/>
        <w:rPr>
          <w:rFonts w:ascii="宋体" w:hAnsi="宋体" w:cs="宋体"/>
        </w:rPr>
      </w:pPr>
      <w:bookmarkStart w:id="27" w:name="_Toc21925"/>
      <w:r>
        <w:rPr>
          <w:rFonts w:hint="eastAsia" w:ascii="宋体" w:hAnsi="宋体" w:cs="宋体"/>
          <w:sz w:val="24"/>
        </w:rPr>
        <w:t>附图</w:t>
      </w:r>
      <w:r>
        <w:rPr>
          <w:rFonts w:hint="eastAsia" w:cs="宋体"/>
          <w:sz w:val="24"/>
        </w:rPr>
        <w:t>2</w:t>
      </w:r>
      <w:r>
        <w:rPr>
          <w:rFonts w:hint="eastAsia" w:ascii="宋体" w:hAnsi="宋体" w:cs="宋体"/>
          <w:sz w:val="24"/>
        </w:rPr>
        <w:t xml:space="preserve">  项目周边环境状况示意图</w:t>
      </w:r>
      <w:bookmarkEnd w:id="27"/>
    </w:p>
    <w:p>
      <w:pPr>
        <w:adjustRightInd w:val="0"/>
        <w:snapToGrid w:val="0"/>
        <w:spacing w:line="480" w:lineRule="exact"/>
        <w:ind w:firstLine="480"/>
        <w:outlineLvl w:val="0"/>
        <w:rPr>
          <w:rFonts w:ascii="宋体" w:hAnsi="宋体" w:cs="宋体"/>
          <w:szCs w:val="22"/>
        </w:rPr>
      </w:pPr>
      <w:bookmarkStart w:id="28" w:name="_Toc13664"/>
      <w:r>
        <w:rPr>
          <w:rFonts w:hint="eastAsia" w:ascii="宋体" w:hAnsi="宋体" w:cs="宋体"/>
          <w:sz w:val="24"/>
        </w:rPr>
        <w:t>附图</w:t>
      </w:r>
      <w:r>
        <w:rPr>
          <w:rFonts w:hint="eastAsia" w:cs="宋体"/>
          <w:sz w:val="24"/>
          <w:szCs w:val="22"/>
        </w:rPr>
        <w:t>3</w:t>
      </w:r>
      <w:r>
        <w:rPr>
          <w:rFonts w:hint="eastAsia" w:ascii="宋体" w:hAnsi="宋体" w:cs="宋体"/>
          <w:sz w:val="24"/>
          <w:szCs w:val="22"/>
        </w:rPr>
        <w:t xml:space="preserve">  平面布置图</w:t>
      </w:r>
      <w:bookmarkEnd w:id="28"/>
    </w:p>
    <w:p>
      <w:pPr>
        <w:adjustRightInd w:val="0"/>
        <w:snapToGrid w:val="0"/>
        <w:spacing w:line="480" w:lineRule="exact"/>
        <w:ind w:firstLine="480"/>
        <w:outlineLvl w:val="0"/>
        <w:rPr>
          <w:rFonts w:ascii="宋体" w:hAnsi="宋体" w:cs="宋体"/>
          <w:szCs w:val="22"/>
        </w:rPr>
      </w:pPr>
      <w:bookmarkStart w:id="29" w:name="_Toc19108"/>
      <w:r>
        <w:rPr>
          <w:rFonts w:hint="eastAsia" w:ascii="宋体" w:hAnsi="宋体" w:cs="宋体"/>
          <w:sz w:val="24"/>
          <w:szCs w:val="22"/>
        </w:rPr>
        <w:t>附图</w:t>
      </w:r>
      <w:r>
        <w:rPr>
          <w:rFonts w:hint="eastAsia" w:cs="宋体"/>
          <w:sz w:val="24"/>
          <w:szCs w:val="22"/>
        </w:rPr>
        <w:t>4</w:t>
      </w:r>
      <w:r>
        <w:rPr>
          <w:rFonts w:hint="eastAsia" w:ascii="宋体" w:hAnsi="宋体" w:cs="宋体"/>
          <w:sz w:val="24"/>
          <w:szCs w:val="22"/>
        </w:rPr>
        <w:t xml:space="preserve">  区域水系图</w:t>
      </w:r>
      <w:bookmarkEnd w:id="29"/>
    </w:p>
    <w:p>
      <w:pPr>
        <w:adjustRightInd w:val="0"/>
        <w:snapToGrid w:val="0"/>
        <w:spacing w:line="480" w:lineRule="exact"/>
        <w:ind w:firstLine="480"/>
        <w:outlineLvl w:val="0"/>
        <w:rPr>
          <w:rFonts w:ascii="宋体" w:hAnsi="宋体" w:cs="宋体"/>
          <w:sz w:val="24"/>
          <w:szCs w:val="22"/>
        </w:rPr>
      </w:pPr>
      <w:bookmarkStart w:id="30" w:name="_Toc23785"/>
      <w:r>
        <w:rPr>
          <w:rFonts w:hint="eastAsia" w:ascii="宋体" w:hAnsi="宋体" w:cs="宋体"/>
          <w:sz w:val="24"/>
          <w:szCs w:val="22"/>
        </w:rPr>
        <w:t>附图</w:t>
      </w:r>
      <w:r>
        <w:rPr>
          <w:rFonts w:hint="eastAsia" w:cs="宋体"/>
          <w:sz w:val="24"/>
          <w:szCs w:val="22"/>
        </w:rPr>
        <w:t>5</w:t>
      </w:r>
      <w:r>
        <w:rPr>
          <w:rFonts w:hint="eastAsia" w:ascii="宋体" w:hAnsi="宋体" w:cs="宋体"/>
          <w:sz w:val="24"/>
          <w:szCs w:val="22"/>
        </w:rPr>
        <w:t xml:space="preserve">  生态红线图</w:t>
      </w:r>
      <w:bookmarkEnd w:id="30"/>
    </w:p>
    <w:p>
      <w:pPr>
        <w:adjustRightInd w:val="0"/>
        <w:snapToGrid w:val="0"/>
        <w:spacing w:line="480" w:lineRule="exact"/>
        <w:ind w:firstLine="480"/>
        <w:outlineLvl w:val="0"/>
        <w:rPr>
          <w:rFonts w:ascii="宋体" w:hAnsi="宋体" w:cs="宋体"/>
          <w:szCs w:val="22"/>
        </w:rPr>
      </w:pPr>
      <w:bookmarkStart w:id="31" w:name="_Toc8602"/>
      <w:r>
        <w:rPr>
          <w:rFonts w:hAnsi="宋体"/>
          <w:sz w:val="24"/>
          <w:szCs w:val="22"/>
        </w:rPr>
        <w:t>附图</w:t>
      </w:r>
      <w:r>
        <w:rPr>
          <w:sz w:val="24"/>
          <w:szCs w:val="22"/>
        </w:rPr>
        <w:t xml:space="preserve">6  </w:t>
      </w:r>
      <w:bookmarkEnd w:id="31"/>
      <w:r>
        <w:rPr>
          <w:rFonts w:hint="eastAsia" w:hAnsi="宋体"/>
          <w:sz w:val="24"/>
          <w:szCs w:val="22"/>
        </w:rPr>
        <w:t>常州市武进区洛阳镇控制性详细规划图</w:t>
      </w:r>
    </w:p>
    <w:p>
      <w:pPr>
        <w:rPr>
          <w:rFonts w:ascii="宋体" w:hAnsi="宋体" w:eastAsia="黑体"/>
        </w:rPr>
      </w:pPr>
    </w:p>
    <w:sectPr>
      <w:footerReference r:id="rId9" w:type="default"/>
      <w:pgSz w:w="11906" w:h="16838"/>
      <w:pgMar w:top="1701" w:right="1531" w:bottom="1701" w:left="153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文鼎CS中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08673"/>
    </w:sdtPr>
    <w:sdtContent>
      <w:p>
        <w:pPr>
          <w:pStyle w:val="14"/>
          <w:jc w:val="center"/>
        </w:pPr>
        <w:r>
          <w:rPr>
            <w:rFonts w:hint="eastAsia"/>
          </w:rPr>
          <w:t>1</w:t>
        </w:r>
      </w:p>
    </w:sdtContent>
  </w:sdt>
  <w:p>
    <w:pPr>
      <w:pStyle w:val="1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17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57</w:t>
                </w:r>
                <w:r>
                  <w:fldChar w:fldCharType="end"/>
                </w:r>
              </w:p>
            </w:txbxContent>
          </v:textbox>
        </v:shape>
      </w:pict>
    </w:r>
  </w:p>
  <w:p>
    <w:pPr>
      <w:pStyle w:val="14"/>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w:pict>
        <v:shape id="_x0000_s3075" o:spid="_x0000_s3075"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82</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center"/>
    </w:pPr>
    <w:r>
      <w:pict>
        <v:shape id="_x0000_s3076" o:spid="_x0000_s307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x9Sg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yBFJdMVGK7T7tme2N8UZ&#10;xJzpZsNbvqmRfMt8eGAOw4CC8VzCPZZSGiQxvUVJZdyXf53HePQIXkoaDFdONd4SJfK9Ru8AGAbD&#10;DcZ+MPRR3RlMK9qBWpKJCy7IwSydUZ/xhlYxB1xMc2TKaRjMu9ANON4gF6tVCsK0WRa2emd5hI7i&#10;ebs6BgiYdI2idEr0WmHeUmf6txEH+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E8fUoKwIAAFcEAAAOAAAAAAAAAAEAIAAAAB8BAABkcnMvZTJvRG9jLnhtbFBLBQYAAAAABgAG&#10;AFkBAAC8BQ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83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F40F34"/>
    <w:multiLevelType w:val="multilevel"/>
    <w:tmpl w:val="0CF40F34"/>
    <w:lvl w:ilvl="0" w:tentative="0">
      <w:start w:val="1"/>
      <w:numFmt w:val="decimal"/>
      <w:suff w:val="nothing"/>
      <w:lvlText w:val="（%1）"/>
      <w:lvlJc w:val="left"/>
      <w:pPr>
        <w:ind w:left="0" w:firstLine="0"/>
      </w:pPr>
      <w:rPr>
        <w:rFonts w:hint="default" w:ascii="Times New Roman" w:hAnsi="Times New Roman" w:cs="Times New Roman"/>
        <w:sz w:val="24"/>
        <w:szCs w:val="24"/>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0166529"/>
    <w:multiLevelType w:val="multilevel"/>
    <w:tmpl w:val="6016652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hideSpellingErrors/>
  <w:attachedTemplate r:id="rId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A14947"/>
    <w:rsid w:val="00000A7C"/>
    <w:rsid w:val="00004BDD"/>
    <w:rsid w:val="00004DC4"/>
    <w:rsid w:val="00005375"/>
    <w:rsid w:val="00005686"/>
    <w:rsid w:val="00005CD9"/>
    <w:rsid w:val="000060B3"/>
    <w:rsid w:val="0000689E"/>
    <w:rsid w:val="000068B1"/>
    <w:rsid w:val="000115E3"/>
    <w:rsid w:val="00011F4B"/>
    <w:rsid w:val="000125AD"/>
    <w:rsid w:val="0001367F"/>
    <w:rsid w:val="0001535E"/>
    <w:rsid w:val="00015E7E"/>
    <w:rsid w:val="0002013A"/>
    <w:rsid w:val="00021182"/>
    <w:rsid w:val="000219F9"/>
    <w:rsid w:val="0002292D"/>
    <w:rsid w:val="0002348A"/>
    <w:rsid w:val="000236F7"/>
    <w:rsid w:val="00024C9B"/>
    <w:rsid w:val="000253E0"/>
    <w:rsid w:val="00026884"/>
    <w:rsid w:val="00027079"/>
    <w:rsid w:val="00027525"/>
    <w:rsid w:val="00030596"/>
    <w:rsid w:val="00031900"/>
    <w:rsid w:val="000331E0"/>
    <w:rsid w:val="0003321D"/>
    <w:rsid w:val="00034C5E"/>
    <w:rsid w:val="0003726B"/>
    <w:rsid w:val="00040289"/>
    <w:rsid w:val="00041208"/>
    <w:rsid w:val="00042EDC"/>
    <w:rsid w:val="0004364B"/>
    <w:rsid w:val="00043C11"/>
    <w:rsid w:val="00045294"/>
    <w:rsid w:val="0004610C"/>
    <w:rsid w:val="00047DB7"/>
    <w:rsid w:val="00051081"/>
    <w:rsid w:val="00052444"/>
    <w:rsid w:val="000531AD"/>
    <w:rsid w:val="00053A4F"/>
    <w:rsid w:val="0005577A"/>
    <w:rsid w:val="00056239"/>
    <w:rsid w:val="00056616"/>
    <w:rsid w:val="00060AB8"/>
    <w:rsid w:val="00061B1F"/>
    <w:rsid w:val="000631EC"/>
    <w:rsid w:val="0006432A"/>
    <w:rsid w:val="00064818"/>
    <w:rsid w:val="00067834"/>
    <w:rsid w:val="00067E62"/>
    <w:rsid w:val="00067F88"/>
    <w:rsid w:val="000709D6"/>
    <w:rsid w:val="00070D70"/>
    <w:rsid w:val="00070D8A"/>
    <w:rsid w:val="000729FF"/>
    <w:rsid w:val="00072FEA"/>
    <w:rsid w:val="000733C4"/>
    <w:rsid w:val="0007383C"/>
    <w:rsid w:val="00073A0F"/>
    <w:rsid w:val="00074327"/>
    <w:rsid w:val="00074783"/>
    <w:rsid w:val="000753BF"/>
    <w:rsid w:val="0007713A"/>
    <w:rsid w:val="0008070B"/>
    <w:rsid w:val="000808DC"/>
    <w:rsid w:val="000810AC"/>
    <w:rsid w:val="00081A02"/>
    <w:rsid w:val="00081AEE"/>
    <w:rsid w:val="00082231"/>
    <w:rsid w:val="000829EA"/>
    <w:rsid w:val="000840E3"/>
    <w:rsid w:val="00086CE7"/>
    <w:rsid w:val="00091AC2"/>
    <w:rsid w:val="00092171"/>
    <w:rsid w:val="00092D38"/>
    <w:rsid w:val="0009377B"/>
    <w:rsid w:val="00096380"/>
    <w:rsid w:val="00096589"/>
    <w:rsid w:val="00096C75"/>
    <w:rsid w:val="0009785F"/>
    <w:rsid w:val="000A07CD"/>
    <w:rsid w:val="000A1DCB"/>
    <w:rsid w:val="000A20C9"/>
    <w:rsid w:val="000A39D9"/>
    <w:rsid w:val="000A4EF9"/>
    <w:rsid w:val="000A595D"/>
    <w:rsid w:val="000A5B6E"/>
    <w:rsid w:val="000A5E8A"/>
    <w:rsid w:val="000A62CA"/>
    <w:rsid w:val="000A763B"/>
    <w:rsid w:val="000A79E7"/>
    <w:rsid w:val="000A7ED4"/>
    <w:rsid w:val="000B00B1"/>
    <w:rsid w:val="000B058F"/>
    <w:rsid w:val="000B084A"/>
    <w:rsid w:val="000B1277"/>
    <w:rsid w:val="000B1A00"/>
    <w:rsid w:val="000B4467"/>
    <w:rsid w:val="000B4DB9"/>
    <w:rsid w:val="000B5F0E"/>
    <w:rsid w:val="000B6EF1"/>
    <w:rsid w:val="000B74F3"/>
    <w:rsid w:val="000B7BA1"/>
    <w:rsid w:val="000C018D"/>
    <w:rsid w:val="000C0438"/>
    <w:rsid w:val="000C09AC"/>
    <w:rsid w:val="000C0B38"/>
    <w:rsid w:val="000C15A6"/>
    <w:rsid w:val="000C1EEE"/>
    <w:rsid w:val="000C55CB"/>
    <w:rsid w:val="000C767F"/>
    <w:rsid w:val="000D013B"/>
    <w:rsid w:val="000D2E9A"/>
    <w:rsid w:val="000D48B6"/>
    <w:rsid w:val="000D55EE"/>
    <w:rsid w:val="000D5709"/>
    <w:rsid w:val="000D5A44"/>
    <w:rsid w:val="000D5D64"/>
    <w:rsid w:val="000D5FBE"/>
    <w:rsid w:val="000D79AE"/>
    <w:rsid w:val="000E05A3"/>
    <w:rsid w:val="000E2631"/>
    <w:rsid w:val="000E3109"/>
    <w:rsid w:val="000E3ED2"/>
    <w:rsid w:val="000E4275"/>
    <w:rsid w:val="000E7A33"/>
    <w:rsid w:val="000F133B"/>
    <w:rsid w:val="000F1C06"/>
    <w:rsid w:val="000F3817"/>
    <w:rsid w:val="000F3A16"/>
    <w:rsid w:val="000F4B13"/>
    <w:rsid w:val="000F5D23"/>
    <w:rsid w:val="000F7ED7"/>
    <w:rsid w:val="00100956"/>
    <w:rsid w:val="001013FF"/>
    <w:rsid w:val="00101575"/>
    <w:rsid w:val="00101E6F"/>
    <w:rsid w:val="00102053"/>
    <w:rsid w:val="00103AFA"/>
    <w:rsid w:val="00103D67"/>
    <w:rsid w:val="001054CC"/>
    <w:rsid w:val="001055FA"/>
    <w:rsid w:val="001109CE"/>
    <w:rsid w:val="00112C0F"/>
    <w:rsid w:val="00114347"/>
    <w:rsid w:val="00114387"/>
    <w:rsid w:val="00114396"/>
    <w:rsid w:val="001143FA"/>
    <w:rsid w:val="00115DD2"/>
    <w:rsid w:val="00116A5D"/>
    <w:rsid w:val="00117CD8"/>
    <w:rsid w:val="0012080D"/>
    <w:rsid w:val="00120854"/>
    <w:rsid w:val="00123DCC"/>
    <w:rsid w:val="00123E26"/>
    <w:rsid w:val="001246F8"/>
    <w:rsid w:val="00125492"/>
    <w:rsid w:val="00125D1B"/>
    <w:rsid w:val="00126E19"/>
    <w:rsid w:val="00127072"/>
    <w:rsid w:val="00130FDB"/>
    <w:rsid w:val="00131F42"/>
    <w:rsid w:val="00132A06"/>
    <w:rsid w:val="00133ECD"/>
    <w:rsid w:val="001340AB"/>
    <w:rsid w:val="001341F0"/>
    <w:rsid w:val="0013465C"/>
    <w:rsid w:val="00134FB5"/>
    <w:rsid w:val="00135171"/>
    <w:rsid w:val="001357F1"/>
    <w:rsid w:val="001359C1"/>
    <w:rsid w:val="001366D1"/>
    <w:rsid w:val="00137A7E"/>
    <w:rsid w:val="00137BFA"/>
    <w:rsid w:val="00140397"/>
    <w:rsid w:val="00140C8E"/>
    <w:rsid w:val="00140FA8"/>
    <w:rsid w:val="001416D5"/>
    <w:rsid w:val="0014174C"/>
    <w:rsid w:val="00142AFC"/>
    <w:rsid w:val="00142FEB"/>
    <w:rsid w:val="00143A2D"/>
    <w:rsid w:val="001442DF"/>
    <w:rsid w:val="00145A41"/>
    <w:rsid w:val="00146017"/>
    <w:rsid w:val="001460E7"/>
    <w:rsid w:val="0014679E"/>
    <w:rsid w:val="0014798F"/>
    <w:rsid w:val="0015122E"/>
    <w:rsid w:val="00151675"/>
    <w:rsid w:val="00152154"/>
    <w:rsid w:val="00152701"/>
    <w:rsid w:val="00152CFC"/>
    <w:rsid w:val="00153FEC"/>
    <w:rsid w:val="00154F43"/>
    <w:rsid w:val="00155119"/>
    <w:rsid w:val="00155796"/>
    <w:rsid w:val="00156D0F"/>
    <w:rsid w:val="00157435"/>
    <w:rsid w:val="00157F81"/>
    <w:rsid w:val="00160902"/>
    <w:rsid w:val="001618C9"/>
    <w:rsid w:val="00161AAD"/>
    <w:rsid w:val="00162110"/>
    <w:rsid w:val="00165620"/>
    <w:rsid w:val="00166CAC"/>
    <w:rsid w:val="001670B3"/>
    <w:rsid w:val="00170AAB"/>
    <w:rsid w:val="00172318"/>
    <w:rsid w:val="0017232D"/>
    <w:rsid w:val="00174639"/>
    <w:rsid w:val="00174D13"/>
    <w:rsid w:val="0017504D"/>
    <w:rsid w:val="00176241"/>
    <w:rsid w:val="0017671A"/>
    <w:rsid w:val="00177422"/>
    <w:rsid w:val="00177C96"/>
    <w:rsid w:val="00181738"/>
    <w:rsid w:val="001820B6"/>
    <w:rsid w:val="00182C59"/>
    <w:rsid w:val="00183695"/>
    <w:rsid w:val="00183AE2"/>
    <w:rsid w:val="00184590"/>
    <w:rsid w:val="00184CD7"/>
    <w:rsid w:val="001855F3"/>
    <w:rsid w:val="0018572D"/>
    <w:rsid w:val="00186328"/>
    <w:rsid w:val="001870D1"/>
    <w:rsid w:val="0018781E"/>
    <w:rsid w:val="0019180A"/>
    <w:rsid w:val="0019262D"/>
    <w:rsid w:val="001927DB"/>
    <w:rsid w:val="00193387"/>
    <w:rsid w:val="00197653"/>
    <w:rsid w:val="00197984"/>
    <w:rsid w:val="001A0A14"/>
    <w:rsid w:val="001A1B35"/>
    <w:rsid w:val="001A2FCB"/>
    <w:rsid w:val="001A48A2"/>
    <w:rsid w:val="001A6206"/>
    <w:rsid w:val="001A6F61"/>
    <w:rsid w:val="001B09CE"/>
    <w:rsid w:val="001B0BAA"/>
    <w:rsid w:val="001B0BE7"/>
    <w:rsid w:val="001B1AF8"/>
    <w:rsid w:val="001B5015"/>
    <w:rsid w:val="001B6769"/>
    <w:rsid w:val="001B72B8"/>
    <w:rsid w:val="001B7977"/>
    <w:rsid w:val="001C0DAC"/>
    <w:rsid w:val="001C1288"/>
    <w:rsid w:val="001C12FE"/>
    <w:rsid w:val="001C5001"/>
    <w:rsid w:val="001C6445"/>
    <w:rsid w:val="001C69B3"/>
    <w:rsid w:val="001C7F96"/>
    <w:rsid w:val="001D1B67"/>
    <w:rsid w:val="001D4418"/>
    <w:rsid w:val="001D45BE"/>
    <w:rsid w:val="001D5595"/>
    <w:rsid w:val="001D7874"/>
    <w:rsid w:val="001D7F22"/>
    <w:rsid w:val="001E0092"/>
    <w:rsid w:val="001E0E44"/>
    <w:rsid w:val="001E173A"/>
    <w:rsid w:val="001E180E"/>
    <w:rsid w:val="001E1E76"/>
    <w:rsid w:val="001E21DA"/>
    <w:rsid w:val="001E3ECF"/>
    <w:rsid w:val="001E4726"/>
    <w:rsid w:val="001E514B"/>
    <w:rsid w:val="001E5812"/>
    <w:rsid w:val="001E5B4B"/>
    <w:rsid w:val="001E5D91"/>
    <w:rsid w:val="001E6C6A"/>
    <w:rsid w:val="001E6D89"/>
    <w:rsid w:val="001E73F3"/>
    <w:rsid w:val="001E7AB2"/>
    <w:rsid w:val="001F07F5"/>
    <w:rsid w:val="001F0F17"/>
    <w:rsid w:val="001F1424"/>
    <w:rsid w:val="001F150B"/>
    <w:rsid w:val="001F1ABF"/>
    <w:rsid w:val="001F3347"/>
    <w:rsid w:val="001F34D8"/>
    <w:rsid w:val="001F45E4"/>
    <w:rsid w:val="001F4FAF"/>
    <w:rsid w:val="001F4FB7"/>
    <w:rsid w:val="001F560C"/>
    <w:rsid w:val="001F6148"/>
    <w:rsid w:val="001F69E4"/>
    <w:rsid w:val="001F6D85"/>
    <w:rsid w:val="001F722F"/>
    <w:rsid w:val="0020011D"/>
    <w:rsid w:val="00200939"/>
    <w:rsid w:val="00202228"/>
    <w:rsid w:val="002023A9"/>
    <w:rsid w:val="002029AC"/>
    <w:rsid w:val="00203B04"/>
    <w:rsid w:val="00203B3F"/>
    <w:rsid w:val="002053BC"/>
    <w:rsid w:val="00205F89"/>
    <w:rsid w:val="00206931"/>
    <w:rsid w:val="00206C48"/>
    <w:rsid w:val="00207C64"/>
    <w:rsid w:val="00210077"/>
    <w:rsid w:val="00210D3C"/>
    <w:rsid w:val="002125B4"/>
    <w:rsid w:val="00212B61"/>
    <w:rsid w:val="002155B8"/>
    <w:rsid w:val="00215830"/>
    <w:rsid w:val="0021680D"/>
    <w:rsid w:val="00216B1B"/>
    <w:rsid w:val="00216EDA"/>
    <w:rsid w:val="002175E3"/>
    <w:rsid w:val="00217CD1"/>
    <w:rsid w:val="00217D8B"/>
    <w:rsid w:val="00220D39"/>
    <w:rsid w:val="00220E2D"/>
    <w:rsid w:val="00222E11"/>
    <w:rsid w:val="002235DE"/>
    <w:rsid w:val="00224839"/>
    <w:rsid w:val="002249B2"/>
    <w:rsid w:val="00225C04"/>
    <w:rsid w:val="0022611C"/>
    <w:rsid w:val="00226574"/>
    <w:rsid w:val="00226AF7"/>
    <w:rsid w:val="002278EC"/>
    <w:rsid w:val="00227E43"/>
    <w:rsid w:val="00231148"/>
    <w:rsid w:val="0023160E"/>
    <w:rsid w:val="00231FF0"/>
    <w:rsid w:val="0023280E"/>
    <w:rsid w:val="00233FE7"/>
    <w:rsid w:val="0023590B"/>
    <w:rsid w:val="0023630E"/>
    <w:rsid w:val="002375CD"/>
    <w:rsid w:val="002377D1"/>
    <w:rsid w:val="00237BDD"/>
    <w:rsid w:val="00237C3F"/>
    <w:rsid w:val="002409D1"/>
    <w:rsid w:val="002420BA"/>
    <w:rsid w:val="0024345F"/>
    <w:rsid w:val="0024450A"/>
    <w:rsid w:val="0024560A"/>
    <w:rsid w:val="002460EA"/>
    <w:rsid w:val="00247D8C"/>
    <w:rsid w:val="002506BC"/>
    <w:rsid w:val="00250D4C"/>
    <w:rsid w:val="0025329F"/>
    <w:rsid w:val="00254345"/>
    <w:rsid w:val="00256B78"/>
    <w:rsid w:val="002618D7"/>
    <w:rsid w:val="002621C7"/>
    <w:rsid w:val="00263988"/>
    <w:rsid w:val="00263A82"/>
    <w:rsid w:val="00264557"/>
    <w:rsid w:val="00264B32"/>
    <w:rsid w:val="002668B9"/>
    <w:rsid w:val="00267CB3"/>
    <w:rsid w:val="00267DC1"/>
    <w:rsid w:val="002701DA"/>
    <w:rsid w:val="0027096C"/>
    <w:rsid w:val="002718F9"/>
    <w:rsid w:val="00271F7D"/>
    <w:rsid w:val="00271FEA"/>
    <w:rsid w:val="00273647"/>
    <w:rsid w:val="00273B46"/>
    <w:rsid w:val="00274A59"/>
    <w:rsid w:val="00276EC0"/>
    <w:rsid w:val="0027740D"/>
    <w:rsid w:val="002805AB"/>
    <w:rsid w:val="00280E94"/>
    <w:rsid w:val="00281118"/>
    <w:rsid w:val="00281B67"/>
    <w:rsid w:val="0028209A"/>
    <w:rsid w:val="00284204"/>
    <w:rsid w:val="002845BC"/>
    <w:rsid w:val="0028526B"/>
    <w:rsid w:val="002864C5"/>
    <w:rsid w:val="0029028B"/>
    <w:rsid w:val="00291773"/>
    <w:rsid w:val="00292742"/>
    <w:rsid w:val="00292A4F"/>
    <w:rsid w:val="00293D15"/>
    <w:rsid w:val="00294713"/>
    <w:rsid w:val="00294E49"/>
    <w:rsid w:val="0029638E"/>
    <w:rsid w:val="0029669B"/>
    <w:rsid w:val="00296D0C"/>
    <w:rsid w:val="002A02A7"/>
    <w:rsid w:val="002A168C"/>
    <w:rsid w:val="002A1B1A"/>
    <w:rsid w:val="002A3DC7"/>
    <w:rsid w:val="002A42DB"/>
    <w:rsid w:val="002A4A10"/>
    <w:rsid w:val="002A7110"/>
    <w:rsid w:val="002B041F"/>
    <w:rsid w:val="002B09A0"/>
    <w:rsid w:val="002B10BF"/>
    <w:rsid w:val="002B19A3"/>
    <w:rsid w:val="002B2001"/>
    <w:rsid w:val="002B2332"/>
    <w:rsid w:val="002B47F3"/>
    <w:rsid w:val="002B495C"/>
    <w:rsid w:val="002B49E2"/>
    <w:rsid w:val="002B65AC"/>
    <w:rsid w:val="002B71C9"/>
    <w:rsid w:val="002B7B00"/>
    <w:rsid w:val="002B7C44"/>
    <w:rsid w:val="002C0616"/>
    <w:rsid w:val="002C163F"/>
    <w:rsid w:val="002C1BB3"/>
    <w:rsid w:val="002C2B17"/>
    <w:rsid w:val="002C33B7"/>
    <w:rsid w:val="002C466D"/>
    <w:rsid w:val="002C4EE3"/>
    <w:rsid w:val="002C61D3"/>
    <w:rsid w:val="002C6F1E"/>
    <w:rsid w:val="002D0C95"/>
    <w:rsid w:val="002D19E2"/>
    <w:rsid w:val="002D2149"/>
    <w:rsid w:val="002D3DD0"/>
    <w:rsid w:val="002D3E9A"/>
    <w:rsid w:val="002D4944"/>
    <w:rsid w:val="002D4D7F"/>
    <w:rsid w:val="002D5321"/>
    <w:rsid w:val="002D5662"/>
    <w:rsid w:val="002D654D"/>
    <w:rsid w:val="002D71A6"/>
    <w:rsid w:val="002D7277"/>
    <w:rsid w:val="002D7351"/>
    <w:rsid w:val="002E06E8"/>
    <w:rsid w:val="002E0927"/>
    <w:rsid w:val="002E1F3A"/>
    <w:rsid w:val="002E298A"/>
    <w:rsid w:val="002E3332"/>
    <w:rsid w:val="002E4E9F"/>
    <w:rsid w:val="002E7CF0"/>
    <w:rsid w:val="002F01D4"/>
    <w:rsid w:val="002F0694"/>
    <w:rsid w:val="002F16BA"/>
    <w:rsid w:val="002F2D52"/>
    <w:rsid w:val="002F3647"/>
    <w:rsid w:val="002F45D4"/>
    <w:rsid w:val="002F4FBD"/>
    <w:rsid w:val="002F5E67"/>
    <w:rsid w:val="002F6213"/>
    <w:rsid w:val="002F63F6"/>
    <w:rsid w:val="002F6EF7"/>
    <w:rsid w:val="002F779C"/>
    <w:rsid w:val="003005C1"/>
    <w:rsid w:val="00300B57"/>
    <w:rsid w:val="00301978"/>
    <w:rsid w:val="003022DE"/>
    <w:rsid w:val="00303236"/>
    <w:rsid w:val="0030332C"/>
    <w:rsid w:val="003039FD"/>
    <w:rsid w:val="003049F1"/>
    <w:rsid w:val="00304D36"/>
    <w:rsid w:val="003051C2"/>
    <w:rsid w:val="00305DDE"/>
    <w:rsid w:val="00306967"/>
    <w:rsid w:val="0030750E"/>
    <w:rsid w:val="0031090E"/>
    <w:rsid w:val="00311EAB"/>
    <w:rsid w:val="00312296"/>
    <w:rsid w:val="00312672"/>
    <w:rsid w:val="00312A29"/>
    <w:rsid w:val="00312C61"/>
    <w:rsid w:val="0031336E"/>
    <w:rsid w:val="003137D9"/>
    <w:rsid w:val="00314F0E"/>
    <w:rsid w:val="00320507"/>
    <w:rsid w:val="00321D8E"/>
    <w:rsid w:val="00321F00"/>
    <w:rsid w:val="00325928"/>
    <w:rsid w:val="00325E6B"/>
    <w:rsid w:val="00326D78"/>
    <w:rsid w:val="00326EC9"/>
    <w:rsid w:val="00330998"/>
    <w:rsid w:val="00330F15"/>
    <w:rsid w:val="00331890"/>
    <w:rsid w:val="003318E4"/>
    <w:rsid w:val="003321DC"/>
    <w:rsid w:val="00332863"/>
    <w:rsid w:val="00333FE4"/>
    <w:rsid w:val="0033684D"/>
    <w:rsid w:val="003373F8"/>
    <w:rsid w:val="003377FE"/>
    <w:rsid w:val="00337B42"/>
    <w:rsid w:val="00337BC3"/>
    <w:rsid w:val="00341313"/>
    <w:rsid w:val="00341791"/>
    <w:rsid w:val="00341B42"/>
    <w:rsid w:val="00341CD8"/>
    <w:rsid w:val="0034348F"/>
    <w:rsid w:val="00344D0C"/>
    <w:rsid w:val="003451C5"/>
    <w:rsid w:val="00350894"/>
    <w:rsid w:val="00350905"/>
    <w:rsid w:val="00355AA9"/>
    <w:rsid w:val="003562A0"/>
    <w:rsid w:val="00356653"/>
    <w:rsid w:val="00356A5D"/>
    <w:rsid w:val="00357130"/>
    <w:rsid w:val="0035743F"/>
    <w:rsid w:val="00357BE2"/>
    <w:rsid w:val="00357DFF"/>
    <w:rsid w:val="0036170C"/>
    <w:rsid w:val="00362821"/>
    <w:rsid w:val="00362F37"/>
    <w:rsid w:val="00363A9A"/>
    <w:rsid w:val="00363F48"/>
    <w:rsid w:val="00365CF2"/>
    <w:rsid w:val="00366E0F"/>
    <w:rsid w:val="003670D6"/>
    <w:rsid w:val="0036768F"/>
    <w:rsid w:val="003711BE"/>
    <w:rsid w:val="00371694"/>
    <w:rsid w:val="00371B67"/>
    <w:rsid w:val="00371DF3"/>
    <w:rsid w:val="0037300E"/>
    <w:rsid w:val="003732CF"/>
    <w:rsid w:val="00373890"/>
    <w:rsid w:val="00373DE0"/>
    <w:rsid w:val="00374BB4"/>
    <w:rsid w:val="00374FB4"/>
    <w:rsid w:val="00376A42"/>
    <w:rsid w:val="00376AE8"/>
    <w:rsid w:val="00376CC3"/>
    <w:rsid w:val="00376D71"/>
    <w:rsid w:val="003804B4"/>
    <w:rsid w:val="00380520"/>
    <w:rsid w:val="0038155B"/>
    <w:rsid w:val="00381A72"/>
    <w:rsid w:val="00381D98"/>
    <w:rsid w:val="0038237F"/>
    <w:rsid w:val="00383FCF"/>
    <w:rsid w:val="00384676"/>
    <w:rsid w:val="0038543B"/>
    <w:rsid w:val="003873CA"/>
    <w:rsid w:val="003875BD"/>
    <w:rsid w:val="00390857"/>
    <w:rsid w:val="00391F59"/>
    <w:rsid w:val="003972C4"/>
    <w:rsid w:val="003A12DD"/>
    <w:rsid w:val="003A1F8F"/>
    <w:rsid w:val="003A394B"/>
    <w:rsid w:val="003A4639"/>
    <w:rsid w:val="003A4BF3"/>
    <w:rsid w:val="003A5B7F"/>
    <w:rsid w:val="003A7F7F"/>
    <w:rsid w:val="003B0F90"/>
    <w:rsid w:val="003B169F"/>
    <w:rsid w:val="003B256E"/>
    <w:rsid w:val="003B29E2"/>
    <w:rsid w:val="003B398C"/>
    <w:rsid w:val="003B420D"/>
    <w:rsid w:val="003B4A8D"/>
    <w:rsid w:val="003B78C2"/>
    <w:rsid w:val="003B7DA7"/>
    <w:rsid w:val="003C0B78"/>
    <w:rsid w:val="003C12BA"/>
    <w:rsid w:val="003C2744"/>
    <w:rsid w:val="003C287D"/>
    <w:rsid w:val="003C32E4"/>
    <w:rsid w:val="003C35A8"/>
    <w:rsid w:val="003C5A37"/>
    <w:rsid w:val="003C62A1"/>
    <w:rsid w:val="003C6C16"/>
    <w:rsid w:val="003C764D"/>
    <w:rsid w:val="003D11EE"/>
    <w:rsid w:val="003D12FE"/>
    <w:rsid w:val="003D1619"/>
    <w:rsid w:val="003D340E"/>
    <w:rsid w:val="003D46B1"/>
    <w:rsid w:val="003D4F0E"/>
    <w:rsid w:val="003D5AD6"/>
    <w:rsid w:val="003D6A0B"/>
    <w:rsid w:val="003D794D"/>
    <w:rsid w:val="003E0171"/>
    <w:rsid w:val="003E0A0F"/>
    <w:rsid w:val="003E0DBC"/>
    <w:rsid w:val="003E0EB8"/>
    <w:rsid w:val="003E19C5"/>
    <w:rsid w:val="003E21B1"/>
    <w:rsid w:val="003E2D18"/>
    <w:rsid w:val="003E3058"/>
    <w:rsid w:val="003E4643"/>
    <w:rsid w:val="003E4862"/>
    <w:rsid w:val="003E64E7"/>
    <w:rsid w:val="003E73A9"/>
    <w:rsid w:val="003E76A9"/>
    <w:rsid w:val="003F0809"/>
    <w:rsid w:val="003F0DD6"/>
    <w:rsid w:val="003F2AA5"/>
    <w:rsid w:val="003F2F99"/>
    <w:rsid w:val="003F454D"/>
    <w:rsid w:val="003F4C59"/>
    <w:rsid w:val="003F5149"/>
    <w:rsid w:val="003F6293"/>
    <w:rsid w:val="003F6A8C"/>
    <w:rsid w:val="003F755C"/>
    <w:rsid w:val="003F7D6C"/>
    <w:rsid w:val="003F7DB5"/>
    <w:rsid w:val="00400B6E"/>
    <w:rsid w:val="00401A75"/>
    <w:rsid w:val="00402C73"/>
    <w:rsid w:val="004040F1"/>
    <w:rsid w:val="00406F01"/>
    <w:rsid w:val="00407DA7"/>
    <w:rsid w:val="00410E18"/>
    <w:rsid w:val="00411B97"/>
    <w:rsid w:val="00412B7F"/>
    <w:rsid w:val="004137B4"/>
    <w:rsid w:val="004138E9"/>
    <w:rsid w:val="00414448"/>
    <w:rsid w:val="00414F07"/>
    <w:rsid w:val="0041513A"/>
    <w:rsid w:val="00415C3F"/>
    <w:rsid w:val="0041618B"/>
    <w:rsid w:val="00416209"/>
    <w:rsid w:val="004166D2"/>
    <w:rsid w:val="00416D50"/>
    <w:rsid w:val="00416FD5"/>
    <w:rsid w:val="00417772"/>
    <w:rsid w:val="0042010E"/>
    <w:rsid w:val="00420757"/>
    <w:rsid w:val="00420E6A"/>
    <w:rsid w:val="004215FA"/>
    <w:rsid w:val="0042210A"/>
    <w:rsid w:val="0042214B"/>
    <w:rsid w:val="00422340"/>
    <w:rsid w:val="0042237C"/>
    <w:rsid w:val="004234EE"/>
    <w:rsid w:val="004236F6"/>
    <w:rsid w:val="004256BC"/>
    <w:rsid w:val="00425752"/>
    <w:rsid w:val="00425A9E"/>
    <w:rsid w:val="00426D6B"/>
    <w:rsid w:val="00427E0B"/>
    <w:rsid w:val="00427FC9"/>
    <w:rsid w:val="0043151A"/>
    <w:rsid w:val="0043159C"/>
    <w:rsid w:val="00431E6C"/>
    <w:rsid w:val="00431E92"/>
    <w:rsid w:val="0043248E"/>
    <w:rsid w:val="00433CE7"/>
    <w:rsid w:val="00433D81"/>
    <w:rsid w:val="0043441D"/>
    <w:rsid w:val="004348EF"/>
    <w:rsid w:val="00435157"/>
    <w:rsid w:val="004351D3"/>
    <w:rsid w:val="0043564E"/>
    <w:rsid w:val="004360CE"/>
    <w:rsid w:val="00437BD0"/>
    <w:rsid w:val="0044060B"/>
    <w:rsid w:val="00441423"/>
    <w:rsid w:val="0044303C"/>
    <w:rsid w:val="0044470A"/>
    <w:rsid w:val="00445434"/>
    <w:rsid w:val="0044634F"/>
    <w:rsid w:val="00450360"/>
    <w:rsid w:val="00452738"/>
    <w:rsid w:val="0045435E"/>
    <w:rsid w:val="00455CAE"/>
    <w:rsid w:val="00455E20"/>
    <w:rsid w:val="00455F02"/>
    <w:rsid w:val="00456091"/>
    <w:rsid w:val="0045616B"/>
    <w:rsid w:val="00461E1B"/>
    <w:rsid w:val="00462A78"/>
    <w:rsid w:val="0046305D"/>
    <w:rsid w:val="00463745"/>
    <w:rsid w:val="00463E3D"/>
    <w:rsid w:val="00463F85"/>
    <w:rsid w:val="004640AC"/>
    <w:rsid w:val="004650FC"/>
    <w:rsid w:val="00465593"/>
    <w:rsid w:val="0046598C"/>
    <w:rsid w:val="004662AC"/>
    <w:rsid w:val="00466321"/>
    <w:rsid w:val="0047191A"/>
    <w:rsid w:val="00471C80"/>
    <w:rsid w:val="0047289B"/>
    <w:rsid w:val="004739AA"/>
    <w:rsid w:val="00473B69"/>
    <w:rsid w:val="00475381"/>
    <w:rsid w:val="00475C85"/>
    <w:rsid w:val="004764CB"/>
    <w:rsid w:val="00476C92"/>
    <w:rsid w:val="00480338"/>
    <w:rsid w:val="00480B4B"/>
    <w:rsid w:val="00481AD0"/>
    <w:rsid w:val="00482ED0"/>
    <w:rsid w:val="0048400D"/>
    <w:rsid w:val="004846E0"/>
    <w:rsid w:val="004848A3"/>
    <w:rsid w:val="00484B9B"/>
    <w:rsid w:val="00484EEC"/>
    <w:rsid w:val="004855F6"/>
    <w:rsid w:val="004859BE"/>
    <w:rsid w:val="00486026"/>
    <w:rsid w:val="0048661E"/>
    <w:rsid w:val="00487CC0"/>
    <w:rsid w:val="00490E8F"/>
    <w:rsid w:val="004933E9"/>
    <w:rsid w:val="00493763"/>
    <w:rsid w:val="00493A52"/>
    <w:rsid w:val="00494263"/>
    <w:rsid w:val="00494670"/>
    <w:rsid w:val="00496367"/>
    <w:rsid w:val="00497C9A"/>
    <w:rsid w:val="004A064D"/>
    <w:rsid w:val="004A15B6"/>
    <w:rsid w:val="004A3823"/>
    <w:rsid w:val="004A3EEC"/>
    <w:rsid w:val="004A4792"/>
    <w:rsid w:val="004A4BAC"/>
    <w:rsid w:val="004A4E07"/>
    <w:rsid w:val="004A4E6D"/>
    <w:rsid w:val="004B0F21"/>
    <w:rsid w:val="004B2326"/>
    <w:rsid w:val="004B2D6C"/>
    <w:rsid w:val="004B34A1"/>
    <w:rsid w:val="004B44C7"/>
    <w:rsid w:val="004B49DE"/>
    <w:rsid w:val="004B4AFD"/>
    <w:rsid w:val="004B6205"/>
    <w:rsid w:val="004B6DD8"/>
    <w:rsid w:val="004B7183"/>
    <w:rsid w:val="004B73E0"/>
    <w:rsid w:val="004B748D"/>
    <w:rsid w:val="004B754E"/>
    <w:rsid w:val="004B7B1A"/>
    <w:rsid w:val="004C1F16"/>
    <w:rsid w:val="004C2329"/>
    <w:rsid w:val="004C24D4"/>
    <w:rsid w:val="004C307E"/>
    <w:rsid w:val="004C360D"/>
    <w:rsid w:val="004C42BA"/>
    <w:rsid w:val="004C4F2B"/>
    <w:rsid w:val="004C5B58"/>
    <w:rsid w:val="004D044A"/>
    <w:rsid w:val="004D1A0C"/>
    <w:rsid w:val="004D530D"/>
    <w:rsid w:val="004D7AFD"/>
    <w:rsid w:val="004D7EAB"/>
    <w:rsid w:val="004E21A7"/>
    <w:rsid w:val="004E2A3B"/>
    <w:rsid w:val="004E2FFA"/>
    <w:rsid w:val="004E30F4"/>
    <w:rsid w:val="004E67B5"/>
    <w:rsid w:val="004E6946"/>
    <w:rsid w:val="004E750B"/>
    <w:rsid w:val="004F1131"/>
    <w:rsid w:val="004F1AD8"/>
    <w:rsid w:val="004F24D0"/>
    <w:rsid w:val="004F2868"/>
    <w:rsid w:val="004F3743"/>
    <w:rsid w:val="004F4716"/>
    <w:rsid w:val="004F5130"/>
    <w:rsid w:val="004F6F76"/>
    <w:rsid w:val="004F7018"/>
    <w:rsid w:val="004F7F0D"/>
    <w:rsid w:val="005005D9"/>
    <w:rsid w:val="00501B3F"/>
    <w:rsid w:val="0050310F"/>
    <w:rsid w:val="005032FF"/>
    <w:rsid w:val="0050362B"/>
    <w:rsid w:val="00503959"/>
    <w:rsid w:val="005039CB"/>
    <w:rsid w:val="0050502D"/>
    <w:rsid w:val="0050558F"/>
    <w:rsid w:val="00506286"/>
    <w:rsid w:val="005063F5"/>
    <w:rsid w:val="00510813"/>
    <w:rsid w:val="00510EAD"/>
    <w:rsid w:val="0051172F"/>
    <w:rsid w:val="00511990"/>
    <w:rsid w:val="00511DE0"/>
    <w:rsid w:val="00514870"/>
    <w:rsid w:val="00514B9B"/>
    <w:rsid w:val="00515AA6"/>
    <w:rsid w:val="00516376"/>
    <w:rsid w:val="0051787D"/>
    <w:rsid w:val="00517DB7"/>
    <w:rsid w:val="00517F02"/>
    <w:rsid w:val="00522241"/>
    <w:rsid w:val="0052244A"/>
    <w:rsid w:val="00522595"/>
    <w:rsid w:val="00524303"/>
    <w:rsid w:val="00524A54"/>
    <w:rsid w:val="005258A2"/>
    <w:rsid w:val="00526B7A"/>
    <w:rsid w:val="00526CC7"/>
    <w:rsid w:val="0052742F"/>
    <w:rsid w:val="005308B9"/>
    <w:rsid w:val="00531373"/>
    <w:rsid w:val="00531490"/>
    <w:rsid w:val="0053553F"/>
    <w:rsid w:val="00536F49"/>
    <w:rsid w:val="00537A03"/>
    <w:rsid w:val="00537C0A"/>
    <w:rsid w:val="005401AE"/>
    <w:rsid w:val="00542E07"/>
    <w:rsid w:val="00543653"/>
    <w:rsid w:val="00544244"/>
    <w:rsid w:val="00545424"/>
    <w:rsid w:val="00545B97"/>
    <w:rsid w:val="00545EB6"/>
    <w:rsid w:val="00546431"/>
    <w:rsid w:val="005474BF"/>
    <w:rsid w:val="00550C5C"/>
    <w:rsid w:val="00551581"/>
    <w:rsid w:val="005527F3"/>
    <w:rsid w:val="00552902"/>
    <w:rsid w:val="00553D94"/>
    <w:rsid w:val="00554A7B"/>
    <w:rsid w:val="0055572C"/>
    <w:rsid w:val="00555CCB"/>
    <w:rsid w:val="00556232"/>
    <w:rsid w:val="005565EA"/>
    <w:rsid w:val="00556F06"/>
    <w:rsid w:val="005602F6"/>
    <w:rsid w:val="0056106A"/>
    <w:rsid w:val="0056221A"/>
    <w:rsid w:val="0056268D"/>
    <w:rsid w:val="00563FE2"/>
    <w:rsid w:val="00564921"/>
    <w:rsid w:val="00565078"/>
    <w:rsid w:val="00567B8B"/>
    <w:rsid w:val="005720AE"/>
    <w:rsid w:val="00572C41"/>
    <w:rsid w:val="005734B8"/>
    <w:rsid w:val="005739A3"/>
    <w:rsid w:val="00573FA4"/>
    <w:rsid w:val="00574557"/>
    <w:rsid w:val="005749D0"/>
    <w:rsid w:val="00575511"/>
    <w:rsid w:val="0057575B"/>
    <w:rsid w:val="00576DFD"/>
    <w:rsid w:val="00576E95"/>
    <w:rsid w:val="00576EB8"/>
    <w:rsid w:val="00577A39"/>
    <w:rsid w:val="00580AA1"/>
    <w:rsid w:val="005830E0"/>
    <w:rsid w:val="00583F5C"/>
    <w:rsid w:val="00584669"/>
    <w:rsid w:val="00584D89"/>
    <w:rsid w:val="00585434"/>
    <w:rsid w:val="005857B6"/>
    <w:rsid w:val="00590168"/>
    <w:rsid w:val="005903A8"/>
    <w:rsid w:val="0059136C"/>
    <w:rsid w:val="00591A98"/>
    <w:rsid w:val="00593E25"/>
    <w:rsid w:val="005948F3"/>
    <w:rsid w:val="00594D77"/>
    <w:rsid w:val="0059533E"/>
    <w:rsid w:val="005955C9"/>
    <w:rsid w:val="005969E4"/>
    <w:rsid w:val="00597075"/>
    <w:rsid w:val="00597114"/>
    <w:rsid w:val="005A06B7"/>
    <w:rsid w:val="005A0EA9"/>
    <w:rsid w:val="005A10CE"/>
    <w:rsid w:val="005A1759"/>
    <w:rsid w:val="005A25B0"/>
    <w:rsid w:val="005A3994"/>
    <w:rsid w:val="005A4262"/>
    <w:rsid w:val="005A5544"/>
    <w:rsid w:val="005A68A7"/>
    <w:rsid w:val="005A6992"/>
    <w:rsid w:val="005B0104"/>
    <w:rsid w:val="005B0249"/>
    <w:rsid w:val="005B067E"/>
    <w:rsid w:val="005B1296"/>
    <w:rsid w:val="005B26B5"/>
    <w:rsid w:val="005B28A9"/>
    <w:rsid w:val="005B319E"/>
    <w:rsid w:val="005B3412"/>
    <w:rsid w:val="005B344C"/>
    <w:rsid w:val="005B4AE7"/>
    <w:rsid w:val="005B4FD8"/>
    <w:rsid w:val="005B579F"/>
    <w:rsid w:val="005C00CF"/>
    <w:rsid w:val="005C08C9"/>
    <w:rsid w:val="005C1E65"/>
    <w:rsid w:val="005C2782"/>
    <w:rsid w:val="005C2F27"/>
    <w:rsid w:val="005C3497"/>
    <w:rsid w:val="005C3A95"/>
    <w:rsid w:val="005C4464"/>
    <w:rsid w:val="005C4573"/>
    <w:rsid w:val="005C48BF"/>
    <w:rsid w:val="005C4A4B"/>
    <w:rsid w:val="005C4E35"/>
    <w:rsid w:val="005D096D"/>
    <w:rsid w:val="005D0FC0"/>
    <w:rsid w:val="005D104B"/>
    <w:rsid w:val="005D1358"/>
    <w:rsid w:val="005D2010"/>
    <w:rsid w:val="005D283A"/>
    <w:rsid w:val="005D36AB"/>
    <w:rsid w:val="005D3842"/>
    <w:rsid w:val="005D4CB1"/>
    <w:rsid w:val="005D52B5"/>
    <w:rsid w:val="005D5F88"/>
    <w:rsid w:val="005D74D2"/>
    <w:rsid w:val="005E0038"/>
    <w:rsid w:val="005E012F"/>
    <w:rsid w:val="005E02F1"/>
    <w:rsid w:val="005E11BB"/>
    <w:rsid w:val="005E1BC5"/>
    <w:rsid w:val="005E299A"/>
    <w:rsid w:val="005E2AB3"/>
    <w:rsid w:val="005E2DFC"/>
    <w:rsid w:val="005E424B"/>
    <w:rsid w:val="005E6C3F"/>
    <w:rsid w:val="005E6F4F"/>
    <w:rsid w:val="005E749D"/>
    <w:rsid w:val="005F0B15"/>
    <w:rsid w:val="005F1273"/>
    <w:rsid w:val="005F29A9"/>
    <w:rsid w:val="005F32B7"/>
    <w:rsid w:val="005F598F"/>
    <w:rsid w:val="005F5E0D"/>
    <w:rsid w:val="005F6E29"/>
    <w:rsid w:val="00600537"/>
    <w:rsid w:val="00600649"/>
    <w:rsid w:val="00601953"/>
    <w:rsid w:val="006023D7"/>
    <w:rsid w:val="006046A4"/>
    <w:rsid w:val="0061083E"/>
    <w:rsid w:val="00610BFE"/>
    <w:rsid w:val="0061194E"/>
    <w:rsid w:val="0061223D"/>
    <w:rsid w:val="00612A27"/>
    <w:rsid w:val="00612C57"/>
    <w:rsid w:val="00613A61"/>
    <w:rsid w:val="006161FE"/>
    <w:rsid w:val="00617CC3"/>
    <w:rsid w:val="00621454"/>
    <w:rsid w:val="00621964"/>
    <w:rsid w:val="00621B7D"/>
    <w:rsid w:val="00621EAE"/>
    <w:rsid w:val="00623219"/>
    <w:rsid w:val="00625F10"/>
    <w:rsid w:val="00627C8C"/>
    <w:rsid w:val="00632B43"/>
    <w:rsid w:val="00632C25"/>
    <w:rsid w:val="00636AC0"/>
    <w:rsid w:val="00636CD1"/>
    <w:rsid w:val="006372A4"/>
    <w:rsid w:val="006377A6"/>
    <w:rsid w:val="00637A3D"/>
    <w:rsid w:val="00637F5E"/>
    <w:rsid w:val="006411EF"/>
    <w:rsid w:val="00641739"/>
    <w:rsid w:val="0064270B"/>
    <w:rsid w:val="0064281C"/>
    <w:rsid w:val="00645B68"/>
    <w:rsid w:val="00645CBA"/>
    <w:rsid w:val="006509CC"/>
    <w:rsid w:val="0065190D"/>
    <w:rsid w:val="00652348"/>
    <w:rsid w:val="006532DB"/>
    <w:rsid w:val="0065420A"/>
    <w:rsid w:val="00654BBF"/>
    <w:rsid w:val="0065585F"/>
    <w:rsid w:val="00655A72"/>
    <w:rsid w:val="00656F13"/>
    <w:rsid w:val="006574A7"/>
    <w:rsid w:val="00660573"/>
    <w:rsid w:val="00660760"/>
    <w:rsid w:val="00660F29"/>
    <w:rsid w:val="0066103C"/>
    <w:rsid w:val="00661170"/>
    <w:rsid w:val="00661206"/>
    <w:rsid w:val="00661335"/>
    <w:rsid w:val="00662567"/>
    <w:rsid w:val="006639DE"/>
    <w:rsid w:val="00664CBA"/>
    <w:rsid w:val="006654E1"/>
    <w:rsid w:val="006657D0"/>
    <w:rsid w:val="00665F55"/>
    <w:rsid w:val="006666F8"/>
    <w:rsid w:val="0066694A"/>
    <w:rsid w:val="006670AF"/>
    <w:rsid w:val="006678B7"/>
    <w:rsid w:val="00667BA8"/>
    <w:rsid w:val="006713DE"/>
    <w:rsid w:val="00671BA2"/>
    <w:rsid w:val="00672666"/>
    <w:rsid w:val="00673249"/>
    <w:rsid w:val="00673786"/>
    <w:rsid w:val="00673AF9"/>
    <w:rsid w:val="00674695"/>
    <w:rsid w:val="006748B8"/>
    <w:rsid w:val="006756DE"/>
    <w:rsid w:val="00676A3C"/>
    <w:rsid w:val="006775C3"/>
    <w:rsid w:val="006776C5"/>
    <w:rsid w:val="00677F09"/>
    <w:rsid w:val="00680403"/>
    <w:rsid w:val="00680C92"/>
    <w:rsid w:val="006854D3"/>
    <w:rsid w:val="006856C5"/>
    <w:rsid w:val="00685AAD"/>
    <w:rsid w:val="0068685C"/>
    <w:rsid w:val="00686D79"/>
    <w:rsid w:val="006874CF"/>
    <w:rsid w:val="0069009D"/>
    <w:rsid w:val="006918E1"/>
    <w:rsid w:val="00691D36"/>
    <w:rsid w:val="00692145"/>
    <w:rsid w:val="0069290A"/>
    <w:rsid w:val="006933B3"/>
    <w:rsid w:val="00693407"/>
    <w:rsid w:val="00693753"/>
    <w:rsid w:val="00693ED4"/>
    <w:rsid w:val="00696433"/>
    <w:rsid w:val="0069775A"/>
    <w:rsid w:val="00697813"/>
    <w:rsid w:val="006A0A7E"/>
    <w:rsid w:val="006A0B6D"/>
    <w:rsid w:val="006A16E3"/>
    <w:rsid w:val="006A2C1F"/>
    <w:rsid w:val="006A2EDC"/>
    <w:rsid w:val="006A3EE8"/>
    <w:rsid w:val="006A4419"/>
    <w:rsid w:val="006A4CED"/>
    <w:rsid w:val="006A4F8F"/>
    <w:rsid w:val="006A50EB"/>
    <w:rsid w:val="006A6142"/>
    <w:rsid w:val="006A6187"/>
    <w:rsid w:val="006A64D4"/>
    <w:rsid w:val="006A6F6F"/>
    <w:rsid w:val="006A72BF"/>
    <w:rsid w:val="006A7E5C"/>
    <w:rsid w:val="006B03F2"/>
    <w:rsid w:val="006B0921"/>
    <w:rsid w:val="006B0E9E"/>
    <w:rsid w:val="006B1326"/>
    <w:rsid w:val="006B17C9"/>
    <w:rsid w:val="006B19DF"/>
    <w:rsid w:val="006B1AD0"/>
    <w:rsid w:val="006B1C06"/>
    <w:rsid w:val="006B21C0"/>
    <w:rsid w:val="006B37DC"/>
    <w:rsid w:val="006B4F68"/>
    <w:rsid w:val="006B55E9"/>
    <w:rsid w:val="006B7359"/>
    <w:rsid w:val="006C0592"/>
    <w:rsid w:val="006C18D9"/>
    <w:rsid w:val="006C26FF"/>
    <w:rsid w:val="006C272E"/>
    <w:rsid w:val="006C43C0"/>
    <w:rsid w:val="006C5110"/>
    <w:rsid w:val="006C5243"/>
    <w:rsid w:val="006C5479"/>
    <w:rsid w:val="006C6890"/>
    <w:rsid w:val="006D13B5"/>
    <w:rsid w:val="006D192C"/>
    <w:rsid w:val="006D1D06"/>
    <w:rsid w:val="006D2033"/>
    <w:rsid w:val="006D2AB6"/>
    <w:rsid w:val="006D3A1A"/>
    <w:rsid w:val="006D3E31"/>
    <w:rsid w:val="006D642A"/>
    <w:rsid w:val="006E044F"/>
    <w:rsid w:val="006E08EF"/>
    <w:rsid w:val="006E124A"/>
    <w:rsid w:val="006E12FF"/>
    <w:rsid w:val="006E2284"/>
    <w:rsid w:val="006E26EE"/>
    <w:rsid w:val="006E3A4D"/>
    <w:rsid w:val="006E3D68"/>
    <w:rsid w:val="006E488B"/>
    <w:rsid w:val="006E4A7C"/>
    <w:rsid w:val="006E607E"/>
    <w:rsid w:val="006E66F9"/>
    <w:rsid w:val="006E6917"/>
    <w:rsid w:val="006E6B79"/>
    <w:rsid w:val="006F0A3A"/>
    <w:rsid w:val="006F14DF"/>
    <w:rsid w:val="006F1ED9"/>
    <w:rsid w:val="006F20AF"/>
    <w:rsid w:val="006F2767"/>
    <w:rsid w:val="006F5732"/>
    <w:rsid w:val="006F66A4"/>
    <w:rsid w:val="007038C1"/>
    <w:rsid w:val="00703FCE"/>
    <w:rsid w:val="007043B0"/>
    <w:rsid w:val="007043F2"/>
    <w:rsid w:val="00706C5D"/>
    <w:rsid w:val="00706D9A"/>
    <w:rsid w:val="007075AE"/>
    <w:rsid w:val="00707723"/>
    <w:rsid w:val="00707E9B"/>
    <w:rsid w:val="007119D0"/>
    <w:rsid w:val="0071269B"/>
    <w:rsid w:val="0071446F"/>
    <w:rsid w:val="00716E58"/>
    <w:rsid w:val="00717A06"/>
    <w:rsid w:val="00717C3B"/>
    <w:rsid w:val="00720333"/>
    <w:rsid w:val="007209AE"/>
    <w:rsid w:val="00720B91"/>
    <w:rsid w:val="007222FF"/>
    <w:rsid w:val="007224EB"/>
    <w:rsid w:val="0072428C"/>
    <w:rsid w:val="007254FC"/>
    <w:rsid w:val="007277DC"/>
    <w:rsid w:val="00730799"/>
    <w:rsid w:val="00731100"/>
    <w:rsid w:val="00731629"/>
    <w:rsid w:val="0073170A"/>
    <w:rsid w:val="00732922"/>
    <w:rsid w:val="00732F30"/>
    <w:rsid w:val="00735848"/>
    <w:rsid w:val="007372CF"/>
    <w:rsid w:val="00741DDE"/>
    <w:rsid w:val="00742EFA"/>
    <w:rsid w:val="0074389A"/>
    <w:rsid w:val="00744E7A"/>
    <w:rsid w:val="007474C7"/>
    <w:rsid w:val="00747CDE"/>
    <w:rsid w:val="0075162E"/>
    <w:rsid w:val="00751BC4"/>
    <w:rsid w:val="00751D6C"/>
    <w:rsid w:val="00752672"/>
    <w:rsid w:val="00752939"/>
    <w:rsid w:val="00753256"/>
    <w:rsid w:val="00753ED1"/>
    <w:rsid w:val="00754034"/>
    <w:rsid w:val="00755C9A"/>
    <w:rsid w:val="00756556"/>
    <w:rsid w:val="00756A21"/>
    <w:rsid w:val="007573F8"/>
    <w:rsid w:val="00757613"/>
    <w:rsid w:val="00757994"/>
    <w:rsid w:val="007611F7"/>
    <w:rsid w:val="007614FC"/>
    <w:rsid w:val="007618C4"/>
    <w:rsid w:val="00761BDB"/>
    <w:rsid w:val="00762774"/>
    <w:rsid w:val="00765493"/>
    <w:rsid w:val="0076577E"/>
    <w:rsid w:val="00767980"/>
    <w:rsid w:val="00770B19"/>
    <w:rsid w:val="00771764"/>
    <w:rsid w:val="007722E1"/>
    <w:rsid w:val="00772887"/>
    <w:rsid w:val="00772A07"/>
    <w:rsid w:val="00772F78"/>
    <w:rsid w:val="00774005"/>
    <w:rsid w:val="0077463F"/>
    <w:rsid w:val="00775078"/>
    <w:rsid w:val="00775A90"/>
    <w:rsid w:val="00775AAF"/>
    <w:rsid w:val="00775FC0"/>
    <w:rsid w:val="00782975"/>
    <w:rsid w:val="00782AF4"/>
    <w:rsid w:val="007836EA"/>
    <w:rsid w:val="00784CDA"/>
    <w:rsid w:val="00785FB9"/>
    <w:rsid w:val="00786C6E"/>
    <w:rsid w:val="007870C6"/>
    <w:rsid w:val="007906C4"/>
    <w:rsid w:val="00792DAF"/>
    <w:rsid w:val="00792F21"/>
    <w:rsid w:val="007937A3"/>
    <w:rsid w:val="007940EA"/>
    <w:rsid w:val="00794CD5"/>
    <w:rsid w:val="00795324"/>
    <w:rsid w:val="007967E8"/>
    <w:rsid w:val="007A2170"/>
    <w:rsid w:val="007A22BF"/>
    <w:rsid w:val="007A3323"/>
    <w:rsid w:val="007A5837"/>
    <w:rsid w:val="007A64BA"/>
    <w:rsid w:val="007A76F3"/>
    <w:rsid w:val="007B4D01"/>
    <w:rsid w:val="007B5C70"/>
    <w:rsid w:val="007B69D4"/>
    <w:rsid w:val="007B6A33"/>
    <w:rsid w:val="007B6FC1"/>
    <w:rsid w:val="007B72B8"/>
    <w:rsid w:val="007B7A58"/>
    <w:rsid w:val="007C11C2"/>
    <w:rsid w:val="007C21B5"/>
    <w:rsid w:val="007C36EE"/>
    <w:rsid w:val="007C3936"/>
    <w:rsid w:val="007C5EDA"/>
    <w:rsid w:val="007C75B8"/>
    <w:rsid w:val="007D04A0"/>
    <w:rsid w:val="007D0511"/>
    <w:rsid w:val="007D1DB5"/>
    <w:rsid w:val="007D2298"/>
    <w:rsid w:val="007D2876"/>
    <w:rsid w:val="007D346F"/>
    <w:rsid w:val="007D3634"/>
    <w:rsid w:val="007D4919"/>
    <w:rsid w:val="007D4C4F"/>
    <w:rsid w:val="007D6DDB"/>
    <w:rsid w:val="007D6F63"/>
    <w:rsid w:val="007D7A3B"/>
    <w:rsid w:val="007E1D7C"/>
    <w:rsid w:val="007E208C"/>
    <w:rsid w:val="007E264B"/>
    <w:rsid w:val="007E3055"/>
    <w:rsid w:val="007E3EFA"/>
    <w:rsid w:val="007E4BD2"/>
    <w:rsid w:val="007E675F"/>
    <w:rsid w:val="007E7B4A"/>
    <w:rsid w:val="007F0502"/>
    <w:rsid w:val="007F0A73"/>
    <w:rsid w:val="007F2CC5"/>
    <w:rsid w:val="007F3045"/>
    <w:rsid w:val="007F320F"/>
    <w:rsid w:val="007F36C9"/>
    <w:rsid w:val="007F3927"/>
    <w:rsid w:val="007F4287"/>
    <w:rsid w:val="007F44AF"/>
    <w:rsid w:val="007F4894"/>
    <w:rsid w:val="007F4C39"/>
    <w:rsid w:val="007F6167"/>
    <w:rsid w:val="00801006"/>
    <w:rsid w:val="00801393"/>
    <w:rsid w:val="008019EB"/>
    <w:rsid w:val="00801BE8"/>
    <w:rsid w:val="00801C25"/>
    <w:rsid w:val="0080259D"/>
    <w:rsid w:val="00802F88"/>
    <w:rsid w:val="00803254"/>
    <w:rsid w:val="008053DB"/>
    <w:rsid w:val="00805AFC"/>
    <w:rsid w:val="00805E92"/>
    <w:rsid w:val="008060D6"/>
    <w:rsid w:val="00806346"/>
    <w:rsid w:val="00806B4C"/>
    <w:rsid w:val="0081293E"/>
    <w:rsid w:val="00813E33"/>
    <w:rsid w:val="00814627"/>
    <w:rsid w:val="00814693"/>
    <w:rsid w:val="00814B52"/>
    <w:rsid w:val="00815465"/>
    <w:rsid w:val="008167E5"/>
    <w:rsid w:val="00816FD3"/>
    <w:rsid w:val="00817C67"/>
    <w:rsid w:val="00817E9A"/>
    <w:rsid w:val="00820972"/>
    <w:rsid w:val="0082347B"/>
    <w:rsid w:val="008243B0"/>
    <w:rsid w:val="00825EE0"/>
    <w:rsid w:val="008276C6"/>
    <w:rsid w:val="008306BD"/>
    <w:rsid w:val="00831A80"/>
    <w:rsid w:val="00831ABF"/>
    <w:rsid w:val="008320C1"/>
    <w:rsid w:val="00832F18"/>
    <w:rsid w:val="00833743"/>
    <w:rsid w:val="00833B57"/>
    <w:rsid w:val="008340A4"/>
    <w:rsid w:val="00834A73"/>
    <w:rsid w:val="00835D7E"/>
    <w:rsid w:val="00837963"/>
    <w:rsid w:val="008379FB"/>
    <w:rsid w:val="008425B5"/>
    <w:rsid w:val="00842F15"/>
    <w:rsid w:val="00847336"/>
    <w:rsid w:val="008476D4"/>
    <w:rsid w:val="00850517"/>
    <w:rsid w:val="00851FC8"/>
    <w:rsid w:val="00854A13"/>
    <w:rsid w:val="00855607"/>
    <w:rsid w:val="00855BC6"/>
    <w:rsid w:val="00860130"/>
    <w:rsid w:val="0086103D"/>
    <w:rsid w:val="0086207A"/>
    <w:rsid w:val="00864D76"/>
    <w:rsid w:val="008652E7"/>
    <w:rsid w:val="0086535E"/>
    <w:rsid w:val="008657B9"/>
    <w:rsid w:val="008658F3"/>
    <w:rsid w:val="0086753F"/>
    <w:rsid w:val="00867F87"/>
    <w:rsid w:val="0087022B"/>
    <w:rsid w:val="008709F5"/>
    <w:rsid w:val="0087135F"/>
    <w:rsid w:val="00872C7A"/>
    <w:rsid w:val="00872D94"/>
    <w:rsid w:val="008731D0"/>
    <w:rsid w:val="008745DD"/>
    <w:rsid w:val="00875058"/>
    <w:rsid w:val="00875D06"/>
    <w:rsid w:val="00876E51"/>
    <w:rsid w:val="00876F87"/>
    <w:rsid w:val="0087700F"/>
    <w:rsid w:val="0087710D"/>
    <w:rsid w:val="00877132"/>
    <w:rsid w:val="0087749B"/>
    <w:rsid w:val="00877EF9"/>
    <w:rsid w:val="00880106"/>
    <w:rsid w:val="00880364"/>
    <w:rsid w:val="00880A8B"/>
    <w:rsid w:val="00880AC7"/>
    <w:rsid w:val="00881A79"/>
    <w:rsid w:val="008824DA"/>
    <w:rsid w:val="008828A5"/>
    <w:rsid w:val="00884815"/>
    <w:rsid w:val="008867B9"/>
    <w:rsid w:val="00887AEA"/>
    <w:rsid w:val="00891592"/>
    <w:rsid w:val="00891D80"/>
    <w:rsid w:val="00891E9E"/>
    <w:rsid w:val="0089279D"/>
    <w:rsid w:val="00895306"/>
    <w:rsid w:val="008966EC"/>
    <w:rsid w:val="00897B1A"/>
    <w:rsid w:val="00897FB1"/>
    <w:rsid w:val="008A0B2D"/>
    <w:rsid w:val="008A253C"/>
    <w:rsid w:val="008A2E8E"/>
    <w:rsid w:val="008A2F68"/>
    <w:rsid w:val="008A4192"/>
    <w:rsid w:val="008A4DF9"/>
    <w:rsid w:val="008A55B8"/>
    <w:rsid w:val="008A55C6"/>
    <w:rsid w:val="008A769D"/>
    <w:rsid w:val="008B3BD2"/>
    <w:rsid w:val="008B430A"/>
    <w:rsid w:val="008B4346"/>
    <w:rsid w:val="008B44B3"/>
    <w:rsid w:val="008B459F"/>
    <w:rsid w:val="008B4F62"/>
    <w:rsid w:val="008B4FA6"/>
    <w:rsid w:val="008B5282"/>
    <w:rsid w:val="008B5BD3"/>
    <w:rsid w:val="008B7613"/>
    <w:rsid w:val="008B7C17"/>
    <w:rsid w:val="008C02A5"/>
    <w:rsid w:val="008C0DD7"/>
    <w:rsid w:val="008C0ED1"/>
    <w:rsid w:val="008C15C4"/>
    <w:rsid w:val="008C2160"/>
    <w:rsid w:val="008C2C95"/>
    <w:rsid w:val="008C2D01"/>
    <w:rsid w:val="008C2F5C"/>
    <w:rsid w:val="008C40E6"/>
    <w:rsid w:val="008C51FE"/>
    <w:rsid w:val="008C72A0"/>
    <w:rsid w:val="008D03CB"/>
    <w:rsid w:val="008D0669"/>
    <w:rsid w:val="008D0684"/>
    <w:rsid w:val="008D0F7A"/>
    <w:rsid w:val="008D1B86"/>
    <w:rsid w:val="008D2781"/>
    <w:rsid w:val="008D305C"/>
    <w:rsid w:val="008D6876"/>
    <w:rsid w:val="008D68E4"/>
    <w:rsid w:val="008D7C2A"/>
    <w:rsid w:val="008E0506"/>
    <w:rsid w:val="008E05BD"/>
    <w:rsid w:val="008E0905"/>
    <w:rsid w:val="008E0B43"/>
    <w:rsid w:val="008E0CFF"/>
    <w:rsid w:val="008E11FA"/>
    <w:rsid w:val="008E1662"/>
    <w:rsid w:val="008E1E21"/>
    <w:rsid w:val="008E2467"/>
    <w:rsid w:val="008E29EF"/>
    <w:rsid w:val="008E2D3E"/>
    <w:rsid w:val="008E2FD4"/>
    <w:rsid w:val="008E381C"/>
    <w:rsid w:val="008E42BD"/>
    <w:rsid w:val="008E468F"/>
    <w:rsid w:val="008E49DE"/>
    <w:rsid w:val="008E52E3"/>
    <w:rsid w:val="008E568E"/>
    <w:rsid w:val="008E5D6B"/>
    <w:rsid w:val="008E76F0"/>
    <w:rsid w:val="008E7C47"/>
    <w:rsid w:val="008E7C83"/>
    <w:rsid w:val="008F02C5"/>
    <w:rsid w:val="008F0476"/>
    <w:rsid w:val="008F15FE"/>
    <w:rsid w:val="008F16DE"/>
    <w:rsid w:val="008F1ED4"/>
    <w:rsid w:val="008F2107"/>
    <w:rsid w:val="008F2D29"/>
    <w:rsid w:val="008F5187"/>
    <w:rsid w:val="008F5C77"/>
    <w:rsid w:val="008F60D8"/>
    <w:rsid w:val="008F6276"/>
    <w:rsid w:val="008F7355"/>
    <w:rsid w:val="008F75B4"/>
    <w:rsid w:val="009004EF"/>
    <w:rsid w:val="00900EDA"/>
    <w:rsid w:val="0090228A"/>
    <w:rsid w:val="00902727"/>
    <w:rsid w:val="00902AAB"/>
    <w:rsid w:val="00902E83"/>
    <w:rsid w:val="00903075"/>
    <w:rsid w:val="0090312B"/>
    <w:rsid w:val="00904C9B"/>
    <w:rsid w:val="00905332"/>
    <w:rsid w:val="00905A27"/>
    <w:rsid w:val="00905D75"/>
    <w:rsid w:val="00906546"/>
    <w:rsid w:val="00907BEC"/>
    <w:rsid w:val="00907CA6"/>
    <w:rsid w:val="0091067F"/>
    <w:rsid w:val="00911D29"/>
    <w:rsid w:val="00914375"/>
    <w:rsid w:val="00915CDE"/>
    <w:rsid w:val="009162F4"/>
    <w:rsid w:val="00916BE5"/>
    <w:rsid w:val="0091736D"/>
    <w:rsid w:val="009174E6"/>
    <w:rsid w:val="00917F1C"/>
    <w:rsid w:val="00922D62"/>
    <w:rsid w:val="00922DFE"/>
    <w:rsid w:val="009230DA"/>
    <w:rsid w:val="00924D84"/>
    <w:rsid w:val="00924DA6"/>
    <w:rsid w:val="009260E0"/>
    <w:rsid w:val="0092611A"/>
    <w:rsid w:val="00926243"/>
    <w:rsid w:val="00927715"/>
    <w:rsid w:val="0093037A"/>
    <w:rsid w:val="00930F18"/>
    <w:rsid w:val="00933653"/>
    <w:rsid w:val="00934C71"/>
    <w:rsid w:val="0093548D"/>
    <w:rsid w:val="0093626B"/>
    <w:rsid w:val="00936C60"/>
    <w:rsid w:val="00936D35"/>
    <w:rsid w:val="009402B3"/>
    <w:rsid w:val="00940430"/>
    <w:rsid w:val="009405BC"/>
    <w:rsid w:val="0094154D"/>
    <w:rsid w:val="00942E33"/>
    <w:rsid w:val="009436A9"/>
    <w:rsid w:val="00943C51"/>
    <w:rsid w:val="00944B4F"/>
    <w:rsid w:val="00946565"/>
    <w:rsid w:val="00946976"/>
    <w:rsid w:val="00946ECA"/>
    <w:rsid w:val="00947240"/>
    <w:rsid w:val="00947E4E"/>
    <w:rsid w:val="00950301"/>
    <w:rsid w:val="0095077A"/>
    <w:rsid w:val="0095155F"/>
    <w:rsid w:val="00953041"/>
    <w:rsid w:val="00953858"/>
    <w:rsid w:val="009538EB"/>
    <w:rsid w:val="00954429"/>
    <w:rsid w:val="009563CE"/>
    <w:rsid w:val="00957837"/>
    <w:rsid w:val="009605E9"/>
    <w:rsid w:val="00961B1A"/>
    <w:rsid w:val="00963C36"/>
    <w:rsid w:val="00963FC8"/>
    <w:rsid w:val="00964918"/>
    <w:rsid w:val="009656E6"/>
    <w:rsid w:val="00965ADB"/>
    <w:rsid w:val="009661D4"/>
    <w:rsid w:val="00967BB1"/>
    <w:rsid w:val="00967E76"/>
    <w:rsid w:val="00970652"/>
    <w:rsid w:val="0097124C"/>
    <w:rsid w:val="00973C8A"/>
    <w:rsid w:val="0097493C"/>
    <w:rsid w:val="00975C36"/>
    <w:rsid w:val="00976328"/>
    <w:rsid w:val="0097680D"/>
    <w:rsid w:val="0097684A"/>
    <w:rsid w:val="0097741B"/>
    <w:rsid w:val="009811EF"/>
    <w:rsid w:val="00982438"/>
    <w:rsid w:val="00982682"/>
    <w:rsid w:val="009833E2"/>
    <w:rsid w:val="009836EE"/>
    <w:rsid w:val="0098404C"/>
    <w:rsid w:val="0098496A"/>
    <w:rsid w:val="0098503D"/>
    <w:rsid w:val="00985109"/>
    <w:rsid w:val="00985283"/>
    <w:rsid w:val="00985E0B"/>
    <w:rsid w:val="00987025"/>
    <w:rsid w:val="00987115"/>
    <w:rsid w:val="00987D44"/>
    <w:rsid w:val="009909D2"/>
    <w:rsid w:val="0099187A"/>
    <w:rsid w:val="00992339"/>
    <w:rsid w:val="009925AD"/>
    <w:rsid w:val="009928D5"/>
    <w:rsid w:val="00992CEC"/>
    <w:rsid w:val="00993343"/>
    <w:rsid w:val="00994553"/>
    <w:rsid w:val="00995002"/>
    <w:rsid w:val="009950A9"/>
    <w:rsid w:val="009952F2"/>
    <w:rsid w:val="00995992"/>
    <w:rsid w:val="00995F44"/>
    <w:rsid w:val="00997096"/>
    <w:rsid w:val="009A017D"/>
    <w:rsid w:val="009A03E5"/>
    <w:rsid w:val="009A0F3B"/>
    <w:rsid w:val="009A11B9"/>
    <w:rsid w:val="009A1BB4"/>
    <w:rsid w:val="009A2036"/>
    <w:rsid w:val="009A2628"/>
    <w:rsid w:val="009A3200"/>
    <w:rsid w:val="009A4466"/>
    <w:rsid w:val="009A5AA3"/>
    <w:rsid w:val="009A693E"/>
    <w:rsid w:val="009A7E47"/>
    <w:rsid w:val="009A7E54"/>
    <w:rsid w:val="009B0897"/>
    <w:rsid w:val="009B0A0A"/>
    <w:rsid w:val="009B0FB4"/>
    <w:rsid w:val="009B1077"/>
    <w:rsid w:val="009B2A9A"/>
    <w:rsid w:val="009B2DC1"/>
    <w:rsid w:val="009B32FA"/>
    <w:rsid w:val="009B3C3D"/>
    <w:rsid w:val="009B4F73"/>
    <w:rsid w:val="009B7BD9"/>
    <w:rsid w:val="009C051C"/>
    <w:rsid w:val="009C0C87"/>
    <w:rsid w:val="009C499E"/>
    <w:rsid w:val="009C4BB8"/>
    <w:rsid w:val="009C4E8B"/>
    <w:rsid w:val="009C51E1"/>
    <w:rsid w:val="009C5ADA"/>
    <w:rsid w:val="009C6F00"/>
    <w:rsid w:val="009C79BF"/>
    <w:rsid w:val="009C7DD5"/>
    <w:rsid w:val="009D0D32"/>
    <w:rsid w:val="009D16C5"/>
    <w:rsid w:val="009D275F"/>
    <w:rsid w:val="009D3162"/>
    <w:rsid w:val="009D3416"/>
    <w:rsid w:val="009D3FB7"/>
    <w:rsid w:val="009D55A8"/>
    <w:rsid w:val="009E0154"/>
    <w:rsid w:val="009E0BD8"/>
    <w:rsid w:val="009E0F0F"/>
    <w:rsid w:val="009E1A20"/>
    <w:rsid w:val="009E1B88"/>
    <w:rsid w:val="009E227D"/>
    <w:rsid w:val="009E30E4"/>
    <w:rsid w:val="009E3F9C"/>
    <w:rsid w:val="009E4083"/>
    <w:rsid w:val="009E5019"/>
    <w:rsid w:val="009E77AD"/>
    <w:rsid w:val="009F003E"/>
    <w:rsid w:val="009F01CE"/>
    <w:rsid w:val="009F0A7B"/>
    <w:rsid w:val="009F262C"/>
    <w:rsid w:val="009F3B36"/>
    <w:rsid w:val="009F4251"/>
    <w:rsid w:val="009F4D4A"/>
    <w:rsid w:val="009F5603"/>
    <w:rsid w:val="009F5C04"/>
    <w:rsid w:val="009F62C8"/>
    <w:rsid w:val="009F635D"/>
    <w:rsid w:val="009F6409"/>
    <w:rsid w:val="009F6832"/>
    <w:rsid w:val="009F6DD6"/>
    <w:rsid w:val="009F6E69"/>
    <w:rsid w:val="009F779D"/>
    <w:rsid w:val="00A002DD"/>
    <w:rsid w:val="00A00C0D"/>
    <w:rsid w:val="00A01C58"/>
    <w:rsid w:val="00A025E2"/>
    <w:rsid w:val="00A035A7"/>
    <w:rsid w:val="00A03E3B"/>
    <w:rsid w:val="00A04271"/>
    <w:rsid w:val="00A04C01"/>
    <w:rsid w:val="00A04D32"/>
    <w:rsid w:val="00A04F1B"/>
    <w:rsid w:val="00A0501B"/>
    <w:rsid w:val="00A05797"/>
    <w:rsid w:val="00A05B2F"/>
    <w:rsid w:val="00A075C2"/>
    <w:rsid w:val="00A10FF1"/>
    <w:rsid w:val="00A1113E"/>
    <w:rsid w:val="00A11BA9"/>
    <w:rsid w:val="00A1231F"/>
    <w:rsid w:val="00A130B4"/>
    <w:rsid w:val="00A130F3"/>
    <w:rsid w:val="00A13E5C"/>
    <w:rsid w:val="00A14947"/>
    <w:rsid w:val="00A14A4A"/>
    <w:rsid w:val="00A15714"/>
    <w:rsid w:val="00A165A5"/>
    <w:rsid w:val="00A16CCB"/>
    <w:rsid w:val="00A16DB3"/>
    <w:rsid w:val="00A17A5E"/>
    <w:rsid w:val="00A2051C"/>
    <w:rsid w:val="00A220D0"/>
    <w:rsid w:val="00A22D42"/>
    <w:rsid w:val="00A23E02"/>
    <w:rsid w:val="00A251F9"/>
    <w:rsid w:val="00A30858"/>
    <w:rsid w:val="00A31747"/>
    <w:rsid w:val="00A31FFD"/>
    <w:rsid w:val="00A32A83"/>
    <w:rsid w:val="00A336EF"/>
    <w:rsid w:val="00A33769"/>
    <w:rsid w:val="00A337B4"/>
    <w:rsid w:val="00A3387F"/>
    <w:rsid w:val="00A33B40"/>
    <w:rsid w:val="00A33B51"/>
    <w:rsid w:val="00A33C52"/>
    <w:rsid w:val="00A3572E"/>
    <w:rsid w:val="00A35C9F"/>
    <w:rsid w:val="00A35FC4"/>
    <w:rsid w:val="00A368DB"/>
    <w:rsid w:val="00A36CD7"/>
    <w:rsid w:val="00A4000A"/>
    <w:rsid w:val="00A4037F"/>
    <w:rsid w:val="00A404EB"/>
    <w:rsid w:val="00A423AA"/>
    <w:rsid w:val="00A42C3D"/>
    <w:rsid w:val="00A4355E"/>
    <w:rsid w:val="00A43A26"/>
    <w:rsid w:val="00A43BF9"/>
    <w:rsid w:val="00A44A23"/>
    <w:rsid w:val="00A450E4"/>
    <w:rsid w:val="00A45FD2"/>
    <w:rsid w:val="00A460B0"/>
    <w:rsid w:val="00A50464"/>
    <w:rsid w:val="00A51AE0"/>
    <w:rsid w:val="00A51B80"/>
    <w:rsid w:val="00A51C16"/>
    <w:rsid w:val="00A52391"/>
    <w:rsid w:val="00A53508"/>
    <w:rsid w:val="00A53EC6"/>
    <w:rsid w:val="00A55C0F"/>
    <w:rsid w:val="00A55E20"/>
    <w:rsid w:val="00A56B84"/>
    <w:rsid w:val="00A62293"/>
    <w:rsid w:val="00A629BA"/>
    <w:rsid w:val="00A6417E"/>
    <w:rsid w:val="00A64778"/>
    <w:rsid w:val="00A6484F"/>
    <w:rsid w:val="00A655DA"/>
    <w:rsid w:val="00A6582F"/>
    <w:rsid w:val="00A65EDD"/>
    <w:rsid w:val="00A66A69"/>
    <w:rsid w:val="00A67BF3"/>
    <w:rsid w:val="00A72DFD"/>
    <w:rsid w:val="00A73DAB"/>
    <w:rsid w:val="00A749BA"/>
    <w:rsid w:val="00A753FF"/>
    <w:rsid w:val="00A77C59"/>
    <w:rsid w:val="00A77E3A"/>
    <w:rsid w:val="00A8085B"/>
    <w:rsid w:val="00A82887"/>
    <w:rsid w:val="00A82EE5"/>
    <w:rsid w:val="00A832BD"/>
    <w:rsid w:val="00A83E5B"/>
    <w:rsid w:val="00A86318"/>
    <w:rsid w:val="00A86667"/>
    <w:rsid w:val="00A870D8"/>
    <w:rsid w:val="00A8713F"/>
    <w:rsid w:val="00A90327"/>
    <w:rsid w:val="00A90636"/>
    <w:rsid w:val="00A90BA1"/>
    <w:rsid w:val="00A90BB9"/>
    <w:rsid w:val="00A922C6"/>
    <w:rsid w:val="00A92648"/>
    <w:rsid w:val="00A92DE6"/>
    <w:rsid w:val="00A931B3"/>
    <w:rsid w:val="00A93C91"/>
    <w:rsid w:val="00A97A9A"/>
    <w:rsid w:val="00A97C26"/>
    <w:rsid w:val="00A97D0B"/>
    <w:rsid w:val="00AA0243"/>
    <w:rsid w:val="00AA0671"/>
    <w:rsid w:val="00AA159D"/>
    <w:rsid w:val="00AA1848"/>
    <w:rsid w:val="00AA2531"/>
    <w:rsid w:val="00AA2CB8"/>
    <w:rsid w:val="00AA33A6"/>
    <w:rsid w:val="00AA7163"/>
    <w:rsid w:val="00AA786E"/>
    <w:rsid w:val="00AA7A08"/>
    <w:rsid w:val="00AA7C1E"/>
    <w:rsid w:val="00AB006D"/>
    <w:rsid w:val="00AB120B"/>
    <w:rsid w:val="00AB1B5D"/>
    <w:rsid w:val="00AB1E09"/>
    <w:rsid w:val="00AB210A"/>
    <w:rsid w:val="00AB3036"/>
    <w:rsid w:val="00AB4347"/>
    <w:rsid w:val="00AB5330"/>
    <w:rsid w:val="00AB57D4"/>
    <w:rsid w:val="00AB57DC"/>
    <w:rsid w:val="00AB6F4A"/>
    <w:rsid w:val="00AB70C9"/>
    <w:rsid w:val="00AB7747"/>
    <w:rsid w:val="00AC04E0"/>
    <w:rsid w:val="00AC05C1"/>
    <w:rsid w:val="00AC101A"/>
    <w:rsid w:val="00AC14CE"/>
    <w:rsid w:val="00AC18F7"/>
    <w:rsid w:val="00AC22ED"/>
    <w:rsid w:val="00AC2A56"/>
    <w:rsid w:val="00AC3986"/>
    <w:rsid w:val="00AC4C87"/>
    <w:rsid w:val="00AC4D5A"/>
    <w:rsid w:val="00AC594B"/>
    <w:rsid w:val="00AC665D"/>
    <w:rsid w:val="00AC79C6"/>
    <w:rsid w:val="00AD055E"/>
    <w:rsid w:val="00AD0BCC"/>
    <w:rsid w:val="00AD12A7"/>
    <w:rsid w:val="00AD15FD"/>
    <w:rsid w:val="00AD1BD7"/>
    <w:rsid w:val="00AD1F06"/>
    <w:rsid w:val="00AD31FE"/>
    <w:rsid w:val="00AD39A3"/>
    <w:rsid w:val="00AD423E"/>
    <w:rsid w:val="00AD463E"/>
    <w:rsid w:val="00AD47A7"/>
    <w:rsid w:val="00AD5297"/>
    <w:rsid w:val="00AD7059"/>
    <w:rsid w:val="00AD7DAE"/>
    <w:rsid w:val="00AE36F9"/>
    <w:rsid w:val="00AE3DFC"/>
    <w:rsid w:val="00AE5C4B"/>
    <w:rsid w:val="00AE69FF"/>
    <w:rsid w:val="00AE787F"/>
    <w:rsid w:val="00AE78D2"/>
    <w:rsid w:val="00AE7E80"/>
    <w:rsid w:val="00AF01A4"/>
    <w:rsid w:val="00AF0CBF"/>
    <w:rsid w:val="00AF0FBE"/>
    <w:rsid w:val="00AF257F"/>
    <w:rsid w:val="00AF2E4E"/>
    <w:rsid w:val="00AF33CF"/>
    <w:rsid w:val="00AF3759"/>
    <w:rsid w:val="00AF4D50"/>
    <w:rsid w:val="00AF4DB0"/>
    <w:rsid w:val="00AF5C08"/>
    <w:rsid w:val="00AF5D5F"/>
    <w:rsid w:val="00AF6179"/>
    <w:rsid w:val="00AF67A2"/>
    <w:rsid w:val="00AF70B5"/>
    <w:rsid w:val="00AF747F"/>
    <w:rsid w:val="00AF7913"/>
    <w:rsid w:val="00B0034E"/>
    <w:rsid w:val="00B0093C"/>
    <w:rsid w:val="00B01BBB"/>
    <w:rsid w:val="00B02863"/>
    <w:rsid w:val="00B02F36"/>
    <w:rsid w:val="00B03154"/>
    <w:rsid w:val="00B03B1F"/>
    <w:rsid w:val="00B0529B"/>
    <w:rsid w:val="00B06284"/>
    <w:rsid w:val="00B06706"/>
    <w:rsid w:val="00B071B2"/>
    <w:rsid w:val="00B109F4"/>
    <w:rsid w:val="00B119A5"/>
    <w:rsid w:val="00B11AC3"/>
    <w:rsid w:val="00B11EC9"/>
    <w:rsid w:val="00B123A7"/>
    <w:rsid w:val="00B1295A"/>
    <w:rsid w:val="00B130D2"/>
    <w:rsid w:val="00B137A3"/>
    <w:rsid w:val="00B13873"/>
    <w:rsid w:val="00B13B97"/>
    <w:rsid w:val="00B15399"/>
    <w:rsid w:val="00B158FE"/>
    <w:rsid w:val="00B178D1"/>
    <w:rsid w:val="00B17C29"/>
    <w:rsid w:val="00B20A45"/>
    <w:rsid w:val="00B216E2"/>
    <w:rsid w:val="00B21C5C"/>
    <w:rsid w:val="00B21F95"/>
    <w:rsid w:val="00B22C5C"/>
    <w:rsid w:val="00B22D46"/>
    <w:rsid w:val="00B2330E"/>
    <w:rsid w:val="00B23B74"/>
    <w:rsid w:val="00B24490"/>
    <w:rsid w:val="00B24B41"/>
    <w:rsid w:val="00B24D98"/>
    <w:rsid w:val="00B24F30"/>
    <w:rsid w:val="00B266A9"/>
    <w:rsid w:val="00B2672B"/>
    <w:rsid w:val="00B26A6A"/>
    <w:rsid w:val="00B27F75"/>
    <w:rsid w:val="00B303E9"/>
    <w:rsid w:val="00B3072E"/>
    <w:rsid w:val="00B31ABF"/>
    <w:rsid w:val="00B323D4"/>
    <w:rsid w:val="00B32F57"/>
    <w:rsid w:val="00B33BE3"/>
    <w:rsid w:val="00B34A9D"/>
    <w:rsid w:val="00B36783"/>
    <w:rsid w:val="00B37C21"/>
    <w:rsid w:val="00B40548"/>
    <w:rsid w:val="00B4087D"/>
    <w:rsid w:val="00B420E9"/>
    <w:rsid w:val="00B42EE8"/>
    <w:rsid w:val="00B43705"/>
    <w:rsid w:val="00B4411C"/>
    <w:rsid w:val="00B44B6D"/>
    <w:rsid w:val="00B44FF6"/>
    <w:rsid w:val="00B45428"/>
    <w:rsid w:val="00B47527"/>
    <w:rsid w:val="00B5029E"/>
    <w:rsid w:val="00B50606"/>
    <w:rsid w:val="00B50655"/>
    <w:rsid w:val="00B50D81"/>
    <w:rsid w:val="00B50FEF"/>
    <w:rsid w:val="00B53B5D"/>
    <w:rsid w:val="00B54107"/>
    <w:rsid w:val="00B54218"/>
    <w:rsid w:val="00B55413"/>
    <w:rsid w:val="00B57124"/>
    <w:rsid w:val="00B57B62"/>
    <w:rsid w:val="00B6055E"/>
    <w:rsid w:val="00B605A5"/>
    <w:rsid w:val="00B60E44"/>
    <w:rsid w:val="00B61E06"/>
    <w:rsid w:val="00B6317D"/>
    <w:rsid w:val="00B63282"/>
    <w:rsid w:val="00B63593"/>
    <w:rsid w:val="00B63699"/>
    <w:rsid w:val="00B64629"/>
    <w:rsid w:val="00B652A4"/>
    <w:rsid w:val="00B662E0"/>
    <w:rsid w:val="00B66851"/>
    <w:rsid w:val="00B66D2B"/>
    <w:rsid w:val="00B6705A"/>
    <w:rsid w:val="00B702BB"/>
    <w:rsid w:val="00B71FC1"/>
    <w:rsid w:val="00B74F91"/>
    <w:rsid w:val="00B7529C"/>
    <w:rsid w:val="00B763A3"/>
    <w:rsid w:val="00B7723F"/>
    <w:rsid w:val="00B772A2"/>
    <w:rsid w:val="00B77394"/>
    <w:rsid w:val="00B774EA"/>
    <w:rsid w:val="00B777CC"/>
    <w:rsid w:val="00B80534"/>
    <w:rsid w:val="00B81A05"/>
    <w:rsid w:val="00B83324"/>
    <w:rsid w:val="00B8375B"/>
    <w:rsid w:val="00B83773"/>
    <w:rsid w:val="00B8433C"/>
    <w:rsid w:val="00B846F5"/>
    <w:rsid w:val="00B84C89"/>
    <w:rsid w:val="00B85584"/>
    <w:rsid w:val="00B85EA1"/>
    <w:rsid w:val="00B8623D"/>
    <w:rsid w:val="00B86E0A"/>
    <w:rsid w:val="00B87225"/>
    <w:rsid w:val="00B87491"/>
    <w:rsid w:val="00B8767F"/>
    <w:rsid w:val="00B90A20"/>
    <w:rsid w:val="00B91107"/>
    <w:rsid w:val="00B9194C"/>
    <w:rsid w:val="00B930EA"/>
    <w:rsid w:val="00B947BB"/>
    <w:rsid w:val="00B97167"/>
    <w:rsid w:val="00B97701"/>
    <w:rsid w:val="00BA0798"/>
    <w:rsid w:val="00BA1778"/>
    <w:rsid w:val="00BA1CA1"/>
    <w:rsid w:val="00BA29E9"/>
    <w:rsid w:val="00BA6A5A"/>
    <w:rsid w:val="00BA7142"/>
    <w:rsid w:val="00BB0717"/>
    <w:rsid w:val="00BB0ADF"/>
    <w:rsid w:val="00BB1AB9"/>
    <w:rsid w:val="00BB1CD4"/>
    <w:rsid w:val="00BB237C"/>
    <w:rsid w:val="00BB2F7B"/>
    <w:rsid w:val="00BB3258"/>
    <w:rsid w:val="00BB35D0"/>
    <w:rsid w:val="00BB402D"/>
    <w:rsid w:val="00BB41A3"/>
    <w:rsid w:val="00BB61CF"/>
    <w:rsid w:val="00BB6546"/>
    <w:rsid w:val="00BB6A5E"/>
    <w:rsid w:val="00BC1540"/>
    <w:rsid w:val="00BC1871"/>
    <w:rsid w:val="00BC1EF8"/>
    <w:rsid w:val="00BC325C"/>
    <w:rsid w:val="00BC32CA"/>
    <w:rsid w:val="00BC32DC"/>
    <w:rsid w:val="00BC3470"/>
    <w:rsid w:val="00BC35B6"/>
    <w:rsid w:val="00BC53A1"/>
    <w:rsid w:val="00BD138E"/>
    <w:rsid w:val="00BD1B51"/>
    <w:rsid w:val="00BD35B7"/>
    <w:rsid w:val="00BD3B53"/>
    <w:rsid w:val="00BD415B"/>
    <w:rsid w:val="00BD4596"/>
    <w:rsid w:val="00BD4627"/>
    <w:rsid w:val="00BD78C9"/>
    <w:rsid w:val="00BE0859"/>
    <w:rsid w:val="00BE0E01"/>
    <w:rsid w:val="00BE1405"/>
    <w:rsid w:val="00BE1BF6"/>
    <w:rsid w:val="00BE312D"/>
    <w:rsid w:val="00BE486B"/>
    <w:rsid w:val="00BE52B1"/>
    <w:rsid w:val="00BE5427"/>
    <w:rsid w:val="00BE54FB"/>
    <w:rsid w:val="00BE7148"/>
    <w:rsid w:val="00BE7CDA"/>
    <w:rsid w:val="00BF016F"/>
    <w:rsid w:val="00BF0A2B"/>
    <w:rsid w:val="00BF1C20"/>
    <w:rsid w:val="00BF3F46"/>
    <w:rsid w:val="00C030EB"/>
    <w:rsid w:val="00C047AC"/>
    <w:rsid w:val="00C068D7"/>
    <w:rsid w:val="00C07213"/>
    <w:rsid w:val="00C10031"/>
    <w:rsid w:val="00C1008E"/>
    <w:rsid w:val="00C10203"/>
    <w:rsid w:val="00C10226"/>
    <w:rsid w:val="00C10578"/>
    <w:rsid w:val="00C109B1"/>
    <w:rsid w:val="00C11055"/>
    <w:rsid w:val="00C135BC"/>
    <w:rsid w:val="00C14D6A"/>
    <w:rsid w:val="00C14E76"/>
    <w:rsid w:val="00C15C95"/>
    <w:rsid w:val="00C173DF"/>
    <w:rsid w:val="00C17EF1"/>
    <w:rsid w:val="00C20BAF"/>
    <w:rsid w:val="00C20C1F"/>
    <w:rsid w:val="00C216AF"/>
    <w:rsid w:val="00C2251E"/>
    <w:rsid w:val="00C22977"/>
    <w:rsid w:val="00C22EB4"/>
    <w:rsid w:val="00C2374C"/>
    <w:rsid w:val="00C23963"/>
    <w:rsid w:val="00C23A5E"/>
    <w:rsid w:val="00C2596A"/>
    <w:rsid w:val="00C2651E"/>
    <w:rsid w:val="00C27537"/>
    <w:rsid w:val="00C300DF"/>
    <w:rsid w:val="00C30BBB"/>
    <w:rsid w:val="00C328FE"/>
    <w:rsid w:val="00C334ED"/>
    <w:rsid w:val="00C33507"/>
    <w:rsid w:val="00C33858"/>
    <w:rsid w:val="00C3419E"/>
    <w:rsid w:val="00C348E7"/>
    <w:rsid w:val="00C37CD3"/>
    <w:rsid w:val="00C402E5"/>
    <w:rsid w:val="00C40789"/>
    <w:rsid w:val="00C415D7"/>
    <w:rsid w:val="00C41CB2"/>
    <w:rsid w:val="00C41EBB"/>
    <w:rsid w:val="00C42687"/>
    <w:rsid w:val="00C429C8"/>
    <w:rsid w:val="00C42F36"/>
    <w:rsid w:val="00C4409D"/>
    <w:rsid w:val="00C44E72"/>
    <w:rsid w:val="00C456B8"/>
    <w:rsid w:val="00C45A06"/>
    <w:rsid w:val="00C4666D"/>
    <w:rsid w:val="00C47E5B"/>
    <w:rsid w:val="00C5077F"/>
    <w:rsid w:val="00C50AA2"/>
    <w:rsid w:val="00C517BB"/>
    <w:rsid w:val="00C51E10"/>
    <w:rsid w:val="00C52163"/>
    <w:rsid w:val="00C5277E"/>
    <w:rsid w:val="00C52E3B"/>
    <w:rsid w:val="00C53647"/>
    <w:rsid w:val="00C53C51"/>
    <w:rsid w:val="00C5425C"/>
    <w:rsid w:val="00C542ED"/>
    <w:rsid w:val="00C54364"/>
    <w:rsid w:val="00C54680"/>
    <w:rsid w:val="00C54784"/>
    <w:rsid w:val="00C549BC"/>
    <w:rsid w:val="00C552F7"/>
    <w:rsid w:val="00C554BF"/>
    <w:rsid w:val="00C60A03"/>
    <w:rsid w:val="00C61E4B"/>
    <w:rsid w:val="00C62479"/>
    <w:rsid w:val="00C641EC"/>
    <w:rsid w:val="00C645A5"/>
    <w:rsid w:val="00C64BFF"/>
    <w:rsid w:val="00C64EEE"/>
    <w:rsid w:val="00C6697D"/>
    <w:rsid w:val="00C672EF"/>
    <w:rsid w:val="00C704E9"/>
    <w:rsid w:val="00C70EDF"/>
    <w:rsid w:val="00C71429"/>
    <w:rsid w:val="00C7227B"/>
    <w:rsid w:val="00C72C79"/>
    <w:rsid w:val="00C742DA"/>
    <w:rsid w:val="00C7558F"/>
    <w:rsid w:val="00C75DC7"/>
    <w:rsid w:val="00C761E7"/>
    <w:rsid w:val="00C763C9"/>
    <w:rsid w:val="00C7681F"/>
    <w:rsid w:val="00C770A4"/>
    <w:rsid w:val="00C7723D"/>
    <w:rsid w:val="00C77254"/>
    <w:rsid w:val="00C80057"/>
    <w:rsid w:val="00C81969"/>
    <w:rsid w:val="00C81E4B"/>
    <w:rsid w:val="00C82232"/>
    <w:rsid w:val="00C822CC"/>
    <w:rsid w:val="00C82913"/>
    <w:rsid w:val="00C829D0"/>
    <w:rsid w:val="00C8391A"/>
    <w:rsid w:val="00C83B70"/>
    <w:rsid w:val="00C83D3E"/>
    <w:rsid w:val="00C84385"/>
    <w:rsid w:val="00C84D0F"/>
    <w:rsid w:val="00C84F0C"/>
    <w:rsid w:val="00C86086"/>
    <w:rsid w:val="00C86824"/>
    <w:rsid w:val="00C90846"/>
    <w:rsid w:val="00C91DDD"/>
    <w:rsid w:val="00C9493F"/>
    <w:rsid w:val="00C94AB8"/>
    <w:rsid w:val="00C94CBC"/>
    <w:rsid w:val="00C94FF5"/>
    <w:rsid w:val="00C96678"/>
    <w:rsid w:val="00C972B1"/>
    <w:rsid w:val="00CA084A"/>
    <w:rsid w:val="00CA09BF"/>
    <w:rsid w:val="00CA2CCE"/>
    <w:rsid w:val="00CA2F69"/>
    <w:rsid w:val="00CA3FC0"/>
    <w:rsid w:val="00CA43FD"/>
    <w:rsid w:val="00CA45BA"/>
    <w:rsid w:val="00CA5926"/>
    <w:rsid w:val="00CA595A"/>
    <w:rsid w:val="00CA6DC1"/>
    <w:rsid w:val="00CA7C4F"/>
    <w:rsid w:val="00CA7DCC"/>
    <w:rsid w:val="00CA7EF8"/>
    <w:rsid w:val="00CB0009"/>
    <w:rsid w:val="00CB096C"/>
    <w:rsid w:val="00CB1695"/>
    <w:rsid w:val="00CB2639"/>
    <w:rsid w:val="00CB35A2"/>
    <w:rsid w:val="00CB372F"/>
    <w:rsid w:val="00CB490F"/>
    <w:rsid w:val="00CB69A8"/>
    <w:rsid w:val="00CB6DA1"/>
    <w:rsid w:val="00CC012F"/>
    <w:rsid w:val="00CC097E"/>
    <w:rsid w:val="00CC0FE2"/>
    <w:rsid w:val="00CC1A5C"/>
    <w:rsid w:val="00CC1C74"/>
    <w:rsid w:val="00CC2E5E"/>
    <w:rsid w:val="00CC3A60"/>
    <w:rsid w:val="00CC4270"/>
    <w:rsid w:val="00CC489B"/>
    <w:rsid w:val="00CC4F88"/>
    <w:rsid w:val="00CC5597"/>
    <w:rsid w:val="00CC5868"/>
    <w:rsid w:val="00CC58E0"/>
    <w:rsid w:val="00CC5C44"/>
    <w:rsid w:val="00CC6107"/>
    <w:rsid w:val="00CC711D"/>
    <w:rsid w:val="00CD0270"/>
    <w:rsid w:val="00CD039E"/>
    <w:rsid w:val="00CD1AD8"/>
    <w:rsid w:val="00CD2BCD"/>
    <w:rsid w:val="00CD2DD5"/>
    <w:rsid w:val="00CD3A4C"/>
    <w:rsid w:val="00CD40BA"/>
    <w:rsid w:val="00CD4D47"/>
    <w:rsid w:val="00CD6F2C"/>
    <w:rsid w:val="00CE10E9"/>
    <w:rsid w:val="00CE194C"/>
    <w:rsid w:val="00CE25E9"/>
    <w:rsid w:val="00CE2910"/>
    <w:rsid w:val="00CE2C8B"/>
    <w:rsid w:val="00CE3A87"/>
    <w:rsid w:val="00CE5393"/>
    <w:rsid w:val="00CE5537"/>
    <w:rsid w:val="00CE581A"/>
    <w:rsid w:val="00CE61DA"/>
    <w:rsid w:val="00CE751A"/>
    <w:rsid w:val="00CE774D"/>
    <w:rsid w:val="00CE789B"/>
    <w:rsid w:val="00CF0F34"/>
    <w:rsid w:val="00CF0F7F"/>
    <w:rsid w:val="00CF10AE"/>
    <w:rsid w:val="00CF2F6F"/>
    <w:rsid w:val="00CF36BE"/>
    <w:rsid w:val="00CF3B17"/>
    <w:rsid w:val="00CF4207"/>
    <w:rsid w:val="00CF6000"/>
    <w:rsid w:val="00CF7155"/>
    <w:rsid w:val="00D003F3"/>
    <w:rsid w:val="00D00613"/>
    <w:rsid w:val="00D029F8"/>
    <w:rsid w:val="00D02C9C"/>
    <w:rsid w:val="00D0364F"/>
    <w:rsid w:val="00D04763"/>
    <w:rsid w:val="00D05EA9"/>
    <w:rsid w:val="00D06834"/>
    <w:rsid w:val="00D06871"/>
    <w:rsid w:val="00D103FF"/>
    <w:rsid w:val="00D10B4A"/>
    <w:rsid w:val="00D1374B"/>
    <w:rsid w:val="00D149AD"/>
    <w:rsid w:val="00D15FB8"/>
    <w:rsid w:val="00D16593"/>
    <w:rsid w:val="00D16C76"/>
    <w:rsid w:val="00D22DDF"/>
    <w:rsid w:val="00D23456"/>
    <w:rsid w:val="00D23D56"/>
    <w:rsid w:val="00D243AC"/>
    <w:rsid w:val="00D26573"/>
    <w:rsid w:val="00D27080"/>
    <w:rsid w:val="00D279FB"/>
    <w:rsid w:val="00D308ED"/>
    <w:rsid w:val="00D3190C"/>
    <w:rsid w:val="00D32372"/>
    <w:rsid w:val="00D3350F"/>
    <w:rsid w:val="00D33FCC"/>
    <w:rsid w:val="00D35272"/>
    <w:rsid w:val="00D35528"/>
    <w:rsid w:val="00D36025"/>
    <w:rsid w:val="00D36193"/>
    <w:rsid w:val="00D36D86"/>
    <w:rsid w:val="00D37755"/>
    <w:rsid w:val="00D40425"/>
    <w:rsid w:val="00D40FFE"/>
    <w:rsid w:val="00D41112"/>
    <w:rsid w:val="00D411BD"/>
    <w:rsid w:val="00D4187A"/>
    <w:rsid w:val="00D428AA"/>
    <w:rsid w:val="00D42A9A"/>
    <w:rsid w:val="00D43B25"/>
    <w:rsid w:val="00D455EC"/>
    <w:rsid w:val="00D458C0"/>
    <w:rsid w:val="00D45F52"/>
    <w:rsid w:val="00D46174"/>
    <w:rsid w:val="00D46D13"/>
    <w:rsid w:val="00D471E0"/>
    <w:rsid w:val="00D4777D"/>
    <w:rsid w:val="00D47C30"/>
    <w:rsid w:val="00D506BB"/>
    <w:rsid w:val="00D50A34"/>
    <w:rsid w:val="00D529A0"/>
    <w:rsid w:val="00D53EFA"/>
    <w:rsid w:val="00D54078"/>
    <w:rsid w:val="00D54CAC"/>
    <w:rsid w:val="00D5718E"/>
    <w:rsid w:val="00D57B17"/>
    <w:rsid w:val="00D60A66"/>
    <w:rsid w:val="00D60E4D"/>
    <w:rsid w:val="00D644FE"/>
    <w:rsid w:val="00D65427"/>
    <w:rsid w:val="00D65D11"/>
    <w:rsid w:val="00D6688D"/>
    <w:rsid w:val="00D70665"/>
    <w:rsid w:val="00D706F9"/>
    <w:rsid w:val="00D71738"/>
    <w:rsid w:val="00D72295"/>
    <w:rsid w:val="00D725FB"/>
    <w:rsid w:val="00D72682"/>
    <w:rsid w:val="00D738C2"/>
    <w:rsid w:val="00D748D2"/>
    <w:rsid w:val="00D74ADD"/>
    <w:rsid w:val="00D76B69"/>
    <w:rsid w:val="00D77A00"/>
    <w:rsid w:val="00D77F2B"/>
    <w:rsid w:val="00D80036"/>
    <w:rsid w:val="00D82C32"/>
    <w:rsid w:val="00D83526"/>
    <w:rsid w:val="00D836CA"/>
    <w:rsid w:val="00D863A5"/>
    <w:rsid w:val="00D86AF6"/>
    <w:rsid w:val="00D875AE"/>
    <w:rsid w:val="00D90B5D"/>
    <w:rsid w:val="00D90E5C"/>
    <w:rsid w:val="00D93660"/>
    <w:rsid w:val="00D94A7C"/>
    <w:rsid w:val="00D9578A"/>
    <w:rsid w:val="00D95896"/>
    <w:rsid w:val="00DA012F"/>
    <w:rsid w:val="00DA1468"/>
    <w:rsid w:val="00DA266E"/>
    <w:rsid w:val="00DA2D5A"/>
    <w:rsid w:val="00DA4F64"/>
    <w:rsid w:val="00DA4FFE"/>
    <w:rsid w:val="00DA60D4"/>
    <w:rsid w:val="00DA784D"/>
    <w:rsid w:val="00DB1386"/>
    <w:rsid w:val="00DB2983"/>
    <w:rsid w:val="00DB2D9E"/>
    <w:rsid w:val="00DB3591"/>
    <w:rsid w:val="00DB4B8B"/>
    <w:rsid w:val="00DB561D"/>
    <w:rsid w:val="00DB5BF9"/>
    <w:rsid w:val="00DC0196"/>
    <w:rsid w:val="00DC102F"/>
    <w:rsid w:val="00DC1257"/>
    <w:rsid w:val="00DC185C"/>
    <w:rsid w:val="00DC3DC0"/>
    <w:rsid w:val="00DC433E"/>
    <w:rsid w:val="00DC464C"/>
    <w:rsid w:val="00DC4E38"/>
    <w:rsid w:val="00DC5B2B"/>
    <w:rsid w:val="00DC5E29"/>
    <w:rsid w:val="00DC7474"/>
    <w:rsid w:val="00DC7733"/>
    <w:rsid w:val="00DD1390"/>
    <w:rsid w:val="00DD318D"/>
    <w:rsid w:val="00DD3743"/>
    <w:rsid w:val="00DD37EF"/>
    <w:rsid w:val="00DD3F39"/>
    <w:rsid w:val="00DD4C5D"/>
    <w:rsid w:val="00DD4C94"/>
    <w:rsid w:val="00DD552E"/>
    <w:rsid w:val="00DE18D3"/>
    <w:rsid w:val="00DE1A6C"/>
    <w:rsid w:val="00DE386D"/>
    <w:rsid w:val="00DE46C3"/>
    <w:rsid w:val="00DE471E"/>
    <w:rsid w:val="00DE6A07"/>
    <w:rsid w:val="00DE6B2C"/>
    <w:rsid w:val="00DE7A4B"/>
    <w:rsid w:val="00DF0123"/>
    <w:rsid w:val="00DF2E12"/>
    <w:rsid w:val="00DF3E57"/>
    <w:rsid w:val="00DF514A"/>
    <w:rsid w:val="00DF52EC"/>
    <w:rsid w:val="00DF63A6"/>
    <w:rsid w:val="00DF6690"/>
    <w:rsid w:val="00DF6804"/>
    <w:rsid w:val="00DF6E69"/>
    <w:rsid w:val="00DF7E45"/>
    <w:rsid w:val="00E00A19"/>
    <w:rsid w:val="00E02FB3"/>
    <w:rsid w:val="00E0358D"/>
    <w:rsid w:val="00E04323"/>
    <w:rsid w:val="00E04654"/>
    <w:rsid w:val="00E052C4"/>
    <w:rsid w:val="00E0625C"/>
    <w:rsid w:val="00E062D9"/>
    <w:rsid w:val="00E06903"/>
    <w:rsid w:val="00E070A2"/>
    <w:rsid w:val="00E075C4"/>
    <w:rsid w:val="00E10852"/>
    <w:rsid w:val="00E1195C"/>
    <w:rsid w:val="00E12198"/>
    <w:rsid w:val="00E13D06"/>
    <w:rsid w:val="00E14586"/>
    <w:rsid w:val="00E14CB3"/>
    <w:rsid w:val="00E151B7"/>
    <w:rsid w:val="00E15667"/>
    <w:rsid w:val="00E166CB"/>
    <w:rsid w:val="00E17A85"/>
    <w:rsid w:val="00E17AB6"/>
    <w:rsid w:val="00E212EE"/>
    <w:rsid w:val="00E24CD2"/>
    <w:rsid w:val="00E26444"/>
    <w:rsid w:val="00E2656A"/>
    <w:rsid w:val="00E27B66"/>
    <w:rsid w:val="00E3026F"/>
    <w:rsid w:val="00E32599"/>
    <w:rsid w:val="00E3315E"/>
    <w:rsid w:val="00E3391D"/>
    <w:rsid w:val="00E370E0"/>
    <w:rsid w:val="00E37C67"/>
    <w:rsid w:val="00E408C6"/>
    <w:rsid w:val="00E412D0"/>
    <w:rsid w:val="00E42CB1"/>
    <w:rsid w:val="00E4524B"/>
    <w:rsid w:val="00E454D3"/>
    <w:rsid w:val="00E454DB"/>
    <w:rsid w:val="00E45CE8"/>
    <w:rsid w:val="00E5106A"/>
    <w:rsid w:val="00E51DDF"/>
    <w:rsid w:val="00E526CF"/>
    <w:rsid w:val="00E529E8"/>
    <w:rsid w:val="00E53FC1"/>
    <w:rsid w:val="00E54A3C"/>
    <w:rsid w:val="00E553FE"/>
    <w:rsid w:val="00E56322"/>
    <w:rsid w:val="00E60982"/>
    <w:rsid w:val="00E62C62"/>
    <w:rsid w:val="00E6352E"/>
    <w:rsid w:val="00E650DE"/>
    <w:rsid w:val="00E654C1"/>
    <w:rsid w:val="00E65D97"/>
    <w:rsid w:val="00E65FFE"/>
    <w:rsid w:val="00E66162"/>
    <w:rsid w:val="00E67096"/>
    <w:rsid w:val="00E672AE"/>
    <w:rsid w:val="00E67369"/>
    <w:rsid w:val="00E67B9A"/>
    <w:rsid w:val="00E7038D"/>
    <w:rsid w:val="00E72A20"/>
    <w:rsid w:val="00E72A5A"/>
    <w:rsid w:val="00E73354"/>
    <w:rsid w:val="00E73713"/>
    <w:rsid w:val="00E73D47"/>
    <w:rsid w:val="00E75934"/>
    <w:rsid w:val="00E75E82"/>
    <w:rsid w:val="00E8020F"/>
    <w:rsid w:val="00E80536"/>
    <w:rsid w:val="00E813AE"/>
    <w:rsid w:val="00E81692"/>
    <w:rsid w:val="00E821F5"/>
    <w:rsid w:val="00E82A1C"/>
    <w:rsid w:val="00E82C06"/>
    <w:rsid w:val="00E852E4"/>
    <w:rsid w:val="00E85667"/>
    <w:rsid w:val="00E8594E"/>
    <w:rsid w:val="00E8651E"/>
    <w:rsid w:val="00E86748"/>
    <w:rsid w:val="00E903DA"/>
    <w:rsid w:val="00E9041C"/>
    <w:rsid w:val="00E90C09"/>
    <w:rsid w:val="00E9242D"/>
    <w:rsid w:val="00E94917"/>
    <w:rsid w:val="00E95993"/>
    <w:rsid w:val="00E95F46"/>
    <w:rsid w:val="00E9689D"/>
    <w:rsid w:val="00EA0F94"/>
    <w:rsid w:val="00EA1CA3"/>
    <w:rsid w:val="00EA2495"/>
    <w:rsid w:val="00EA302B"/>
    <w:rsid w:val="00EA470C"/>
    <w:rsid w:val="00EA4990"/>
    <w:rsid w:val="00EA52C6"/>
    <w:rsid w:val="00EA6575"/>
    <w:rsid w:val="00EA7D8D"/>
    <w:rsid w:val="00EB0192"/>
    <w:rsid w:val="00EB11C9"/>
    <w:rsid w:val="00EB1F36"/>
    <w:rsid w:val="00EB3118"/>
    <w:rsid w:val="00EB340E"/>
    <w:rsid w:val="00EB46F1"/>
    <w:rsid w:val="00EB5255"/>
    <w:rsid w:val="00EB5C47"/>
    <w:rsid w:val="00EB64C1"/>
    <w:rsid w:val="00EC0088"/>
    <w:rsid w:val="00EC0651"/>
    <w:rsid w:val="00EC0B77"/>
    <w:rsid w:val="00EC1DD6"/>
    <w:rsid w:val="00EC2264"/>
    <w:rsid w:val="00EC2E05"/>
    <w:rsid w:val="00EC3FB2"/>
    <w:rsid w:val="00EC43B4"/>
    <w:rsid w:val="00EC5273"/>
    <w:rsid w:val="00EC6022"/>
    <w:rsid w:val="00EC6C41"/>
    <w:rsid w:val="00EC6E2F"/>
    <w:rsid w:val="00ED0551"/>
    <w:rsid w:val="00ED0639"/>
    <w:rsid w:val="00ED163B"/>
    <w:rsid w:val="00ED1A15"/>
    <w:rsid w:val="00ED3B8C"/>
    <w:rsid w:val="00ED4967"/>
    <w:rsid w:val="00ED5116"/>
    <w:rsid w:val="00ED7F66"/>
    <w:rsid w:val="00EE07BD"/>
    <w:rsid w:val="00EE0D8D"/>
    <w:rsid w:val="00EE2778"/>
    <w:rsid w:val="00EE5B89"/>
    <w:rsid w:val="00EE5CEE"/>
    <w:rsid w:val="00EE75B7"/>
    <w:rsid w:val="00EF0BDE"/>
    <w:rsid w:val="00EF13A6"/>
    <w:rsid w:val="00EF1CCA"/>
    <w:rsid w:val="00EF2E1B"/>
    <w:rsid w:val="00EF4755"/>
    <w:rsid w:val="00EF554B"/>
    <w:rsid w:val="00EF59CE"/>
    <w:rsid w:val="00EF5E83"/>
    <w:rsid w:val="00EF631D"/>
    <w:rsid w:val="00EF7135"/>
    <w:rsid w:val="00EF7303"/>
    <w:rsid w:val="00F00C3C"/>
    <w:rsid w:val="00F0263A"/>
    <w:rsid w:val="00F027DB"/>
    <w:rsid w:val="00F029A9"/>
    <w:rsid w:val="00F02B86"/>
    <w:rsid w:val="00F052A4"/>
    <w:rsid w:val="00F0566D"/>
    <w:rsid w:val="00F05719"/>
    <w:rsid w:val="00F05B9C"/>
    <w:rsid w:val="00F05CD0"/>
    <w:rsid w:val="00F06FB5"/>
    <w:rsid w:val="00F07D11"/>
    <w:rsid w:val="00F11735"/>
    <w:rsid w:val="00F11885"/>
    <w:rsid w:val="00F12386"/>
    <w:rsid w:val="00F12E17"/>
    <w:rsid w:val="00F14970"/>
    <w:rsid w:val="00F14A7A"/>
    <w:rsid w:val="00F15354"/>
    <w:rsid w:val="00F17DCA"/>
    <w:rsid w:val="00F20BCF"/>
    <w:rsid w:val="00F211EB"/>
    <w:rsid w:val="00F217C3"/>
    <w:rsid w:val="00F218FA"/>
    <w:rsid w:val="00F21E28"/>
    <w:rsid w:val="00F22985"/>
    <w:rsid w:val="00F2358B"/>
    <w:rsid w:val="00F2367F"/>
    <w:rsid w:val="00F249ED"/>
    <w:rsid w:val="00F2501B"/>
    <w:rsid w:val="00F25F67"/>
    <w:rsid w:val="00F26745"/>
    <w:rsid w:val="00F27D59"/>
    <w:rsid w:val="00F3072A"/>
    <w:rsid w:val="00F31975"/>
    <w:rsid w:val="00F3383E"/>
    <w:rsid w:val="00F343A5"/>
    <w:rsid w:val="00F34A15"/>
    <w:rsid w:val="00F35BA6"/>
    <w:rsid w:val="00F361E0"/>
    <w:rsid w:val="00F36783"/>
    <w:rsid w:val="00F367EF"/>
    <w:rsid w:val="00F40696"/>
    <w:rsid w:val="00F44264"/>
    <w:rsid w:val="00F4463F"/>
    <w:rsid w:val="00F44EDF"/>
    <w:rsid w:val="00F45B7B"/>
    <w:rsid w:val="00F46290"/>
    <w:rsid w:val="00F465A7"/>
    <w:rsid w:val="00F46F77"/>
    <w:rsid w:val="00F5021B"/>
    <w:rsid w:val="00F50B7C"/>
    <w:rsid w:val="00F51788"/>
    <w:rsid w:val="00F550E6"/>
    <w:rsid w:val="00F558F0"/>
    <w:rsid w:val="00F55E04"/>
    <w:rsid w:val="00F60E1E"/>
    <w:rsid w:val="00F60E25"/>
    <w:rsid w:val="00F61A7E"/>
    <w:rsid w:val="00F624F4"/>
    <w:rsid w:val="00F6388E"/>
    <w:rsid w:val="00F63FF9"/>
    <w:rsid w:val="00F64077"/>
    <w:rsid w:val="00F6422A"/>
    <w:rsid w:val="00F66BD9"/>
    <w:rsid w:val="00F67274"/>
    <w:rsid w:val="00F71ED6"/>
    <w:rsid w:val="00F7375A"/>
    <w:rsid w:val="00F73945"/>
    <w:rsid w:val="00F73E72"/>
    <w:rsid w:val="00F7404A"/>
    <w:rsid w:val="00F74345"/>
    <w:rsid w:val="00F748CF"/>
    <w:rsid w:val="00F7520C"/>
    <w:rsid w:val="00F75873"/>
    <w:rsid w:val="00F779A4"/>
    <w:rsid w:val="00F80792"/>
    <w:rsid w:val="00F80A0A"/>
    <w:rsid w:val="00F80B2A"/>
    <w:rsid w:val="00F81517"/>
    <w:rsid w:val="00F82B19"/>
    <w:rsid w:val="00F834FC"/>
    <w:rsid w:val="00F83A61"/>
    <w:rsid w:val="00F83EB1"/>
    <w:rsid w:val="00F8413F"/>
    <w:rsid w:val="00F8450B"/>
    <w:rsid w:val="00F84EE1"/>
    <w:rsid w:val="00F85931"/>
    <w:rsid w:val="00F85E61"/>
    <w:rsid w:val="00F874C3"/>
    <w:rsid w:val="00F910B7"/>
    <w:rsid w:val="00F9212D"/>
    <w:rsid w:val="00F941F7"/>
    <w:rsid w:val="00F94B69"/>
    <w:rsid w:val="00F9503C"/>
    <w:rsid w:val="00F95E7C"/>
    <w:rsid w:val="00F965DA"/>
    <w:rsid w:val="00FA0C3F"/>
    <w:rsid w:val="00FA1B8D"/>
    <w:rsid w:val="00FA26A8"/>
    <w:rsid w:val="00FA2CE0"/>
    <w:rsid w:val="00FA406A"/>
    <w:rsid w:val="00FA4406"/>
    <w:rsid w:val="00FA45CD"/>
    <w:rsid w:val="00FA4ADF"/>
    <w:rsid w:val="00FA6595"/>
    <w:rsid w:val="00FA691B"/>
    <w:rsid w:val="00FA7985"/>
    <w:rsid w:val="00FA79B5"/>
    <w:rsid w:val="00FB0187"/>
    <w:rsid w:val="00FB02D8"/>
    <w:rsid w:val="00FB05F3"/>
    <w:rsid w:val="00FB1230"/>
    <w:rsid w:val="00FB167F"/>
    <w:rsid w:val="00FB30A2"/>
    <w:rsid w:val="00FB3964"/>
    <w:rsid w:val="00FB4E0F"/>
    <w:rsid w:val="00FB4F2B"/>
    <w:rsid w:val="00FB503A"/>
    <w:rsid w:val="00FB516C"/>
    <w:rsid w:val="00FB581A"/>
    <w:rsid w:val="00FB785E"/>
    <w:rsid w:val="00FC02D2"/>
    <w:rsid w:val="00FC047D"/>
    <w:rsid w:val="00FC12C7"/>
    <w:rsid w:val="00FC164F"/>
    <w:rsid w:val="00FC27F0"/>
    <w:rsid w:val="00FC2E79"/>
    <w:rsid w:val="00FC3CB2"/>
    <w:rsid w:val="00FC3DCE"/>
    <w:rsid w:val="00FC4BED"/>
    <w:rsid w:val="00FC4E7B"/>
    <w:rsid w:val="00FC65E8"/>
    <w:rsid w:val="00FC6917"/>
    <w:rsid w:val="00FD0236"/>
    <w:rsid w:val="00FD18F4"/>
    <w:rsid w:val="00FD1F1B"/>
    <w:rsid w:val="00FD2F7A"/>
    <w:rsid w:val="00FD34F5"/>
    <w:rsid w:val="00FD41E5"/>
    <w:rsid w:val="00FD43AA"/>
    <w:rsid w:val="00FD45E8"/>
    <w:rsid w:val="00FD54DB"/>
    <w:rsid w:val="00FD58D5"/>
    <w:rsid w:val="00FD5D12"/>
    <w:rsid w:val="00FD619F"/>
    <w:rsid w:val="00FD6F03"/>
    <w:rsid w:val="00FD7E16"/>
    <w:rsid w:val="00FE284A"/>
    <w:rsid w:val="00FE28BC"/>
    <w:rsid w:val="00FE3186"/>
    <w:rsid w:val="00FE31BF"/>
    <w:rsid w:val="00FE358F"/>
    <w:rsid w:val="00FE36CE"/>
    <w:rsid w:val="00FE3FB0"/>
    <w:rsid w:val="00FE490C"/>
    <w:rsid w:val="00FE5454"/>
    <w:rsid w:val="00FE67BA"/>
    <w:rsid w:val="00FE79CD"/>
    <w:rsid w:val="00FF0B53"/>
    <w:rsid w:val="00FF0ECA"/>
    <w:rsid w:val="00FF11AC"/>
    <w:rsid w:val="00FF28B1"/>
    <w:rsid w:val="00FF351F"/>
    <w:rsid w:val="00FF54EC"/>
    <w:rsid w:val="00FF6469"/>
    <w:rsid w:val="00FF6B24"/>
    <w:rsid w:val="00FF73AC"/>
    <w:rsid w:val="01290F7E"/>
    <w:rsid w:val="015D1E09"/>
    <w:rsid w:val="025008C3"/>
    <w:rsid w:val="02697903"/>
    <w:rsid w:val="02F96569"/>
    <w:rsid w:val="03BD6D24"/>
    <w:rsid w:val="03EA7B21"/>
    <w:rsid w:val="044D6924"/>
    <w:rsid w:val="04C9495C"/>
    <w:rsid w:val="056F273B"/>
    <w:rsid w:val="058A5B35"/>
    <w:rsid w:val="05A14F91"/>
    <w:rsid w:val="05F83EAE"/>
    <w:rsid w:val="063E7D85"/>
    <w:rsid w:val="065546FA"/>
    <w:rsid w:val="06E42BFA"/>
    <w:rsid w:val="07293586"/>
    <w:rsid w:val="07295285"/>
    <w:rsid w:val="075524D7"/>
    <w:rsid w:val="07636392"/>
    <w:rsid w:val="07644509"/>
    <w:rsid w:val="07770C56"/>
    <w:rsid w:val="079C3C62"/>
    <w:rsid w:val="07AB0A7A"/>
    <w:rsid w:val="07BA233A"/>
    <w:rsid w:val="07EC0192"/>
    <w:rsid w:val="07FF7612"/>
    <w:rsid w:val="08017F69"/>
    <w:rsid w:val="08497325"/>
    <w:rsid w:val="08BB636A"/>
    <w:rsid w:val="08CE2541"/>
    <w:rsid w:val="08DA2C94"/>
    <w:rsid w:val="092217DD"/>
    <w:rsid w:val="093A7294"/>
    <w:rsid w:val="09A6526C"/>
    <w:rsid w:val="09BC6226"/>
    <w:rsid w:val="09CE2183"/>
    <w:rsid w:val="09E638BB"/>
    <w:rsid w:val="0A263993"/>
    <w:rsid w:val="0A2D3AC2"/>
    <w:rsid w:val="0A7F6940"/>
    <w:rsid w:val="0AA755DF"/>
    <w:rsid w:val="0ACD5E0F"/>
    <w:rsid w:val="0B120D44"/>
    <w:rsid w:val="0BC70130"/>
    <w:rsid w:val="0BD27BF6"/>
    <w:rsid w:val="0C3B3C7D"/>
    <w:rsid w:val="0CAB2EAE"/>
    <w:rsid w:val="0CB10B0C"/>
    <w:rsid w:val="0CD100B3"/>
    <w:rsid w:val="0CD85C2B"/>
    <w:rsid w:val="0D246BD4"/>
    <w:rsid w:val="0D344206"/>
    <w:rsid w:val="0D621C7D"/>
    <w:rsid w:val="0DAE46EF"/>
    <w:rsid w:val="0E180665"/>
    <w:rsid w:val="0E4C78E9"/>
    <w:rsid w:val="0E552DBD"/>
    <w:rsid w:val="0E6B438E"/>
    <w:rsid w:val="0E73034D"/>
    <w:rsid w:val="0EC211BA"/>
    <w:rsid w:val="0F13775A"/>
    <w:rsid w:val="0F5F45FE"/>
    <w:rsid w:val="0F9A112B"/>
    <w:rsid w:val="106D2F64"/>
    <w:rsid w:val="108300B5"/>
    <w:rsid w:val="10B63710"/>
    <w:rsid w:val="10BB15FD"/>
    <w:rsid w:val="10DF6A81"/>
    <w:rsid w:val="10F10820"/>
    <w:rsid w:val="111C2F7A"/>
    <w:rsid w:val="112305CB"/>
    <w:rsid w:val="112E152D"/>
    <w:rsid w:val="11665CA1"/>
    <w:rsid w:val="11835FE2"/>
    <w:rsid w:val="119B31DD"/>
    <w:rsid w:val="121C431D"/>
    <w:rsid w:val="12691182"/>
    <w:rsid w:val="12764066"/>
    <w:rsid w:val="131E40C5"/>
    <w:rsid w:val="13951726"/>
    <w:rsid w:val="13A17072"/>
    <w:rsid w:val="13F015BE"/>
    <w:rsid w:val="14302626"/>
    <w:rsid w:val="14396509"/>
    <w:rsid w:val="14851B53"/>
    <w:rsid w:val="149A7048"/>
    <w:rsid w:val="14AE3227"/>
    <w:rsid w:val="14DD2C3C"/>
    <w:rsid w:val="14EE5F3F"/>
    <w:rsid w:val="15291F09"/>
    <w:rsid w:val="15565D98"/>
    <w:rsid w:val="15570834"/>
    <w:rsid w:val="158F520F"/>
    <w:rsid w:val="15DD3DC4"/>
    <w:rsid w:val="16087E1D"/>
    <w:rsid w:val="160939A2"/>
    <w:rsid w:val="16433E47"/>
    <w:rsid w:val="168B2531"/>
    <w:rsid w:val="171001C9"/>
    <w:rsid w:val="17620A24"/>
    <w:rsid w:val="17701D14"/>
    <w:rsid w:val="17735226"/>
    <w:rsid w:val="1821268E"/>
    <w:rsid w:val="182C51D8"/>
    <w:rsid w:val="189F624C"/>
    <w:rsid w:val="19550115"/>
    <w:rsid w:val="19EF66DC"/>
    <w:rsid w:val="1A1C66C0"/>
    <w:rsid w:val="1A42393B"/>
    <w:rsid w:val="1AAD45DE"/>
    <w:rsid w:val="1B046F80"/>
    <w:rsid w:val="1B3267B5"/>
    <w:rsid w:val="1B40161D"/>
    <w:rsid w:val="1B441859"/>
    <w:rsid w:val="1B6606B1"/>
    <w:rsid w:val="1BAA299A"/>
    <w:rsid w:val="1C073948"/>
    <w:rsid w:val="1C1C0B46"/>
    <w:rsid w:val="1C422BD3"/>
    <w:rsid w:val="1C5E7925"/>
    <w:rsid w:val="1C961170"/>
    <w:rsid w:val="1CFD070F"/>
    <w:rsid w:val="1D5F6196"/>
    <w:rsid w:val="1D6132A5"/>
    <w:rsid w:val="1D8E56D5"/>
    <w:rsid w:val="1DBB7403"/>
    <w:rsid w:val="1DD04C16"/>
    <w:rsid w:val="1E2E78B2"/>
    <w:rsid w:val="1E3759B0"/>
    <w:rsid w:val="1E7A43DA"/>
    <w:rsid w:val="1E964850"/>
    <w:rsid w:val="1EA819B0"/>
    <w:rsid w:val="1F8A4EEE"/>
    <w:rsid w:val="1FC33104"/>
    <w:rsid w:val="1FE7539E"/>
    <w:rsid w:val="20671BE0"/>
    <w:rsid w:val="20963CB8"/>
    <w:rsid w:val="20A81A1B"/>
    <w:rsid w:val="20B07FB6"/>
    <w:rsid w:val="20B646FB"/>
    <w:rsid w:val="20F21EF0"/>
    <w:rsid w:val="213B74B1"/>
    <w:rsid w:val="215238B8"/>
    <w:rsid w:val="215A2310"/>
    <w:rsid w:val="21A93F72"/>
    <w:rsid w:val="21DE318A"/>
    <w:rsid w:val="21EF5B80"/>
    <w:rsid w:val="22242FAC"/>
    <w:rsid w:val="22576990"/>
    <w:rsid w:val="22916662"/>
    <w:rsid w:val="22F47480"/>
    <w:rsid w:val="23B02B18"/>
    <w:rsid w:val="23DC7DD8"/>
    <w:rsid w:val="23DE1C48"/>
    <w:rsid w:val="240210CD"/>
    <w:rsid w:val="246B0345"/>
    <w:rsid w:val="24BF09F7"/>
    <w:rsid w:val="252D53FE"/>
    <w:rsid w:val="25C64874"/>
    <w:rsid w:val="25DE13C8"/>
    <w:rsid w:val="25EC2D81"/>
    <w:rsid w:val="26FC6074"/>
    <w:rsid w:val="277057A2"/>
    <w:rsid w:val="29206EB8"/>
    <w:rsid w:val="29445D2B"/>
    <w:rsid w:val="29595666"/>
    <w:rsid w:val="29824F56"/>
    <w:rsid w:val="29874881"/>
    <w:rsid w:val="298C0AEB"/>
    <w:rsid w:val="29E325E0"/>
    <w:rsid w:val="2A3A0527"/>
    <w:rsid w:val="2A452503"/>
    <w:rsid w:val="2B163BA8"/>
    <w:rsid w:val="2BA936A8"/>
    <w:rsid w:val="2BEA550D"/>
    <w:rsid w:val="2C315A5A"/>
    <w:rsid w:val="2C4B1C25"/>
    <w:rsid w:val="2D0E1140"/>
    <w:rsid w:val="2D331BCB"/>
    <w:rsid w:val="2D56396E"/>
    <w:rsid w:val="2D9E56F5"/>
    <w:rsid w:val="2E050F34"/>
    <w:rsid w:val="2E07434F"/>
    <w:rsid w:val="2E667F96"/>
    <w:rsid w:val="2E8226AB"/>
    <w:rsid w:val="2E9F2F97"/>
    <w:rsid w:val="2EA92857"/>
    <w:rsid w:val="2F0B32F8"/>
    <w:rsid w:val="2FD065E6"/>
    <w:rsid w:val="2FD96870"/>
    <w:rsid w:val="30240B15"/>
    <w:rsid w:val="30580BC9"/>
    <w:rsid w:val="307109F7"/>
    <w:rsid w:val="30877CD3"/>
    <w:rsid w:val="309F44FF"/>
    <w:rsid w:val="30DE0729"/>
    <w:rsid w:val="311E2ED7"/>
    <w:rsid w:val="31322DBE"/>
    <w:rsid w:val="315619EE"/>
    <w:rsid w:val="315C449C"/>
    <w:rsid w:val="31B82709"/>
    <w:rsid w:val="31D05482"/>
    <w:rsid w:val="31D12FBB"/>
    <w:rsid w:val="32045768"/>
    <w:rsid w:val="321921D0"/>
    <w:rsid w:val="32227C90"/>
    <w:rsid w:val="32400B34"/>
    <w:rsid w:val="327644AD"/>
    <w:rsid w:val="328B4E7C"/>
    <w:rsid w:val="329E6876"/>
    <w:rsid w:val="32B06690"/>
    <w:rsid w:val="32C07FB8"/>
    <w:rsid w:val="331247EE"/>
    <w:rsid w:val="333015F2"/>
    <w:rsid w:val="334B6320"/>
    <w:rsid w:val="33837901"/>
    <w:rsid w:val="33D04B10"/>
    <w:rsid w:val="33D934D4"/>
    <w:rsid w:val="33F702EF"/>
    <w:rsid w:val="33FE2F6A"/>
    <w:rsid w:val="340E07E5"/>
    <w:rsid w:val="34235BF7"/>
    <w:rsid w:val="344057F2"/>
    <w:rsid w:val="347C6573"/>
    <w:rsid w:val="34CC6FB6"/>
    <w:rsid w:val="34E97C37"/>
    <w:rsid w:val="34EF0750"/>
    <w:rsid w:val="353D15FF"/>
    <w:rsid w:val="35775243"/>
    <w:rsid w:val="358C5FA8"/>
    <w:rsid w:val="35C15DF1"/>
    <w:rsid w:val="35DA1C76"/>
    <w:rsid w:val="36074A7F"/>
    <w:rsid w:val="36700C56"/>
    <w:rsid w:val="367E60DF"/>
    <w:rsid w:val="36923549"/>
    <w:rsid w:val="369B33E0"/>
    <w:rsid w:val="36B75FBF"/>
    <w:rsid w:val="36BD0C45"/>
    <w:rsid w:val="36CC5A63"/>
    <w:rsid w:val="374750E9"/>
    <w:rsid w:val="37D0642B"/>
    <w:rsid w:val="37E00298"/>
    <w:rsid w:val="38204CD5"/>
    <w:rsid w:val="38651CCB"/>
    <w:rsid w:val="389B749B"/>
    <w:rsid w:val="38B302F9"/>
    <w:rsid w:val="38E6379C"/>
    <w:rsid w:val="38F12CD3"/>
    <w:rsid w:val="38F94775"/>
    <w:rsid w:val="392971ED"/>
    <w:rsid w:val="39325651"/>
    <w:rsid w:val="393B2A2C"/>
    <w:rsid w:val="393B578F"/>
    <w:rsid w:val="396B1563"/>
    <w:rsid w:val="39E10598"/>
    <w:rsid w:val="3A3B7187"/>
    <w:rsid w:val="3A5959B7"/>
    <w:rsid w:val="3A7A23A9"/>
    <w:rsid w:val="3A872856"/>
    <w:rsid w:val="3B3763D1"/>
    <w:rsid w:val="3B614F44"/>
    <w:rsid w:val="3BC92571"/>
    <w:rsid w:val="3BDF76C3"/>
    <w:rsid w:val="3C2F6E1E"/>
    <w:rsid w:val="3C4F64BA"/>
    <w:rsid w:val="3CB14A6D"/>
    <w:rsid w:val="3CC1149A"/>
    <w:rsid w:val="3CCD0302"/>
    <w:rsid w:val="3CDA245A"/>
    <w:rsid w:val="3D1E06B7"/>
    <w:rsid w:val="3D6E1622"/>
    <w:rsid w:val="3D801355"/>
    <w:rsid w:val="3E9F7D15"/>
    <w:rsid w:val="3EDA0523"/>
    <w:rsid w:val="3F1B5383"/>
    <w:rsid w:val="3F8A64BB"/>
    <w:rsid w:val="407A6407"/>
    <w:rsid w:val="40D529D3"/>
    <w:rsid w:val="41391F47"/>
    <w:rsid w:val="41807B75"/>
    <w:rsid w:val="41C93330"/>
    <w:rsid w:val="41D57EC1"/>
    <w:rsid w:val="4200449D"/>
    <w:rsid w:val="423A3BCC"/>
    <w:rsid w:val="424E57D2"/>
    <w:rsid w:val="429E20CC"/>
    <w:rsid w:val="42B26C49"/>
    <w:rsid w:val="43086074"/>
    <w:rsid w:val="43315D2E"/>
    <w:rsid w:val="433A6FE6"/>
    <w:rsid w:val="43480868"/>
    <w:rsid w:val="4350713C"/>
    <w:rsid w:val="436653E0"/>
    <w:rsid w:val="43C4431A"/>
    <w:rsid w:val="44B951CC"/>
    <w:rsid w:val="44CD14E0"/>
    <w:rsid w:val="44F20B0B"/>
    <w:rsid w:val="452E5F4C"/>
    <w:rsid w:val="45612018"/>
    <w:rsid w:val="457667CA"/>
    <w:rsid w:val="458946E9"/>
    <w:rsid w:val="45A47C0E"/>
    <w:rsid w:val="45C94763"/>
    <w:rsid w:val="45F35B6A"/>
    <w:rsid w:val="463B22BD"/>
    <w:rsid w:val="46577FD6"/>
    <w:rsid w:val="46A1688C"/>
    <w:rsid w:val="46BE763A"/>
    <w:rsid w:val="46D955A7"/>
    <w:rsid w:val="47133957"/>
    <w:rsid w:val="47662C5C"/>
    <w:rsid w:val="47A07E0C"/>
    <w:rsid w:val="4870272E"/>
    <w:rsid w:val="48C31442"/>
    <w:rsid w:val="492545D7"/>
    <w:rsid w:val="493F7DD1"/>
    <w:rsid w:val="49402B84"/>
    <w:rsid w:val="49D8310C"/>
    <w:rsid w:val="49DC7715"/>
    <w:rsid w:val="4A023139"/>
    <w:rsid w:val="4A4A6F73"/>
    <w:rsid w:val="4A7B576F"/>
    <w:rsid w:val="4A987CDE"/>
    <w:rsid w:val="4AE22D3E"/>
    <w:rsid w:val="4AF561A9"/>
    <w:rsid w:val="4B3C2D5F"/>
    <w:rsid w:val="4C4A0649"/>
    <w:rsid w:val="4C7E5ECA"/>
    <w:rsid w:val="4C876AA5"/>
    <w:rsid w:val="4C97704E"/>
    <w:rsid w:val="4CD51490"/>
    <w:rsid w:val="4D0E00FB"/>
    <w:rsid w:val="4D1473C4"/>
    <w:rsid w:val="4D176606"/>
    <w:rsid w:val="4D682209"/>
    <w:rsid w:val="4D726A6E"/>
    <w:rsid w:val="4DD77C55"/>
    <w:rsid w:val="4DEC4FB0"/>
    <w:rsid w:val="4E075D8A"/>
    <w:rsid w:val="4E0C7864"/>
    <w:rsid w:val="4E6B74B7"/>
    <w:rsid w:val="4EC00FAD"/>
    <w:rsid w:val="4F9843DC"/>
    <w:rsid w:val="4FC62A8C"/>
    <w:rsid w:val="4FC9093A"/>
    <w:rsid w:val="4FCE7CFE"/>
    <w:rsid w:val="4FE20F0D"/>
    <w:rsid w:val="4FE237A9"/>
    <w:rsid w:val="4FE51552"/>
    <w:rsid w:val="502E7DE9"/>
    <w:rsid w:val="50504C4B"/>
    <w:rsid w:val="509C6E7C"/>
    <w:rsid w:val="50B75092"/>
    <w:rsid w:val="50C730CB"/>
    <w:rsid w:val="51174D0F"/>
    <w:rsid w:val="514C1822"/>
    <w:rsid w:val="5162104E"/>
    <w:rsid w:val="526607F5"/>
    <w:rsid w:val="52C715DE"/>
    <w:rsid w:val="53A039CC"/>
    <w:rsid w:val="53A1505A"/>
    <w:rsid w:val="54063E08"/>
    <w:rsid w:val="54161C73"/>
    <w:rsid w:val="543437E8"/>
    <w:rsid w:val="54CA0FB5"/>
    <w:rsid w:val="54F73313"/>
    <w:rsid w:val="54F80955"/>
    <w:rsid w:val="5523289A"/>
    <w:rsid w:val="555170A7"/>
    <w:rsid w:val="5587536D"/>
    <w:rsid w:val="559B174B"/>
    <w:rsid w:val="55CE0CF4"/>
    <w:rsid w:val="560C0B22"/>
    <w:rsid w:val="56644F18"/>
    <w:rsid w:val="56B22A9C"/>
    <w:rsid w:val="56DF0A43"/>
    <w:rsid w:val="57B72A76"/>
    <w:rsid w:val="57C3426C"/>
    <w:rsid w:val="57CE1F93"/>
    <w:rsid w:val="57F34EAD"/>
    <w:rsid w:val="583F3E8F"/>
    <w:rsid w:val="588743D1"/>
    <w:rsid w:val="5887701A"/>
    <w:rsid w:val="5925316F"/>
    <w:rsid w:val="599F37FD"/>
    <w:rsid w:val="59A12058"/>
    <w:rsid w:val="59C0439F"/>
    <w:rsid w:val="5A4E2167"/>
    <w:rsid w:val="5ABE2233"/>
    <w:rsid w:val="5B0B6E54"/>
    <w:rsid w:val="5B1A473F"/>
    <w:rsid w:val="5B4041A6"/>
    <w:rsid w:val="5BA256EF"/>
    <w:rsid w:val="5BA65130"/>
    <w:rsid w:val="5BDE39BF"/>
    <w:rsid w:val="5BDF5D95"/>
    <w:rsid w:val="5BE34B31"/>
    <w:rsid w:val="5BFE7528"/>
    <w:rsid w:val="5C003935"/>
    <w:rsid w:val="5C0476A0"/>
    <w:rsid w:val="5C1E5D13"/>
    <w:rsid w:val="5C2E2250"/>
    <w:rsid w:val="5D4D2BAA"/>
    <w:rsid w:val="5DFA616D"/>
    <w:rsid w:val="5E065D78"/>
    <w:rsid w:val="5E2467F1"/>
    <w:rsid w:val="5ECA1FD8"/>
    <w:rsid w:val="5F12562E"/>
    <w:rsid w:val="5F1A2B43"/>
    <w:rsid w:val="5F9525E6"/>
    <w:rsid w:val="5FB837BB"/>
    <w:rsid w:val="5FD41360"/>
    <w:rsid w:val="602776E2"/>
    <w:rsid w:val="60CC405A"/>
    <w:rsid w:val="60CC64DC"/>
    <w:rsid w:val="61B425F9"/>
    <w:rsid w:val="61E215D8"/>
    <w:rsid w:val="621B3775"/>
    <w:rsid w:val="62364782"/>
    <w:rsid w:val="62913539"/>
    <w:rsid w:val="635228F6"/>
    <w:rsid w:val="63862972"/>
    <w:rsid w:val="6394356A"/>
    <w:rsid w:val="63A92582"/>
    <w:rsid w:val="63C61B2C"/>
    <w:rsid w:val="63D40BE9"/>
    <w:rsid w:val="64102431"/>
    <w:rsid w:val="6429154F"/>
    <w:rsid w:val="64515EF2"/>
    <w:rsid w:val="64A5243A"/>
    <w:rsid w:val="64AD2180"/>
    <w:rsid w:val="64B71C9E"/>
    <w:rsid w:val="64F531DE"/>
    <w:rsid w:val="65373578"/>
    <w:rsid w:val="6583357E"/>
    <w:rsid w:val="65CB447C"/>
    <w:rsid w:val="66AA2E1B"/>
    <w:rsid w:val="66B91896"/>
    <w:rsid w:val="66DC0AFB"/>
    <w:rsid w:val="671F124A"/>
    <w:rsid w:val="677A33C6"/>
    <w:rsid w:val="67A71109"/>
    <w:rsid w:val="67CE2B39"/>
    <w:rsid w:val="67CE48E7"/>
    <w:rsid w:val="67F65BEC"/>
    <w:rsid w:val="681F6961"/>
    <w:rsid w:val="68610A2F"/>
    <w:rsid w:val="687548AE"/>
    <w:rsid w:val="68805514"/>
    <w:rsid w:val="69112C50"/>
    <w:rsid w:val="69316E2F"/>
    <w:rsid w:val="69357600"/>
    <w:rsid w:val="694A1263"/>
    <w:rsid w:val="694E2071"/>
    <w:rsid w:val="69766163"/>
    <w:rsid w:val="697A3B33"/>
    <w:rsid w:val="69A7357A"/>
    <w:rsid w:val="69D44760"/>
    <w:rsid w:val="6A520EC7"/>
    <w:rsid w:val="6A743C7E"/>
    <w:rsid w:val="6AB77892"/>
    <w:rsid w:val="6AD40467"/>
    <w:rsid w:val="6AED54CF"/>
    <w:rsid w:val="6AF87E20"/>
    <w:rsid w:val="6AFE3735"/>
    <w:rsid w:val="6B322639"/>
    <w:rsid w:val="6B403D4E"/>
    <w:rsid w:val="6B6C5FD1"/>
    <w:rsid w:val="6B8A321B"/>
    <w:rsid w:val="6B90798B"/>
    <w:rsid w:val="6B9419A4"/>
    <w:rsid w:val="6BA95681"/>
    <w:rsid w:val="6BC6418E"/>
    <w:rsid w:val="6BDF5315"/>
    <w:rsid w:val="6C00528B"/>
    <w:rsid w:val="6C0B610A"/>
    <w:rsid w:val="6C2E1DF8"/>
    <w:rsid w:val="6C636C38"/>
    <w:rsid w:val="6C7D1D1F"/>
    <w:rsid w:val="6CAD5473"/>
    <w:rsid w:val="6D176091"/>
    <w:rsid w:val="6DB34098"/>
    <w:rsid w:val="6DB545B6"/>
    <w:rsid w:val="6DE02FB4"/>
    <w:rsid w:val="6DE06535"/>
    <w:rsid w:val="6E514CED"/>
    <w:rsid w:val="6EB563D5"/>
    <w:rsid w:val="6ED92677"/>
    <w:rsid w:val="6F225983"/>
    <w:rsid w:val="6F310344"/>
    <w:rsid w:val="6F540B15"/>
    <w:rsid w:val="6FFC5590"/>
    <w:rsid w:val="706D1DD0"/>
    <w:rsid w:val="70856B87"/>
    <w:rsid w:val="70A42689"/>
    <w:rsid w:val="70D527EE"/>
    <w:rsid w:val="71453E6C"/>
    <w:rsid w:val="715B5300"/>
    <w:rsid w:val="719942C8"/>
    <w:rsid w:val="71D27F8A"/>
    <w:rsid w:val="71FF0F1B"/>
    <w:rsid w:val="721842CB"/>
    <w:rsid w:val="72553024"/>
    <w:rsid w:val="72A94B3C"/>
    <w:rsid w:val="730218E9"/>
    <w:rsid w:val="73122968"/>
    <w:rsid w:val="731E2BC7"/>
    <w:rsid w:val="731F5D5E"/>
    <w:rsid w:val="736E3270"/>
    <w:rsid w:val="7372332E"/>
    <w:rsid w:val="73C51AD5"/>
    <w:rsid w:val="73D43285"/>
    <w:rsid w:val="741E793C"/>
    <w:rsid w:val="745E3944"/>
    <w:rsid w:val="747405C4"/>
    <w:rsid w:val="74E4399C"/>
    <w:rsid w:val="74EB75B6"/>
    <w:rsid w:val="75CA04F1"/>
    <w:rsid w:val="7635099D"/>
    <w:rsid w:val="764D5571"/>
    <w:rsid w:val="76D41F8E"/>
    <w:rsid w:val="770025E3"/>
    <w:rsid w:val="77762421"/>
    <w:rsid w:val="77AD68E8"/>
    <w:rsid w:val="77B56B1F"/>
    <w:rsid w:val="77D53E99"/>
    <w:rsid w:val="780F09F4"/>
    <w:rsid w:val="78A90480"/>
    <w:rsid w:val="79166B2C"/>
    <w:rsid w:val="79AB4A88"/>
    <w:rsid w:val="7A364017"/>
    <w:rsid w:val="7A8265E1"/>
    <w:rsid w:val="7ACB4CB6"/>
    <w:rsid w:val="7B3B48CD"/>
    <w:rsid w:val="7B686D42"/>
    <w:rsid w:val="7B841746"/>
    <w:rsid w:val="7B9D2AF7"/>
    <w:rsid w:val="7C286864"/>
    <w:rsid w:val="7C6C5AC7"/>
    <w:rsid w:val="7CC6544B"/>
    <w:rsid w:val="7D0239FF"/>
    <w:rsid w:val="7D511DEB"/>
    <w:rsid w:val="7D5E40CD"/>
    <w:rsid w:val="7DCD56F2"/>
    <w:rsid w:val="7E7044F2"/>
    <w:rsid w:val="7F001CE7"/>
    <w:rsid w:val="7F41310A"/>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5,6,7,8,9,10,11,12,13,14,15,16,17,18,19,20,21,22,23,24,25,26,27,28,29,30,31,32,33,34,35,36,37,38,39,40,41,42,43,44,45,46,47,48,49,50,51,52,53,54,55,56,57,58,59,60,61,62,63,64,65,66,67,68,69,70,71,72,73,74,75,76,77,78,79,80,81,82,83,84,85,86,87,88,89,90,91,92,93,94,95,96,97,98,99,100,101,102,103,104,105,106,107,108,109,110,111,112,113,114,115,116,117,118,119,120,121"/>
      <o:rules v:ext="edit">
        <o:r id="V:Rule1" type="connector" idref="#_x0000_s2113"/>
        <o:r id="V:Rule2" type="connector" idref="#_x0000_s2116"/>
        <o:r id="V:Rule3" type="connector" idref="#_x0000_s2129"/>
        <o:r id="V:Rule4" type="connector" idref="#_x0000_s2130"/>
        <o:r id="V:Rule5" type="connector" idref="#_x0000_s2131"/>
        <o:r id="V:Rule6" type="connector" idref="#_x0000_s2133"/>
        <o:r id="V:Rule7" type="connector" idref="#_x0000_s2134"/>
        <o:r id="V:Rule8" type="connector" idref="#_x0000_s2135"/>
        <o:r id="V:Rule9" type="connector" idref="#_x0000_s2138"/>
        <o:r id="V:Rule10" type="connector" idref="#_x0000_s2141"/>
        <o:r id="V:Rule11" type="connector" idref="#_x0000_s2142"/>
        <o:r id="V:Rule12" type="connector" idref="#_x0000_s2145"/>
        <o:r id="V:Rule13" type="connector" idref="#_x0000_s2148"/>
        <o:r id="V:Rule14" type="connector" idref="#_x0000_s2149"/>
        <o:r id="V:Rule15" type="connector" idref="#_x0000_s2150"/>
        <o:r id="V:Rule16" type="connector" idref="#_x0000_s2152"/>
        <o:r id="V:Rule17" type="connector" idref="#_x0000_s2153"/>
        <o:r id="V:Rule18" type="connector" idref="#_x0000_s2155"/>
        <o:r id="V:Rule19" type="connector" idref="#_x0000_s2156"/>
        <o:r id="V:Rule20" type="connector" idref="#_x0000_s2157"/>
        <o:r id="V:Rule21" type="connector" idref="#_x0000_s2158"/>
        <o:r id="V:Rule22" type="connector" idref="#_x0000_s2161"/>
        <o:r id="V:Rule23" type="connector" idref="#_x0000_s124235"/>
        <o:r id="V:Rule24" type="connector" idref="#_x0000_s124240"/>
        <o:r id="V:Rule25" type="connector" idref="#_x0000_s124241"/>
        <o:r id="V:Rule26" type="connector" idref="#_x0000_s124243"/>
        <o:r id="V:Rule27" type="connector" idref="#_x0000_s124246"/>
        <o:r id="V:Rule28" type="connector" idref="#_x0000_s124247"/>
        <o:r id="V:Rule29" type="connector" idref="#_x0000_s124250"/>
        <o:r id="V:Rule30" type="connector" idref="#_x0000_s124251"/>
        <o:r id="V:Rule31" type="connector" idref="#_x0000_s124253"/>
        <o:r id="V:Rule32" type="connector" idref="#_x0000_s124256"/>
        <o:r id="V:Rule33" type="connector" idref="#_x0000_s124258"/>
        <o:r id="V:Rule34" type="connector" idref="#_x0000_s124261"/>
        <o:r id="V:Rule35" type="connector" idref="#_x0000_s124263"/>
        <o:r id="V:Rule36" type="connector" idref="#_x0000_s124273"/>
        <o:r id="V:Rule37" type="connector" idref="#_x0000_s124275"/>
        <o:r id="V:Rule38" type="connector" idref="#_x0000_s124276"/>
        <o:r id="V:Rule39" type="connector" idref="#_x0000_s124278"/>
        <o:r id="V:Rule40" type="connector" idref="#_x0000_s124336"/>
        <o:r id="V:Rule41" type="connector" idref="#_x0000_s124341"/>
        <o:r id="V:Rule42" type="connector" idref="#_x0000_s124342"/>
        <o:r id="V:Rule43" type="connector" idref="#_x0000_s124344"/>
        <o:r id="V:Rule44" type="connector" idref="#_x0000_s124347"/>
        <o:r id="V:Rule45" type="connector" idref="#_x0000_s124348"/>
        <o:r id="V:Rule46" type="connector" idref="#_x0000_s124351"/>
        <o:r id="V:Rule47" type="connector" idref="#_x0000_s124353"/>
        <o:r id="V:Rule48" type="connector" idref="#_x0000_s124354"/>
        <o:r id="V:Rule49" type="connector" idref="#_x0000_s124356"/>
        <o:r id="V:Rule50" type="connector" idref="#_x0000_s124359"/>
        <o:r id="V:Rule51" type="connector" idref="#_x0000_s124361"/>
        <o:r id="V:Rule52" type="connector" idref="#_x0000_s124363"/>
        <o:r id="V:Rule53" type="connector" idref="#_x0000_s124367"/>
        <o:r id="V:Rule54" type="connector" idref="#_x0000_s124368"/>
        <o:r id="V:Rule55" type="connector" idref="#_x0000_s124370"/>
        <o:r id="V:Rule56" type="connector" idref="#_x0000_s124371"/>
        <o:r id="V:Rule57" type="connector" idref="#_x0000_s124372"/>
        <o:r id="V:Rule58" type="connector" idref="#_x0000_s124373"/>
        <o:r id="V:Rule59" type="connector" idref="#_x0000_s124374"/>
        <o:r id="V:Rule60" type="connector" idref="#_x0000_s124376"/>
        <o:r id="V:Rule61" type="connector" idref="#_x0000_s124378"/>
        <o:r id="V:Rule62" type="connector" idref="#_x0000_s124380"/>
        <o:r id="V:Rule63" type="connector" idref="#_x0000_s124381"/>
        <o:r id="V:Rule64" type="connector" idref="#_x0000_s124383"/>
        <o:r id="V:Rule65" type="connector" idref="#_x0000_s124384"/>
        <o:r id="V:Rule66" type="connector" idref="#_x0000_s124386"/>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0" w:semiHidden="0" w:name="Table Grid"/>
    <w:lsdException w:unhideWhenUsed="0" w:uiPriority="0" w:semiHidden="0"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3"/>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lock Text"/>
    <w:basedOn w:val="1"/>
    <w:qFormat/>
    <w:locked/>
    <w:uiPriority w:val="0"/>
    <w:pPr>
      <w:spacing w:after="120"/>
      <w:ind w:left="1440" w:leftChars="700" w:right="1440" w:rightChars="700"/>
    </w:pPr>
    <w:rPr>
      <w:rFonts w:ascii="Calibri" w:hAnsi="Calibri"/>
      <w:szCs w:val="20"/>
    </w:rPr>
  </w:style>
  <w:style w:type="paragraph" w:styleId="5">
    <w:name w:val="Normal Indent"/>
    <w:basedOn w:val="1"/>
    <w:link w:val="51"/>
    <w:qFormat/>
    <w:locked/>
    <w:uiPriority w:val="0"/>
    <w:pPr>
      <w:ind w:firstLine="420"/>
    </w:pPr>
    <w:rPr>
      <w:rFonts w:ascii="Calibri" w:hAnsi="Calibri"/>
      <w:szCs w:val="20"/>
    </w:rPr>
  </w:style>
  <w:style w:type="paragraph" w:styleId="6">
    <w:name w:val="annotation text"/>
    <w:basedOn w:val="1"/>
    <w:link w:val="34"/>
    <w:qFormat/>
    <w:uiPriority w:val="0"/>
    <w:pPr>
      <w:jc w:val="left"/>
    </w:pPr>
    <w:rPr>
      <w:kern w:val="0"/>
      <w:sz w:val="24"/>
      <w:szCs w:val="20"/>
    </w:rPr>
  </w:style>
  <w:style w:type="paragraph" w:styleId="7">
    <w:name w:val="Body Text"/>
    <w:basedOn w:val="1"/>
    <w:link w:val="33"/>
    <w:qFormat/>
    <w:uiPriority w:val="0"/>
    <w:pPr>
      <w:widowControl/>
      <w:snapToGrid w:val="0"/>
      <w:spacing w:before="60" w:after="160" w:line="259" w:lineRule="auto"/>
      <w:ind w:right="113"/>
    </w:pPr>
    <w:rPr>
      <w:kern w:val="0"/>
      <w:sz w:val="18"/>
      <w:szCs w:val="20"/>
    </w:rPr>
  </w:style>
  <w:style w:type="paragraph" w:styleId="8">
    <w:name w:val="Body Text Indent"/>
    <w:basedOn w:val="1"/>
    <w:link w:val="42"/>
    <w:qFormat/>
    <w:uiPriority w:val="0"/>
    <w:pPr>
      <w:spacing w:after="120"/>
      <w:ind w:left="420" w:leftChars="200"/>
    </w:pPr>
    <w:rPr>
      <w:kern w:val="0"/>
      <w:sz w:val="24"/>
      <w:szCs w:val="20"/>
    </w:rPr>
  </w:style>
  <w:style w:type="paragraph" w:styleId="9">
    <w:name w:val="Plain Text"/>
    <w:basedOn w:val="1"/>
    <w:next w:val="10"/>
    <w:link w:val="54"/>
    <w:qFormat/>
    <w:locked/>
    <w:uiPriority w:val="0"/>
    <w:rPr>
      <w:rFonts w:ascii="宋体" w:hAnsi="Courier New"/>
      <w:szCs w:val="20"/>
    </w:rPr>
  </w:style>
  <w:style w:type="paragraph" w:styleId="10">
    <w:name w:val="toc 1"/>
    <w:basedOn w:val="1"/>
    <w:next w:val="1"/>
    <w:qFormat/>
    <w:locked/>
    <w:uiPriority w:val="39"/>
    <w:pPr>
      <w:spacing w:before="120" w:after="120"/>
      <w:jc w:val="left"/>
    </w:pPr>
    <w:rPr>
      <w:rFonts w:ascii="Calibri" w:hAnsi="Calibri"/>
      <w:b/>
      <w:bCs/>
      <w:caps/>
      <w:sz w:val="20"/>
      <w:szCs w:val="20"/>
    </w:rPr>
  </w:style>
  <w:style w:type="paragraph" w:styleId="11">
    <w:name w:val="Date"/>
    <w:basedOn w:val="1"/>
    <w:next w:val="1"/>
    <w:link w:val="29"/>
    <w:qFormat/>
    <w:uiPriority w:val="0"/>
    <w:pPr>
      <w:ind w:left="100" w:leftChars="2500"/>
    </w:pPr>
    <w:rPr>
      <w:kern w:val="0"/>
      <w:sz w:val="24"/>
      <w:szCs w:val="20"/>
    </w:rPr>
  </w:style>
  <w:style w:type="paragraph" w:styleId="12">
    <w:name w:val="Body Text Indent 2"/>
    <w:basedOn w:val="1"/>
    <w:link w:val="55"/>
    <w:qFormat/>
    <w:locked/>
    <w:uiPriority w:val="0"/>
    <w:pPr>
      <w:spacing w:line="500" w:lineRule="exact"/>
      <w:ind w:firstLine="480" w:firstLineChars="200"/>
    </w:pPr>
    <w:rPr>
      <w:rFonts w:ascii="宋体" w:hAnsi="Calibri"/>
      <w:bCs/>
      <w:sz w:val="24"/>
      <w:szCs w:val="20"/>
    </w:rPr>
  </w:style>
  <w:style w:type="paragraph" w:styleId="13">
    <w:name w:val="Balloon Text"/>
    <w:basedOn w:val="1"/>
    <w:link w:val="38"/>
    <w:qFormat/>
    <w:uiPriority w:val="0"/>
    <w:rPr>
      <w:kern w:val="0"/>
      <w:sz w:val="18"/>
      <w:szCs w:val="20"/>
    </w:rPr>
  </w:style>
  <w:style w:type="paragraph" w:styleId="14">
    <w:name w:val="footer"/>
    <w:basedOn w:val="1"/>
    <w:link w:val="28"/>
    <w:qFormat/>
    <w:uiPriority w:val="99"/>
    <w:pPr>
      <w:tabs>
        <w:tab w:val="center" w:pos="4153"/>
        <w:tab w:val="right" w:pos="8306"/>
      </w:tabs>
      <w:snapToGrid w:val="0"/>
      <w:jc w:val="left"/>
    </w:pPr>
    <w:rPr>
      <w:kern w:val="0"/>
      <w:sz w:val="18"/>
      <w:szCs w:val="20"/>
    </w:rPr>
  </w:style>
  <w:style w:type="paragraph" w:styleId="15">
    <w:name w:val="header"/>
    <w:basedOn w:val="1"/>
    <w:link w:val="40"/>
    <w:qFormat/>
    <w:uiPriority w:val="0"/>
    <w:pPr>
      <w:tabs>
        <w:tab w:val="center" w:pos="4153"/>
        <w:tab w:val="right" w:pos="8306"/>
      </w:tabs>
      <w:snapToGrid w:val="0"/>
      <w:jc w:val="center"/>
    </w:pPr>
    <w:rPr>
      <w:kern w:val="0"/>
      <w:sz w:val="18"/>
      <w:szCs w:val="20"/>
    </w:rPr>
  </w:style>
  <w:style w:type="paragraph" w:styleId="16">
    <w:name w:val="Body Text Indent 3"/>
    <w:basedOn w:val="1"/>
    <w:link w:val="56"/>
    <w:qFormat/>
    <w:locked/>
    <w:uiPriority w:val="0"/>
    <w:pPr>
      <w:spacing w:line="360" w:lineRule="auto"/>
      <w:ind w:firstLine="471" w:firstLineChars="200"/>
    </w:pPr>
    <w:rPr>
      <w:rFonts w:ascii="宋体" w:hAnsi="宋体"/>
      <w:sz w:val="24"/>
      <w:szCs w:val="20"/>
    </w:rPr>
  </w:style>
  <w:style w:type="paragraph" w:styleId="17">
    <w:name w:val="Body Text 2"/>
    <w:basedOn w:val="1"/>
    <w:link w:val="46"/>
    <w:qFormat/>
    <w:locked/>
    <w:uiPriority w:val="0"/>
    <w:pPr>
      <w:spacing w:after="120" w:line="480" w:lineRule="auto"/>
    </w:pPr>
  </w:style>
  <w:style w:type="paragraph" w:styleId="18">
    <w:name w:val="Normal (Web)"/>
    <w:basedOn w:val="1"/>
    <w:link w:val="31"/>
    <w:qFormat/>
    <w:uiPriority w:val="99"/>
    <w:pPr>
      <w:widowControl/>
      <w:spacing w:before="100" w:beforeAutospacing="1" w:after="100" w:afterAutospacing="1"/>
      <w:jc w:val="left"/>
    </w:pPr>
    <w:rPr>
      <w:rFonts w:ascii="宋体" w:hAnsi="宋体"/>
      <w:kern w:val="0"/>
      <w:sz w:val="24"/>
      <w:szCs w:val="20"/>
    </w:rPr>
  </w:style>
  <w:style w:type="paragraph" w:styleId="19">
    <w:name w:val="annotation subject"/>
    <w:basedOn w:val="6"/>
    <w:next w:val="6"/>
    <w:link w:val="39"/>
    <w:qFormat/>
    <w:uiPriority w:val="0"/>
    <w:rPr>
      <w:b/>
    </w:rPr>
  </w:style>
  <w:style w:type="paragraph" w:styleId="20">
    <w:name w:val="Body Text First Indent 2"/>
    <w:basedOn w:val="8"/>
    <w:link w:val="57"/>
    <w:qFormat/>
    <w:locked/>
    <w:uiPriority w:val="0"/>
    <w:pPr>
      <w:ind w:firstLine="420" w:firstLineChars="200"/>
    </w:pPr>
    <w:rPr>
      <w:rFonts w:ascii="Calibri" w:hAnsi="Calibri" w:eastAsia="楷体_GB2312"/>
      <w:color w:val="000000"/>
      <w:kern w:val="2"/>
      <w:sz w:val="21"/>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locked/>
    <w:uiPriority w:val="0"/>
  </w:style>
  <w:style w:type="character" w:styleId="25">
    <w:name w:val="Hyperlink"/>
    <w:basedOn w:val="23"/>
    <w:unhideWhenUsed/>
    <w:qFormat/>
    <w:locked/>
    <w:uiPriority w:val="99"/>
    <w:rPr>
      <w:color w:val="0000FF"/>
      <w:u w:val="single"/>
    </w:rPr>
  </w:style>
  <w:style w:type="character" w:styleId="26">
    <w:name w:val="annotation reference"/>
    <w:qFormat/>
    <w:uiPriority w:val="0"/>
    <w:rPr>
      <w:sz w:val="21"/>
    </w:rPr>
  </w:style>
  <w:style w:type="paragraph" w:customStyle="1" w:styleId="27">
    <w:name w:val="BlockQuote"/>
    <w:basedOn w:val="1"/>
    <w:qFormat/>
    <w:uiPriority w:val="0"/>
    <w:pPr>
      <w:widowControl/>
      <w:spacing w:before="100" w:beforeAutospacing="1" w:after="100" w:afterAutospacing="1" w:line="300" w:lineRule="exact"/>
      <w:ind w:left="-96" w:leftChars="-40" w:right="-16" w:firstLine="482" w:firstLineChars="200"/>
      <w:textAlignment w:val="baseline"/>
    </w:pPr>
    <w:rPr>
      <w:rFonts w:ascii="宋体" w:hAnsi="宋体" w:eastAsia="FangSong_GB2312" w:cs="宋体"/>
      <w:sz w:val="28"/>
      <w:szCs w:val="28"/>
    </w:rPr>
  </w:style>
  <w:style w:type="character" w:customStyle="1" w:styleId="28">
    <w:name w:val="页脚 Char"/>
    <w:link w:val="14"/>
    <w:qFormat/>
    <w:locked/>
    <w:uiPriority w:val="99"/>
    <w:rPr>
      <w:sz w:val="18"/>
    </w:rPr>
  </w:style>
  <w:style w:type="character" w:customStyle="1" w:styleId="29">
    <w:name w:val="日期 Char"/>
    <w:link w:val="11"/>
    <w:qFormat/>
    <w:locked/>
    <w:uiPriority w:val="0"/>
    <w:rPr>
      <w:rFonts w:ascii="Times New Roman" w:hAnsi="Times New Roman" w:eastAsia="宋体"/>
      <w:sz w:val="24"/>
    </w:rPr>
  </w:style>
  <w:style w:type="character" w:customStyle="1" w:styleId="30">
    <w:name w:val="页脚 字符"/>
    <w:basedOn w:val="23"/>
    <w:qFormat/>
    <w:uiPriority w:val="99"/>
  </w:style>
  <w:style w:type="character" w:customStyle="1" w:styleId="31">
    <w:name w:val="普通(网站) Char"/>
    <w:link w:val="18"/>
    <w:qFormat/>
    <w:locked/>
    <w:uiPriority w:val="0"/>
    <w:rPr>
      <w:rFonts w:ascii="宋体" w:hAnsi="宋体" w:eastAsia="宋体"/>
      <w:sz w:val="24"/>
    </w:rPr>
  </w:style>
  <w:style w:type="character" w:customStyle="1" w:styleId="32">
    <w:name w:val="正文文本 字符1"/>
    <w:semiHidden/>
    <w:qFormat/>
    <w:uiPriority w:val="0"/>
    <w:rPr>
      <w:rFonts w:ascii="Times New Roman" w:hAnsi="Times New Roman" w:eastAsia="宋体"/>
      <w:sz w:val="24"/>
    </w:rPr>
  </w:style>
  <w:style w:type="character" w:customStyle="1" w:styleId="33">
    <w:name w:val="正文文本 Char"/>
    <w:link w:val="7"/>
    <w:qFormat/>
    <w:locked/>
    <w:uiPriority w:val="0"/>
    <w:rPr>
      <w:sz w:val="18"/>
    </w:rPr>
  </w:style>
  <w:style w:type="character" w:customStyle="1" w:styleId="34">
    <w:name w:val="批注文字 Char1"/>
    <w:link w:val="6"/>
    <w:qFormat/>
    <w:locked/>
    <w:uiPriority w:val="0"/>
    <w:rPr>
      <w:rFonts w:ascii="Times New Roman" w:hAnsi="Times New Roman" w:eastAsia="宋体"/>
      <w:sz w:val="24"/>
    </w:rPr>
  </w:style>
  <w:style w:type="character" w:customStyle="1" w:styleId="35">
    <w:name w:val="表格 Char"/>
    <w:link w:val="36"/>
    <w:qFormat/>
    <w:locked/>
    <w:uiPriority w:val="0"/>
    <w:rPr>
      <w:rFonts w:ascii="宋体"/>
      <w:sz w:val="21"/>
    </w:rPr>
  </w:style>
  <w:style w:type="paragraph" w:customStyle="1" w:styleId="36">
    <w:name w:val="表格"/>
    <w:basedOn w:val="1"/>
    <w:next w:val="1"/>
    <w:link w:val="35"/>
    <w:qFormat/>
    <w:uiPriority w:val="0"/>
    <w:pPr>
      <w:adjustRightInd w:val="0"/>
      <w:snapToGrid w:val="0"/>
      <w:spacing w:beforeLines="10" w:afterLines="10" w:line="259" w:lineRule="auto"/>
      <w:jc w:val="center"/>
    </w:pPr>
    <w:rPr>
      <w:rFonts w:ascii="宋体"/>
      <w:kern w:val="0"/>
      <w:szCs w:val="20"/>
    </w:rPr>
  </w:style>
  <w:style w:type="character" w:customStyle="1" w:styleId="37">
    <w:name w:val="日期 字符"/>
    <w:semiHidden/>
    <w:qFormat/>
    <w:uiPriority w:val="0"/>
    <w:rPr>
      <w:rFonts w:ascii="Times New Roman" w:hAnsi="Times New Roman" w:eastAsia="宋体"/>
      <w:sz w:val="24"/>
    </w:rPr>
  </w:style>
  <w:style w:type="character" w:customStyle="1" w:styleId="38">
    <w:name w:val="批注框文本 Char1"/>
    <w:link w:val="13"/>
    <w:semiHidden/>
    <w:qFormat/>
    <w:locked/>
    <w:uiPriority w:val="0"/>
    <w:rPr>
      <w:rFonts w:ascii="Times New Roman" w:hAnsi="Times New Roman" w:eastAsia="宋体"/>
      <w:sz w:val="18"/>
    </w:rPr>
  </w:style>
  <w:style w:type="character" w:customStyle="1" w:styleId="39">
    <w:name w:val="批注主题 Char1"/>
    <w:link w:val="19"/>
    <w:semiHidden/>
    <w:qFormat/>
    <w:locked/>
    <w:uiPriority w:val="0"/>
    <w:rPr>
      <w:rFonts w:ascii="Times New Roman" w:hAnsi="Times New Roman" w:eastAsia="宋体"/>
      <w:b/>
      <w:kern w:val="2"/>
      <w:sz w:val="24"/>
    </w:rPr>
  </w:style>
  <w:style w:type="character" w:customStyle="1" w:styleId="40">
    <w:name w:val="页眉 Char1"/>
    <w:link w:val="15"/>
    <w:qFormat/>
    <w:locked/>
    <w:uiPriority w:val="0"/>
    <w:rPr>
      <w:sz w:val="18"/>
    </w:rPr>
  </w:style>
  <w:style w:type="character" w:customStyle="1" w:styleId="41">
    <w:name w:val="批注文字 字符1"/>
    <w:semiHidden/>
    <w:qFormat/>
    <w:uiPriority w:val="0"/>
    <w:rPr>
      <w:rFonts w:ascii="Times New Roman" w:hAnsi="Times New Roman" w:eastAsia="宋体"/>
      <w:sz w:val="24"/>
    </w:rPr>
  </w:style>
  <w:style w:type="character" w:customStyle="1" w:styleId="42">
    <w:name w:val="正文文本缩进 Char"/>
    <w:link w:val="8"/>
    <w:semiHidden/>
    <w:qFormat/>
    <w:locked/>
    <w:uiPriority w:val="0"/>
    <w:rPr>
      <w:rFonts w:ascii="Times New Roman" w:hAnsi="Times New Roman" w:eastAsia="宋体"/>
      <w:sz w:val="24"/>
    </w:rPr>
  </w:style>
  <w:style w:type="paragraph" w:customStyle="1" w:styleId="4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4">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5">
    <w:name w:val="表格内文字"/>
    <w:basedOn w:val="1"/>
    <w:link w:val="80"/>
    <w:qFormat/>
    <w:uiPriority w:val="0"/>
    <w:pPr>
      <w:widowControl/>
      <w:tabs>
        <w:tab w:val="left" w:pos="0"/>
      </w:tabs>
      <w:snapToGrid w:val="0"/>
      <w:jc w:val="center"/>
    </w:pPr>
    <w:rPr>
      <w:rFonts w:ascii="FangSong_GB2312" w:hAnsi="宋体" w:eastAsia="FangSong_GB2312" w:cs="宋体"/>
      <w:w w:val="90"/>
      <w:kern w:val="18"/>
      <w:sz w:val="24"/>
    </w:rPr>
  </w:style>
  <w:style w:type="character" w:customStyle="1" w:styleId="46">
    <w:name w:val="正文文本 2 Char"/>
    <w:basedOn w:val="23"/>
    <w:link w:val="17"/>
    <w:qFormat/>
    <w:uiPriority w:val="0"/>
    <w:rPr>
      <w:kern w:val="2"/>
      <w:sz w:val="21"/>
      <w:szCs w:val="24"/>
    </w:rPr>
  </w:style>
  <w:style w:type="character" w:customStyle="1" w:styleId="47">
    <w:name w:val="批注文字 Char"/>
    <w:basedOn w:val="23"/>
    <w:qFormat/>
    <w:uiPriority w:val="99"/>
    <w:rPr>
      <w:rFonts w:ascii="Calibri" w:hAnsi="Calibri"/>
      <w:kern w:val="2"/>
      <w:sz w:val="21"/>
    </w:rPr>
  </w:style>
  <w:style w:type="paragraph" w:customStyle="1" w:styleId="48">
    <w:name w:val="Table Paragraph"/>
    <w:basedOn w:val="1"/>
    <w:qFormat/>
    <w:uiPriority w:val="1"/>
    <w:pPr>
      <w:autoSpaceDE w:val="0"/>
      <w:autoSpaceDN w:val="0"/>
      <w:adjustRightInd w:val="0"/>
      <w:jc w:val="left"/>
    </w:pPr>
    <w:rPr>
      <w:rFonts w:ascii="Calibri" w:hAnsi="Calibri"/>
      <w:kern w:val="0"/>
      <w:sz w:val="24"/>
    </w:rPr>
  </w:style>
  <w:style w:type="paragraph" w:customStyle="1" w:styleId="49">
    <w:name w:val="图表文字"/>
    <w:basedOn w:val="1"/>
    <w:link w:val="52"/>
    <w:qFormat/>
    <w:uiPriority w:val="0"/>
    <w:pPr>
      <w:spacing w:line="300" w:lineRule="exact"/>
      <w:jc w:val="center"/>
    </w:pPr>
    <w:rPr>
      <w:rFonts w:ascii="Calibri" w:hAnsi="Calibri"/>
      <w:bCs/>
      <w:szCs w:val="20"/>
    </w:rPr>
  </w:style>
  <w:style w:type="paragraph" w:customStyle="1" w:styleId="50">
    <w:name w:val="我的样式（正文）"/>
    <w:basedOn w:val="1"/>
    <w:qFormat/>
    <w:uiPriority w:val="0"/>
    <w:pPr>
      <w:spacing w:line="440" w:lineRule="exact"/>
    </w:pPr>
    <w:rPr>
      <w:rFonts w:ascii="宋体" w:hAnsi="Calibri"/>
      <w:sz w:val="28"/>
    </w:rPr>
  </w:style>
  <w:style w:type="character" w:customStyle="1" w:styleId="51">
    <w:name w:val="正文缩进 Char"/>
    <w:basedOn w:val="23"/>
    <w:link w:val="5"/>
    <w:qFormat/>
    <w:uiPriority w:val="0"/>
    <w:rPr>
      <w:rFonts w:ascii="Calibri" w:hAnsi="Calibri"/>
      <w:kern w:val="2"/>
      <w:sz w:val="21"/>
    </w:rPr>
  </w:style>
  <w:style w:type="character" w:customStyle="1" w:styleId="52">
    <w:name w:val="图表文字 Char"/>
    <w:link w:val="49"/>
    <w:qFormat/>
    <w:uiPriority w:val="0"/>
    <w:rPr>
      <w:rFonts w:ascii="Calibri" w:hAnsi="Calibri"/>
      <w:bCs/>
      <w:kern w:val="2"/>
      <w:sz w:val="21"/>
    </w:rPr>
  </w:style>
  <w:style w:type="character" w:customStyle="1" w:styleId="53">
    <w:name w:val="标题 2 Char"/>
    <w:basedOn w:val="23"/>
    <w:link w:val="4"/>
    <w:semiHidden/>
    <w:qFormat/>
    <w:uiPriority w:val="0"/>
    <w:rPr>
      <w:rFonts w:asciiTheme="majorHAnsi" w:hAnsiTheme="majorHAnsi" w:eastAsiaTheme="majorEastAsia" w:cstheme="majorBidi"/>
      <w:b/>
      <w:bCs/>
      <w:kern w:val="2"/>
      <w:sz w:val="32"/>
      <w:szCs w:val="32"/>
    </w:rPr>
  </w:style>
  <w:style w:type="character" w:customStyle="1" w:styleId="54">
    <w:name w:val="纯文本 Char"/>
    <w:basedOn w:val="23"/>
    <w:link w:val="9"/>
    <w:qFormat/>
    <w:uiPriority w:val="0"/>
    <w:rPr>
      <w:rFonts w:ascii="宋体" w:hAnsi="Courier New"/>
      <w:kern w:val="2"/>
      <w:sz w:val="21"/>
    </w:rPr>
  </w:style>
  <w:style w:type="character" w:customStyle="1" w:styleId="55">
    <w:name w:val="正文文本缩进 2 Char"/>
    <w:basedOn w:val="23"/>
    <w:link w:val="12"/>
    <w:qFormat/>
    <w:uiPriority w:val="0"/>
    <w:rPr>
      <w:rFonts w:ascii="宋体" w:hAnsi="Calibri"/>
      <w:bCs/>
      <w:kern w:val="2"/>
      <w:sz w:val="24"/>
    </w:rPr>
  </w:style>
  <w:style w:type="character" w:customStyle="1" w:styleId="56">
    <w:name w:val="正文文本缩进 3 Char"/>
    <w:basedOn w:val="23"/>
    <w:link w:val="16"/>
    <w:qFormat/>
    <w:uiPriority w:val="0"/>
    <w:rPr>
      <w:rFonts w:ascii="宋体" w:hAnsi="宋体"/>
      <w:kern w:val="2"/>
      <w:sz w:val="24"/>
    </w:rPr>
  </w:style>
  <w:style w:type="character" w:customStyle="1" w:styleId="57">
    <w:name w:val="正文首行缩进 2 Char"/>
    <w:basedOn w:val="42"/>
    <w:link w:val="20"/>
    <w:qFormat/>
    <w:uiPriority w:val="0"/>
    <w:rPr>
      <w:rFonts w:ascii="Calibri" w:hAnsi="Calibri" w:eastAsia="楷体_GB2312"/>
      <w:color w:val="000000"/>
      <w:kern w:val="2"/>
      <w:sz w:val="21"/>
    </w:rPr>
  </w:style>
  <w:style w:type="paragraph" w:customStyle="1" w:styleId="58">
    <w:name w:val="Body Text 21"/>
    <w:basedOn w:val="1"/>
    <w:qFormat/>
    <w:uiPriority w:val="0"/>
    <w:pPr>
      <w:textAlignment w:val="baseline"/>
    </w:pPr>
    <w:rPr>
      <w:rFonts w:ascii="Calibri" w:hAnsi="Calibri"/>
      <w:color w:val="000000"/>
      <w:sz w:val="24"/>
      <w:szCs w:val="20"/>
    </w:rPr>
  </w:style>
  <w:style w:type="paragraph" w:customStyle="1" w:styleId="59">
    <w:name w:val="图文框"/>
    <w:basedOn w:val="1"/>
    <w:qFormat/>
    <w:uiPriority w:val="0"/>
    <w:pPr>
      <w:adjustRightInd w:val="0"/>
      <w:snapToGrid w:val="0"/>
      <w:jc w:val="center"/>
    </w:pPr>
    <w:rPr>
      <w:rFonts w:ascii="宋体" w:hAnsi="宋体"/>
      <w:color w:val="000000"/>
      <w:sz w:val="18"/>
    </w:rPr>
  </w:style>
  <w:style w:type="paragraph" w:customStyle="1" w:styleId="60">
    <w:name w:val="表"/>
    <w:basedOn w:val="1"/>
    <w:qFormat/>
    <w:uiPriority w:val="0"/>
    <w:pPr>
      <w:keepNext/>
      <w:keepLines/>
      <w:adjustRightInd w:val="0"/>
      <w:spacing w:before="60"/>
      <w:jc w:val="center"/>
    </w:pPr>
    <w:rPr>
      <w:rFonts w:ascii="Calibri" w:hAnsi="Calibri" w:eastAsia="FangSong_GB2312"/>
      <w:kern w:val="21"/>
      <w:sz w:val="24"/>
      <w:szCs w:val="20"/>
    </w:rPr>
  </w:style>
  <w:style w:type="paragraph" w:customStyle="1" w:styleId="61">
    <w:name w:val="p0"/>
    <w:basedOn w:val="1"/>
    <w:qFormat/>
    <w:uiPriority w:val="0"/>
    <w:pPr>
      <w:widowControl/>
    </w:pPr>
    <w:rPr>
      <w:rFonts w:ascii="Calibri" w:hAnsi="Calibri"/>
      <w:kern w:val="0"/>
      <w:szCs w:val="21"/>
    </w:rPr>
  </w:style>
  <w:style w:type="paragraph" w:customStyle="1" w:styleId="62">
    <w:name w:val="表格文字"/>
    <w:basedOn w:val="1"/>
    <w:qFormat/>
    <w:uiPriority w:val="0"/>
    <w:pPr>
      <w:adjustRightInd w:val="0"/>
      <w:snapToGrid w:val="0"/>
      <w:jc w:val="center"/>
    </w:pPr>
    <w:rPr>
      <w:rFonts w:ascii="FangSong_GB2312" w:hAnsi="Arial Black" w:eastAsia="FangSong_GB2312"/>
      <w:kern w:val="44"/>
      <w:sz w:val="24"/>
      <w:szCs w:val="20"/>
    </w:rPr>
  </w:style>
  <w:style w:type="paragraph" w:customStyle="1" w:styleId="63">
    <w:name w:val="表格标题"/>
    <w:basedOn w:val="1"/>
    <w:qFormat/>
    <w:uiPriority w:val="0"/>
    <w:pPr>
      <w:adjustRightInd w:val="0"/>
      <w:spacing w:before="120" w:line="360" w:lineRule="auto"/>
      <w:jc w:val="center"/>
    </w:pPr>
    <w:rPr>
      <w:rFonts w:ascii="Calibri" w:hAnsi="Calibri" w:eastAsia="文鼎CS中宋"/>
      <w:kern w:val="0"/>
      <w:sz w:val="24"/>
      <w:szCs w:val="20"/>
    </w:rPr>
  </w:style>
  <w:style w:type="paragraph" w:customStyle="1" w:styleId="64">
    <w:name w:val="文本框样式"/>
    <w:basedOn w:val="1"/>
    <w:qFormat/>
    <w:uiPriority w:val="0"/>
    <w:pPr>
      <w:jc w:val="center"/>
    </w:pPr>
    <w:rPr>
      <w:rFonts w:ascii="Calibri" w:hAnsi="Calibri"/>
      <w:szCs w:val="21"/>
    </w:rPr>
  </w:style>
  <w:style w:type="paragraph" w:customStyle="1" w:styleId="65">
    <w:name w:val="图标题"/>
    <w:basedOn w:val="1"/>
    <w:qFormat/>
    <w:uiPriority w:val="0"/>
    <w:pPr>
      <w:spacing w:line="300" w:lineRule="exact"/>
    </w:pPr>
    <w:rPr>
      <w:rFonts w:ascii="FangSong_GB2312" w:hAnsi="Calibri" w:eastAsia="FangSong_GB2312"/>
      <w:b/>
      <w:bCs/>
      <w:sz w:val="24"/>
    </w:rPr>
  </w:style>
  <w:style w:type="character" w:customStyle="1" w:styleId="66">
    <w:name w:val="font11"/>
    <w:basedOn w:val="23"/>
    <w:qFormat/>
    <w:uiPriority w:val="0"/>
    <w:rPr>
      <w:rFonts w:hint="eastAsia" w:ascii="宋体" w:hAnsi="宋体" w:eastAsia="宋体" w:cs="宋体"/>
      <w:color w:val="000000"/>
      <w:sz w:val="18"/>
      <w:szCs w:val="18"/>
      <w:u w:val="none"/>
    </w:rPr>
  </w:style>
  <w:style w:type="character" w:customStyle="1" w:styleId="67">
    <w:name w:val="font21"/>
    <w:basedOn w:val="23"/>
    <w:qFormat/>
    <w:uiPriority w:val="0"/>
    <w:rPr>
      <w:rFonts w:hint="default" w:ascii="TimesNewRomanPSMT" w:hAnsi="TimesNewRomanPSMT" w:eastAsia="TimesNewRomanPSMT" w:cs="TimesNewRomanPSMT"/>
      <w:color w:val="000000"/>
      <w:sz w:val="18"/>
      <w:szCs w:val="18"/>
      <w:u w:val="none"/>
    </w:rPr>
  </w:style>
  <w:style w:type="paragraph" w:customStyle="1" w:styleId="68">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69">
    <w:name w:val="Other|1"/>
    <w:basedOn w:val="1"/>
    <w:qFormat/>
    <w:uiPriority w:val="0"/>
    <w:rPr>
      <w:rFonts w:ascii="MingLiU" w:hAnsi="MingLiU" w:eastAsia="MingLiU" w:cs="MingLiU"/>
      <w:sz w:val="19"/>
      <w:szCs w:val="19"/>
      <w:lang w:val="zh-TW" w:eastAsia="zh-TW" w:bidi="zh-TW"/>
    </w:rPr>
  </w:style>
  <w:style w:type="paragraph" w:customStyle="1" w:styleId="70">
    <w:name w:val="Body text|1"/>
    <w:basedOn w:val="1"/>
    <w:qFormat/>
    <w:uiPriority w:val="0"/>
    <w:pPr>
      <w:spacing w:after="180" w:line="413" w:lineRule="auto"/>
    </w:pPr>
    <w:rPr>
      <w:rFonts w:ascii="宋体" w:hAnsi="宋体" w:cs="宋体"/>
      <w:szCs w:val="20"/>
      <w:lang w:val="zh-TW" w:eastAsia="zh-TW" w:bidi="zh-TW"/>
    </w:rPr>
  </w:style>
  <w:style w:type="paragraph" w:customStyle="1" w:styleId="71">
    <w:name w:val="Table caption|1"/>
    <w:basedOn w:val="1"/>
    <w:qFormat/>
    <w:uiPriority w:val="0"/>
    <w:rPr>
      <w:rFonts w:ascii="MingLiU" w:hAnsi="MingLiU" w:eastAsia="MingLiU" w:cs="MingLiU"/>
      <w:sz w:val="19"/>
      <w:szCs w:val="19"/>
      <w:lang w:val="zh-TW" w:eastAsia="zh-TW" w:bidi="zh-TW"/>
    </w:rPr>
  </w:style>
  <w:style w:type="character" w:customStyle="1" w:styleId="72">
    <w:name w:val="批注框文本 Char"/>
    <w:basedOn w:val="23"/>
    <w:qFormat/>
    <w:uiPriority w:val="0"/>
    <w:rPr>
      <w:rFonts w:ascii="Calibri" w:hAnsi="Calibri"/>
      <w:kern w:val="2"/>
      <w:sz w:val="18"/>
      <w:szCs w:val="18"/>
    </w:rPr>
  </w:style>
  <w:style w:type="character" w:styleId="73">
    <w:name w:val="Placeholder Text"/>
    <w:basedOn w:val="23"/>
    <w:unhideWhenUsed/>
    <w:qFormat/>
    <w:uiPriority w:val="99"/>
    <w:rPr>
      <w:color w:val="808080"/>
    </w:rPr>
  </w:style>
  <w:style w:type="paragraph" w:styleId="74">
    <w:name w:val="List Paragraph"/>
    <w:basedOn w:val="1"/>
    <w:unhideWhenUsed/>
    <w:qFormat/>
    <w:uiPriority w:val="99"/>
    <w:pPr>
      <w:ind w:firstLine="420" w:firstLineChars="200"/>
    </w:pPr>
    <w:rPr>
      <w:rFonts w:ascii="Calibri" w:hAnsi="Calibri"/>
      <w:szCs w:val="20"/>
    </w:rPr>
  </w:style>
  <w:style w:type="character" w:customStyle="1" w:styleId="75">
    <w:name w:val="批注主题 Char"/>
    <w:basedOn w:val="47"/>
    <w:qFormat/>
    <w:uiPriority w:val="0"/>
    <w:rPr>
      <w:rFonts w:ascii="Calibri" w:hAnsi="Calibri"/>
      <w:kern w:val="2"/>
      <w:sz w:val="21"/>
    </w:rPr>
  </w:style>
  <w:style w:type="character" w:customStyle="1" w:styleId="76">
    <w:name w:val="页眉 Char"/>
    <w:basedOn w:val="23"/>
    <w:qFormat/>
    <w:uiPriority w:val="0"/>
    <w:rPr>
      <w:rFonts w:ascii="Calibri" w:hAnsi="Calibri"/>
      <w:kern w:val="2"/>
      <w:sz w:val="18"/>
      <w:szCs w:val="24"/>
    </w:rPr>
  </w:style>
  <w:style w:type="paragraph" w:customStyle="1" w:styleId="77">
    <w:name w:val="样式 自动设置"/>
    <w:basedOn w:val="1"/>
    <w:qFormat/>
    <w:uiPriority w:val="0"/>
    <w:pPr>
      <w:autoSpaceDE w:val="0"/>
      <w:autoSpaceDN w:val="0"/>
      <w:adjustRightInd w:val="0"/>
      <w:snapToGrid w:val="0"/>
      <w:spacing w:beforeLines="50" w:line="288" w:lineRule="auto"/>
      <w:ind w:firstLine="200" w:firstLineChars="200"/>
    </w:pPr>
    <w:rPr>
      <w:rFonts w:cs="宋体"/>
      <w:sz w:val="24"/>
      <w:szCs w:val="20"/>
    </w:rPr>
  </w:style>
  <w:style w:type="paragraph" w:customStyle="1" w:styleId="78">
    <w:name w:val="默认段落字体 Para Char Char Char Char"/>
    <w:basedOn w:val="1"/>
    <w:qFormat/>
    <w:uiPriority w:val="0"/>
    <w:rPr>
      <w:sz w:val="24"/>
    </w:rPr>
  </w:style>
  <w:style w:type="paragraph" w:customStyle="1" w:styleId="79">
    <w:name w:val="默认段落字体 Para Char"/>
    <w:basedOn w:val="1"/>
    <w:qFormat/>
    <w:uiPriority w:val="0"/>
    <w:rPr>
      <w:rFonts w:ascii="楷体" w:hAnsi="楷体" w:cs="楷体"/>
      <w:sz w:val="24"/>
    </w:rPr>
  </w:style>
  <w:style w:type="character" w:customStyle="1" w:styleId="80">
    <w:name w:val="表格内文字 Char"/>
    <w:link w:val="45"/>
    <w:qFormat/>
    <w:uiPriority w:val="0"/>
    <w:rPr>
      <w:rFonts w:ascii="FangSong_GB2312" w:hAnsi="宋体" w:eastAsia="FangSong_GB2312" w:cs="宋体"/>
      <w:w w:val="90"/>
      <w:kern w:val="18"/>
      <w:sz w:val="24"/>
      <w:szCs w:val="24"/>
    </w:rPr>
  </w:style>
  <w:style w:type="character" w:customStyle="1" w:styleId="81">
    <w:name w:val="15"/>
    <w:basedOn w:val="23"/>
    <w:qFormat/>
    <w:uiPriority w:val="0"/>
    <w:rPr>
      <w:rFonts w:hint="eastAsia" w:ascii="宋体" w:hAnsi="宋体" w:eastAsia="宋体" w:cs="Times New Roman"/>
      <w:color w:val="000000"/>
      <w:sz w:val="21"/>
      <w:szCs w:val="21"/>
    </w:rPr>
  </w:style>
  <w:style w:type="character" w:customStyle="1" w:styleId="82">
    <w:name w:val="16"/>
    <w:basedOn w:val="23"/>
    <w:qFormat/>
    <w:uiPriority w:val="0"/>
    <w:rPr>
      <w:rFonts w:hint="eastAsia" w:ascii="宋体" w:hAnsi="宋体" w:eastAsia="宋体" w:cs="Times New Roman"/>
      <w:color w:val="000000"/>
      <w:sz w:val="22"/>
      <w:szCs w:val="22"/>
    </w:rPr>
  </w:style>
  <w:style w:type="paragraph" w:customStyle="1" w:styleId="83">
    <w:name w:val="+正文"/>
    <w:basedOn w:val="1"/>
    <w:qFormat/>
    <w:uiPriority w:val="0"/>
    <w:pPr>
      <w:spacing w:line="360" w:lineRule="auto"/>
      <w:ind w:firstLine="200" w:firstLineChars="200"/>
    </w:pPr>
    <w:rPr>
      <w:sz w:val="24"/>
    </w:rPr>
  </w:style>
  <w:style w:type="paragraph" w:customStyle="1" w:styleId="84">
    <w:name w:val="1  正文"/>
    <w:basedOn w:val="1"/>
    <w:qFormat/>
    <w:uiPriority w:val="0"/>
    <w:pPr>
      <w:spacing w:line="360" w:lineRule="auto"/>
      <w:ind w:firstLine="480" w:firstLineChars="200"/>
    </w:pPr>
    <w:rPr>
      <w:sz w:val="24"/>
    </w:rPr>
  </w:style>
  <w:style w:type="paragraph" w:customStyle="1" w:styleId="85">
    <w:name w:val="表内文字"/>
    <w:basedOn w:val="1"/>
    <w:qFormat/>
    <w:uiPriority w:val="0"/>
    <w:pPr>
      <w:jc w:val="center"/>
    </w:pPr>
    <w:rPr>
      <w:sz w:val="24"/>
    </w:rPr>
  </w:style>
  <w:style w:type="paragraph" w:customStyle="1" w:styleId="86">
    <w:name w:val="WPSOffice手动目录 1"/>
    <w:qFormat/>
    <w:uiPriority w:val="0"/>
    <w:pPr>
      <w:ind w:leftChars="0"/>
    </w:pPr>
    <w:rPr>
      <w:rFonts w:ascii="Times New Roman" w:hAnsi="Times New Roman" w:eastAsia="宋体" w:cs="Times New Roman"/>
      <w:sz w:val="20"/>
      <w:szCs w:val="20"/>
    </w:rPr>
  </w:style>
  <w:style w:type="paragraph" w:customStyle="1" w:styleId="87">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png"/><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2111"/>
    <customShpInfo spid="_x0000_s2112"/>
    <customShpInfo spid="_x0000_s2113"/>
    <customShpInfo spid="_x0000_s2114"/>
    <customShpInfo spid="_x0000_s2115"/>
    <customShpInfo spid="_x0000_s2116"/>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10"/>
    <customShpInfo spid="_x0000_s2088"/>
    <customShpInfo spid="_x0000_s124094"/>
    <customShpInfo spid="_x0000_s124336"/>
    <customShpInfo spid="_x0000_s124337"/>
    <customShpInfo spid="_x0000_s124338"/>
    <customShpInfo spid="_x0000_s124339"/>
    <customShpInfo spid="_x0000_s124340"/>
    <customShpInfo spid="_x0000_s124341"/>
    <customShpInfo spid="_x0000_s124342"/>
    <customShpInfo spid="_x0000_s124343"/>
    <customShpInfo spid="_x0000_s124344"/>
    <customShpInfo spid="_x0000_s124345"/>
    <customShpInfo spid="_x0000_s124346"/>
    <customShpInfo spid="_x0000_s124347"/>
    <customShpInfo spid="_x0000_s124348"/>
    <customShpInfo spid="_x0000_s124349"/>
    <customShpInfo spid="_x0000_s124350"/>
    <customShpInfo spid="_x0000_s124351"/>
    <customShpInfo spid="_x0000_s124352"/>
    <customShpInfo spid="_x0000_s124353"/>
    <customShpInfo spid="_x0000_s124354"/>
    <customShpInfo spid="_x0000_s124355"/>
    <customShpInfo spid="_x0000_s124356"/>
    <customShpInfo spid="_x0000_s124357"/>
    <customShpInfo spid="_x0000_s124358"/>
    <customShpInfo spid="_x0000_s124359"/>
    <customShpInfo spid="_x0000_s124360"/>
    <customShpInfo spid="_x0000_s124361"/>
    <customShpInfo spid="_x0000_s124362"/>
    <customShpInfo spid="_x0000_s124363"/>
    <customShpInfo spid="_x0000_s124364"/>
    <customShpInfo spid="_x0000_s124365"/>
    <customShpInfo spid="_x0000_s124366"/>
    <customShpInfo spid="_x0000_s124367"/>
    <customShpInfo spid="_x0000_s124368"/>
    <customShpInfo spid="_x0000_s124369"/>
    <customShpInfo spid="_x0000_s124370"/>
    <customShpInfo spid="_x0000_s124371"/>
    <customShpInfo spid="_x0000_s124372"/>
    <customShpInfo spid="_x0000_s124373"/>
    <customShpInfo spid="_x0000_s124374"/>
    <customShpInfo spid="_x0000_s124375"/>
    <customShpInfo spid="_x0000_s124376"/>
    <customShpInfo spid="_x0000_s124377"/>
    <customShpInfo spid="_x0000_s124378"/>
    <customShpInfo spid="_x0000_s124379"/>
    <customShpInfo spid="_x0000_s124380"/>
    <customShpInfo spid="_x0000_s124381"/>
    <customShpInfo spid="_x0000_s124382"/>
    <customShpInfo spid="_x0000_s124383"/>
    <customShpInfo spid="_x0000_s124384"/>
    <customShpInfo spid="_x0000_s124385"/>
    <customShpInfo spid="_x0000_s124386"/>
    <customShpInfo spid="_x0000_s124387"/>
    <customShpInfo spid="_x0000_s124388"/>
    <customShpInfo spid="_x0000_s124389"/>
    <customShpInfo spid="_x0000_s2109"/>
    <customShpInfo spid="_x0000_s124192"/>
    <customShpInfo spid="_x0000_s124235"/>
    <customShpInfo spid="_x0000_s124236"/>
    <customShpInfo spid="_x0000_s124237"/>
    <customShpInfo spid="_x0000_s124238"/>
    <customShpInfo spid="_x0000_s124239"/>
    <customShpInfo spid="_x0000_s124240"/>
    <customShpInfo spid="_x0000_s124241"/>
    <customShpInfo spid="_x0000_s124242"/>
    <customShpInfo spid="_x0000_s124243"/>
    <customShpInfo spid="_x0000_s124244"/>
    <customShpInfo spid="_x0000_s124245"/>
    <customShpInfo spid="_x0000_s124246"/>
    <customShpInfo spid="_x0000_s124247"/>
    <customShpInfo spid="_x0000_s124248"/>
    <customShpInfo spid="_x0000_s124249"/>
    <customShpInfo spid="_x0000_s124250"/>
    <customShpInfo spid="_x0000_s124251"/>
    <customShpInfo spid="_x0000_s124252"/>
    <customShpInfo spid="_x0000_s124253"/>
    <customShpInfo spid="_x0000_s124254"/>
    <customShpInfo spid="_x0000_s124255"/>
    <customShpInfo spid="_x0000_s124256"/>
    <customShpInfo spid="_x0000_s124257"/>
    <customShpInfo spid="_x0000_s124258"/>
    <customShpInfo spid="_x0000_s124259"/>
    <customShpInfo spid="_x0000_s124260"/>
    <customShpInfo spid="_x0000_s124261"/>
    <customShpInfo spid="_x0000_s124262"/>
    <customShpInfo spid="_x0000_s124263"/>
    <customShpInfo spid="_x0000_s124272"/>
    <customShpInfo spid="_x0000_s124273"/>
    <customShpInfo spid="_x0000_s124274"/>
    <customShpInfo spid="_x0000_s124275"/>
    <customShpInfo spid="_x0000_s124276"/>
    <customShpInfo spid="_x0000_s124277"/>
    <customShpInfo spid="_x0000_s124278"/>
    <customShpInfo spid="_x0000_s124279"/>
    <customShpInfo spid="_x0000_s124193"/>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1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4B8E-44AE-4AD0-9A91-80CD2D45F419}">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88</Pages>
  <Words>51497</Words>
  <Characters>58582</Characters>
  <Lines>475</Lines>
  <Paragraphs>133</Paragraphs>
  <TotalTime>59</TotalTime>
  <ScaleCrop>false</ScaleCrop>
  <LinksUpToDate>false</LinksUpToDate>
  <CharactersWithSpaces>58887</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2022-05-18T01:49:00Z</dcterms:created>
  <dc:creator>lhj</dc:creator>
  <cp:lastModifiedBy>qzuser</cp:lastModifiedBy>
  <cp:lastPrinted>2022-04-28T08:26:00Z</cp:lastPrinted>
  <dcterms:modified xsi:type="dcterms:W3CDTF">2022-07-25T01:41:23Z</dcterms:modified>
  <dc:title>附件2</dc:title>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33AFC2C736AD4787B65198C2481BCBA7</vt:lpwstr>
  </property>
</Properties>
</file>